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980" w:firstLine="8"/>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477,563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6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477,563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477,563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3.6%</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111,364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111,364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111,364</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588,927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588,927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588,927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588,927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3560" w:type="dxa"/>
            <w:vAlign w:val="bottom"/>
          </w:tcPr>
          <w:p>
            <w:pPr>
              <w:ind w:left="224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280" w:hanging="38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MongoDB, Inc., a Delaware corporation (the "Issuer").</w:t>
      </w:r>
    </w:p>
    <w:p>
      <w:pPr>
        <w:spacing w:after="0" w:line="231" w:lineRule="exact"/>
        <w:rPr>
          <w:rFonts w:ascii="Arial" w:cs="Arial" w:eastAsia="Arial" w:hAnsi="Arial"/>
          <w:sz w:val="18"/>
          <w:szCs w:val="18"/>
          <w:color w:val="auto"/>
        </w:rPr>
      </w:pPr>
    </w:p>
    <w:p>
      <w:pPr>
        <w:ind w:left="1280" w:hanging="38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280" w:right="4460"/>
        <w:spacing w:after="0" w:line="342" w:lineRule="auto"/>
        <w:rPr>
          <w:rFonts w:ascii="Arial" w:cs="Arial" w:eastAsia="Arial" w:hAnsi="Arial"/>
          <w:sz w:val="18"/>
          <w:szCs w:val="18"/>
          <w:color w:val="auto"/>
        </w:rPr>
      </w:pPr>
      <w:r>
        <w:rPr>
          <w:rFonts w:ascii="Arial" w:cs="Arial" w:eastAsia="Arial" w:hAnsi="Arial"/>
          <w:sz w:val="16"/>
          <w:szCs w:val="16"/>
          <w:color w:val="auto"/>
        </w:rPr>
        <w:t>229 West 43rd Street, 5th Floor New York, New York 10036</w:t>
      </w:r>
    </w:p>
    <w:p>
      <w:pPr>
        <w:spacing w:after="0" w:line="130" w:lineRule="exact"/>
        <w:rPr>
          <w:sz w:val="20"/>
          <w:szCs w:val="20"/>
          <w:color w:val="auto"/>
        </w:rPr>
      </w:pPr>
    </w:p>
    <w:p>
      <w:pPr>
        <w:spacing w:after="0"/>
        <w:tabs>
          <w:tab w:leader="none" w:pos="880" w:val="left"/>
          <w:tab w:leader="none" w:pos="12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280" w:hanging="38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80" w:hanging="38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280" w:right="41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280" w:right="4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280" w:right="430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280" w:right="4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280" w:right="456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280" w:right="4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280" w:right="406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280" w:right="4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280" w:right="430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280" w:right="4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280" w:hanging="38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5"/>
          <w:szCs w:val="15"/>
          <w:color w:val="auto"/>
        </w:rPr>
        <w:t>Class A Common Stock, par value $0.001 per share ("Class A Common Stock")</w:t>
      </w:r>
    </w:p>
    <w:p>
      <w:pPr>
        <w:spacing w:after="0" w:line="286" w:lineRule="exact"/>
        <w:rPr>
          <w:rFonts w:ascii="Arial" w:cs="Arial" w:eastAsia="Arial" w:hAnsi="Arial"/>
          <w:sz w:val="18"/>
          <w:szCs w:val="18"/>
          <w:color w:val="auto"/>
        </w:rPr>
      </w:pPr>
    </w:p>
    <w:p>
      <w:pPr>
        <w:ind w:left="1280" w:right="5560" w:hanging="381"/>
        <w:spacing w:after="0" w:line="613"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60937P106</w:t>
      </w:r>
    </w:p>
    <w:p>
      <w:pPr>
        <w:spacing w:after="0" w:line="20" w:lineRule="exact"/>
        <w:rPr>
          <w:sz w:val="20"/>
          <w:szCs w:val="20"/>
          <w:color w:val="auto"/>
        </w:rPr>
      </w:pPr>
      <w:r>
        <w:rPr>
          <w:sz w:val="20"/>
          <w:szCs w:val="20"/>
          <w:color w:val="auto"/>
        </w:rPr>
        <w:br w:type="column"/>
      </w:r>
    </w:p>
    <w:p>
      <w:pPr>
        <w:spacing w:after="0"/>
        <w:tabs>
          <w:tab w:leader="none" w:pos="840" w:val="left"/>
          <w:tab w:leader="none" w:pos="1460" w:val="left"/>
          <w:tab w:leader="none" w:pos="214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-127635</wp:posOffset>
            </wp:positionV>
            <wp:extent cx="1427480" cy="158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13</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204" w:lineRule="exact"/>
        <w:rPr>
          <w:sz w:val="20"/>
          <w:szCs w:val="20"/>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80" w:right="140" w:hanging="899"/>
        <w:spacing w:after="0" w:line="268" w:lineRule="auto"/>
        <w:tabs>
          <w:tab w:leader="none" w:pos="9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firstLine="125"/>
        <w:spacing w:after="0" w:line="268" w:lineRule="auto"/>
        <w:rPr>
          <w:sz w:val="20"/>
          <w:szCs w:val="20"/>
          <w:color w:val="auto"/>
        </w:rPr>
      </w:pPr>
      <w:r>
        <w:rPr>
          <w:rFonts w:ascii="Arial" w:cs="Arial" w:eastAsia="Arial" w:hAnsi="Arial"/>
          <w:sz w:val="18"/>
          <w:szCs w:val="18"/>
          <w:color w:val="auto"/>
        </w:rPr>
        <w:t>As of the close of business on May 11, 2018, the reporting persons beneficially owned an aggregate of 677,741 shares of the Issuer’s Class A Common Stock or 5.1% of the Issuer’s Class A Common Stock outstanding.</w:t>
      </w:r>
    </w:p>
    <w:p>
      <w:pPr>
        <w:spacing w:after="0" w:line="145" w:lineRule="exact"/>
        <w:rPr>
          <w:sz w:val="20"/>
          <w:szCs w:val="20"/>
          <w:color w:val="auto"/>
        </w:rPr>
      </w:pPr>
    </w:p>
    <w:p>
      <w:pPr>
        <w:jc w:val="both"/>
        <w:ind w:firstLine="191"/>
        <w:spacing w:after="0" w:line="298" w:lineRule="auto"/>
        <w:rPr>
          <w:sz w:val="20"/>
          <w:szCs w:val="20"/>
          <w:color w:val="auto"/>
        </w:rPr>
      </w:pPr>
      <w:r>
        <w:rPr>
          <w:rFonts w:ascii="Arial" w:cs="Arial" w:eastAsia="Arial" w:hAnsi="Arial"/>
          <w:sz w:val="16"/>
          <w:szCs w:val="16"/>
          <w:color w:val="auto"/>
        </w:rPr>
        <w:t>Thereafter, as of the close of business on May 18, 2018, the reporting persons beneficially owned an aggregate of 588,927 shares of the Issuer’s Class A Common Stock or 4.4% of the Issuer’s Class A Common Stock outstanding. Specifically, Integrated Core Strategies (US) LLC, a Delaware limited liability company ("Integrated Core Strategies"), beneficially owned 477,563 shares of the Issuer’s Class A Common Stock and Integrated Assets II LLC, a Delaware limited liability company ("Integrated Assets II"), beneficially owned 111,364 shares of the Issuer’s Class A Common Stock.</w:t>
      </w:r>
    </w:p>
    <w:p>
      <w:pPr>
        <w:spacing w:after="0" w:line="126" w:lineRule="exact"/>
        <w:rPr>
          <w:sz w:val="20"/>
          <w:szCs w:val="20"/>
          <w:color w:val="auto"/>
        </w:rPr>
      </w:pPr>
    </w:p>
    <w:p>
      <w:pPr>
        <w:jc w:val="both"/>
        <w:ind w:firstLine="132"/>
        <w:spacing w:after="0" w:line="259"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Integrated Assets II and may be deemed to have shared voting control and investment discretion over securities owned by Integrated Core Strategies and Integrated Assets II.</w:t>
      </w:r>
    </w:p>
    <w:p>
      <w:pPr>
        <w:spacing w:after="0" w:line="154" w:lineRule="exact"/>
        <w:rPr>
          <w:sz w:val="20"/>
          <w:szCs w:val="20"/>
          <w:color w:val="auto"/>
        </w:rPr>
      </w:pPr>
    </w:p>
    <w:p>
      <w:pPr>
        <w:jc w:val="both"/>
        <w:ind w:firstLine="199"/>
        <w:spacing w:after="0" w:line="259"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Integrated Assets II.</w:t>
      </w:r>
    </w:p>
    <w:p>
      <w:pPr>
        <w:spacing w:after="0" w:line="154" w:lineRule="exact"/>
        <w:rPr>
          <w:sz w:val="20"/>
          <w:szCs w:val="20"/>
          <w:color w:val="auto"/>
        </w:rPr>
      </w:pPr>
    </w:p>
    <w:p>
      <w:pPr>
        <w:jc w:val="both"/>
        <w:ind w:firstLine="156"/>
        <w:spacing w:after="0" w:line="332" w:lineRule="auto"/>
        <w:rPr>
          <w:sz w:val="20"/>
          <w:szCs w:val="20"/>
          <w:color w:val="auto"/>
        </w:rPr>
      </w:pPr>
      <w:r>
        <w:rPr>
          <w:rFonts w:ascii="Arial" w:cs="Arial" w:eastAsia="Arial" w:hAnsi="Arial"/>
          <w:sz w:val="16"/>
          <w:szCs w:val="16"/>
          <w:color w:val="auto"/>
        </w:rPr>
        <w:t>Israel A. Englander, a United States citizen ("Mr. Englander"), controls the managing member of Millennium Group Management and may also be deemed to have shared voting control and investment discretion over securities owned by Integrated Core Strategies and Integrated Assets II.</w:t>
      </w:r>
    </w:p>
    <w:p>
      <w:pPr>
        <w:spacing w:after="0" w:line="99" w:lineRule="exact"/>
        <w:rPr>
          <w:sz w:val="20"/>
          <w:szCs w:val="20"/>
          <w:color w:val="auto"/>
        </w:rPr>
      </w:pPr>
    </w:p>
    <w:p>
      <w:pPr>
        <w:jc w:val="both"/>
        <w:ind w:right="20" w:firstLine="163"/>
        <w:spacing w:after="0" w:line="268" w:lineRule="auto"/>
        <w:rPr>
          <w:sz w:val="20"/>
          <w:szCs w:val="20"/>
          <w:color w:val="auto"/>
        </w:rPr>
      </w:pPr>
      <w:r>
        <w:rPr>
          <w:rFonts w:ascii="Arial" w:cs="Arial" w:eastAsia="Arial" w:hAnsi="Arial"/>
          <w:sz w:val="18"/>
          <w:szCs w:val="18"/>
          <w:color w:val="auto"/>
        </w:rPr>
        <w:t>The foregoing should not be construed in and of itself as an admission by Millennium Management, Millennium Group Management or Mr. Englander as to beneficial ownership of the securities owned by Integrated Core Strategies or Integrated Assets II, as the case may be.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226"/>
        <w:spacing w:after="0" w:line="256" w:lineRule="auto"/>
        <w:rPr>
          <w:sz w:val="20"/>
          <w:szCs w:val="20"/>
          <w:color w:val="auto"/>
        </w:rPr>
      </w:pPr>
      <w:r>
        <w:rPr>
          <w:rFonts w:ascii="Arial" w:cs="Arial" w:eastAsia="Arial" w:hAnsi="Arial"/>
          <w:sz w:val="18"/>
          <w:szCs w:val="18"/>
          <w:color w:val="auto"/>
        </w:rPr>
        <w:t>As of the close of business on May 18, 2018, Millennium Management, Millennium Group Management and Mr. Englander may be deemed to have beneficially owned 588,927 shares of the Issuer’s Class A Common Stock or 4.4% of the Issuer’s Class A Common Stock outstanding (see Item 4(a) above), which percentage was calculated based on 13,325,834 shares of Class A Common Stock outstanding as of March 26, 2018, as per the Issuer’s Form 10-K dated March 30, 2018.</w:t>
      </w:r>
    </w:p>
    <w:p>
      <w:pPr>
        <w:sectPr>
          <w:pgSz w:w="11900" w:h="16838" w:orient="portrait"/>
          <w:cols w:equalWidth="0" w:num="1">
            <w:col w:w="11420"/>
          </w:cols>
          <w:pgMar w:left="240" w:top="33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164" w:lineRule="exact"/>
        <w:rPr>
          <w:sz w:val="20"/>
          <w:szCs w:val="20"/>
          <w:color w:val="auto"/>
        </w:rPr>
      </w:pPr>
    </w:p>
    <w:p>
      <w:pPr>
        <w:ind w:left="300" w:hanging="248"/>
        <w:spacing w:after="0"/>
        <w:tabs>
          <w:tab w:leader="none" w:pos="300"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920" w:hanging="132"/>
        <w:spacing w:after="0" w:line="454"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680" w:right="7700" w:hanging="132"/>
        <w:spacing w:after="0" w:line="454" w:lineRule="auto"/>
        <w:tabs>
          <w:tab w:leader="none" w:pos="8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588,927</w:t>
      </w:r>
    </w:p>
    <w:p>
      <w:pPr>
        <w:ind w:left="900" w:hanging="308"/>
        <w:spacing w:after="0"/>
        <w:tabs>
          <w:tab w:leader="none" w:pos="9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588,927</w:t>
      </w: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13</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 I: Joint Filing Agreement, dated as of May 18, 2018, by and among Integrated Core Strategies (US) LLC, Integrated Assets II LLC,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2018</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 by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pursuant to Power of Attorney filed with</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SEC on June 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6985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60937P106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MongoDB,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2018</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David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Chairman</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 by David Nolan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pursuant to Power of Attorney filed with</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the SEC on June 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6985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2"/>
      <w:numFmt w:val="bullet"/>
      <w:start w:val="1"/>
    </w:lvl>
    <w:lvl w:ilvl="1">
      <w:lvlJc w:val="left"/>
      <w:lvlText w:val="(%2)"/>
      <w:numFmt w:val="lowerLetter"/>
      <w:start w:val="2"/>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2"/>
      <w:numFmt w:val="bullet"/>
      <w:start w:val="1"/>
    </w:lvl>
    <w:lvl w:ilvl="1">
      <w:lvlJc w:val="left"/>
      <w:lvlText w:val="(%2)"/>
      <w:numFmt w:val="lowerLetter"/>
      <w:start w:val="2"/>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2"/>
      <w:numFmt w:val="bullet"/>
      <w:start w:val="1"/>
    </w:lvl>
    <w:lvl w:ilvl="1">
      <w:lvlJc w:val="left"/>
      <w:lvlText w:val="(%2)"/>
      <w:numFmt w:val="lowerLetter"/>
      <w:start w:val="2"/>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lvl w:ilvl="1">
      <w:lvlJc w:val="left"/>
      <w:lvlText w:val="(%2)"/>
      <w:numFmt w:val="lowerLetter"/>
      <w:start w:val="2"/>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2"/>
      <w:numFmt w:val="bullet"/>
      <w:start w:val="1"/>
    </w:lvl>
    <w:lvl w:ilvl="1">
      <w:lvlJc w:val="left"/>
      <w:lvlText w:val="(%2)"/>
      <w:numFmt w:val="lowerLetter"/>
      <w:start w:val="2"/>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7"/>
    </w:lvl>
  </w:abstractNum>
  <w:abstractNum w:abstractNumId="15">
    <w:nsid w:val="4E6AFB6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16">
    <w:nsid w:val="25E45D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2019-12-21T03:08:07Z</dcterms:created>
  <dcterms:modified xsi:type="dcterms:W3CDTF">2019-12-21T03:08:07Z</dcterms:modified>
</cp:coreProperties>
</file>