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40" w:right="4680" w:firstLine="232"/>
        <w:spacing w:after="0" w:line="494" w:lineRule="auto"/>
        <w:tabs>
          <w:tab w:leader="none" w:pos="5236"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w:t>
      </w:r>
      <w:r>
        <w:rPr>
          <w:rFonts w:ascii="Arial" w:cs="Arial" w:eastAsia="Arial" w:hAnsi="Arial"/>
          <w:sz w:val="10"/>
          <w:szCs w:val="10"/>
          <w:color w:val="auto"/>
        </w:rPr>
        <w:t>1</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22"/>
          <w:szCs w:val="22"/>
          <w:u w:val="single" w:color="auto"/>
          <w:color w:val="auto"/>
        </w:rPr>
        <w:t>MongoDB, Inc.</w:t>
      </w:r>
    </w:p>
    <w:p>
      <w:pPr>
        <w:spacing w:after="0" w:line="8"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$0.001 par value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60937P106</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James Houghtlin</w:t>
      </w:r>
    </w:p>
    <w:p>
      <w:pPr>
        <w:jc w:val="center"/>
        <w:ind w:right="-159"/>
        <w:spacing w:after="0" w:line="238" w:lineRule="auto"/>
        <w:rPr>
          <w:sz w:val="20"/>
          <w:szCs w:val="20"/>
          <w:color w:val="auto"/>
        </w:rPr>
      </w:pPr>
      <w:r>
        <w:rPr>
          <w:rFonts w:ascii="Arial" w:cs="Arial" w:eastAsia="Arial" w:hAnsi="Arial"/>
          <w:sz w:val="22"/>
          <w:szCs w:val="22"/>
          <w:color w:val="auto"/>
        </w:rPr>
        <w:t>Whale Rock Capital Management LLC</w:t>
      </w:r>
    </w:p>
    <w:p>
      <w:pPr>
        <w:jc w:val="center"/>
        <w:ind w:right="-159"/>
        <w:spacing w:after="0" w:line="230" w:lineRule="auto"/>
        <w:rPr>
          <w:sz w:val="20"/>
          <w:szCs w:val="20"/>
          <w:color w:val="auto"/>
        </w:rPr>
      </w:pPr>
      <w:r>
        <w:rPr>
          <w:rFonts w:ascii="Arial" w:cs="Arial" w:eastAsia="Arial" w:hAnsi="Arial"/>
          <w:sz w:val="22"/>
          <w:szCs w:val="22"/>
          <w:color w:val="auto"/>
        </w:rPr>
        <w:t>2 International Place, 24th Floor</w:t>
      </w:r>
    </w:p>
    <w:p>
      <w:pPr>
        <w:jc w:val="center"/>
        <w:ind w:right="-159"/>
        <w:spacing w:after="0" w:line="231" w:lineRule="auto"/>
        <w:rPr>
          <w:sz w:val="20"/>
          <w:szCs w:val="20"/>
          <w:color w:val="auto"/>
        </w:rPr>
      </w:pPr>
      <w:r>
        <w:rPr>
          <w:rFonts w:ascii="Arial" w:cs="Arial" w:eastAsia="Arial" w:hAnsi="Arial"/>
          <w:sz w:val="22"/>
          <w:szCs w:val="22"/>
          <w:color w:val="auto"/>
        </w:rPr>
        <w:t>Boston, MA 02110</w:t>
      </w:r>
    </w:p>
    <w:p>
      <w:pPr>
        <w:jc w:val="center"/>
        <w:ind w:right="-159"/>
        <w:spacing w:after="0" w:line="231" w:lineRule="auto"/>
        <w:rPr>
          <w:sz w:val="20"/>
          <w:szCs w:val="20"/>
          <w:color w:val="auto"/>
        </w:rPr>
      </w:pPr>
      <w:r>
        <w:rPr>
          <w:rFonts w:ascii="Arial" w:cs="Arial" w:eastAsia="Arial" w:hAnsi="Arial"/>
          <w:sz w:val="22"/>
          <w:szCs w:val="22"/>
          <w:color w:val="auto"/>
        </w:rPr>
        <w:t>(617) 502-9909</w:t>
      </w:r>
    </w:p>
    <w:p>
      <w:pPr>
        <w:jc w:val="center"/>
        <w:ind w:right="-15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May 8,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17"/>
          <w:szCs w:val="17"/>
          <w:color w:val="auto"/>
        </w:rPr>
        <w:t>x</w:t>
      </w:r>
      <w:r>
        <w:rPr>
          <w:rFonts w:ascii="Arial" w:cs="Arial" w:eastAsia="Arial" w:hAnsi="Arial"/>
          <w:sz w:val="18"/>
          <w:szCs w:val="18"/>
          <w:color w:val="auto"/>
        </w:rPr>
        <w:t>.</w:t>
      </w:r>
    </w:p>
    <w:p>
      <w:pPr>
        <w:spacing w:after="0" w:line="130"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60937P106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Whale Rock Capital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3,830,271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3,830,271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3,830,271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28.74%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Alexander Sacerdote</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United States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3,830,271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3,830,271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3,830,271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28.74%</w:t>
      </w:r>
    </w:p>
    <w:p>
      <w:pPr>
        <w:spacing w:after="0" w:line="23" w:lineRule="exact"/>
        <w:rPr>
          <w:sz w:val="20"/>
          <w:szCs w:val="20"/>
          <w:color w:val="auto"/>
        </w:rPr>
      </w:pPr>
    </w:p>
    <w:p>
      <w:pPr>
        <w:ind w:left="2340" w:right="7040" w:hanging="1551"/>
        <w:spacing w:after="0" w:line="461"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-504190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-220980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-220980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-220980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60937P106</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Schedule 13D relates to Class A Common Stock ("Class A Common Stock") of MongoDB, Inc., a Delaware corporation (the "Issuer").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Issuer's principal executive offices is 229 W. 43rd Street, 5th Floor, New York, New York 10036.</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left="2600" w:hanging="647"/>
        <w:spacing w:after="0" w:line="277" w:lineRule="auto"/>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on behalf of Whale Rock Capital Management LLC ("Whale Rock") and Alexander Sacerdote (together with Whale Rock, the "Reporting Persons").</w:t>
      </w:r>
    </w:p>
    <w:p>
      <w:pPr>
        <w:spacing w:after="0" w:line="170"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address of each of the Reporting Persons is c/o Whale Rock Capital Management LLC, Two International Place, 24th Floor, Boston, Massachusetts 02110.</w:t>
      </w:r>
    </w:p>
    <w:p>
      <w:pPr>
        <w:spacing w:after="0" w:line="170"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Whale Rock serves as investment manager for certain investment limited partnerships (the "Accounts"). Mr. Sacerdote is the managing member and owner of Whale Rock.</w:t>
      </w:r>
    </w:p>
    <w:p>
      <w:pPr>
        <w:spacing w:after="0" w:line="170" w:lineRule="exact"/>
        <w:rPr>
          <w:rFonts w:ascii="Arial" w:cs="Arial" w:eastAsia="Arial" w:hAnsi="Arial"/>
          <w:sz w:val="18"/>
          <w:szCs w:val="18"/>
          <w:color w:val="auto"/>
        </w:rPr>
      </w:pPr>
    </w:p>
    <w:p>
      <w:pPr>
        <w:ind w:left="2600" w:right="20" w:hanging="647"/>
        <w:spacing w:after="0" w:line="277" w:lineRule="auto"/>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6 of the cover page of each Reporting Person.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shares of Class A Common Stock reported herein as being beneficially owned by the Reporting Persons were purchased in open market transactions for an aggregate $151,157,309.61, using working capital of the Accounts.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Reporting Persons acquired the Class A Common Stock on behalf of the Accounts for investment purposes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Reporting Persons may cause the Accounts to acquire additional shares of Class A Common Stock and/or other securities of the Issuer from time to time or may dispose of any or all of such shares or other securities held by them at any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Reporting Persons intend to evaluate on an ongoing basis the Accounts' investment in the Issuer and their options with respect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From time to time, the Reporting Persons may engage in discussions with the Issuer's Board of Directors and/or members of the Issuer's management team concerning, without limitation, potential business combinations and strategic alternatives, the business, operations, capital structure, governance, management, strategy of the Issuer and other matters concerning the Issuer.</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Reporting Persons reserve the right to change their purpose and to formulate and implement plans or proposals with respect to the Issuer at any time and from time to time. Any such action may be made by the Reporting Persons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5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(b) See Items 7-11 of the cover pages. The percentages reported herein are calculated based upon the statement in the Issuer's Quarterly Report on Form 10-K, as filed with the Securities and Exchange Commission on March 30. 2018, that there were 13,325,834 shares of Class A Common Stock of the Issuer outstanding as of March 26, 2018.</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Shares reported herein represent shares owned by the Accounts. Shares reported herein for Mr. Sacerdote represent shares beneficially owned by the Accounts for which Whale Rock serves as investment manager. Mr. Sacerdote is the managing member of Whale Rock Capital. Each of the Reporting Persons disclaims beneficial ownership of the shares reported herein except to the extent of its or his pecuniary interest therein.</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Whale Rock serves as investment manager of the Accounts, and Mr. Sacerdote serves as managing member and owner of Whale Rock. Accordingly, each of the Reporting Persons may be deemed to beneficially own Securities owned by the Accounts for the purposes of Rule 13d-3 of the Securities Exchange Act of 1934, as amended (the "Act"), insofar as they may be deemed to have the power to direct the voting or disposition of those Securities.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Neither the filing of this Schedule 13D nor any of its contents shall be deemed to constitute an admission that either of the Reporting Persons is, for any other purpose, the beneficial owner of any of the Securities, and each disclaims beneficial ownership as to the securities, except to the extent of its or his pecuniary interests therein.</w:t>
      </w:r>
    </w:p>
    <w:p>
      <w:pPr>
        <w:sectPr>
          <w:pgSz w:w="11900" w:h="16838" w:orient="portrait"/>
          <w:cols w:equalWidth="0" w:num="1">
            <w:col w:w="11420"/>
          </w:cols>
          <w:pgMar w:left="240" w:top="226" w:right="239" w:bottom="69" w:gutter="0" w:footer="0" w:header="0"/>
        </w:sectPr>
      </w:pPr>
    </w:p>
    <w:bookmarkStart w:id="4" w:name="page5"/>
    <w:bookmarkEnd w:id="4"/>
    <w:p>
      <w:pPr>
        <w:jc w:val="both"/>
        <w:ind w:firstLine="1297"/>
        <w:spacing w:after="0" w:line="257" w:lineRule="auto"/>
        <w:rPr>
          <w:sz w:val="20"/>
          <w:szCs w:val="20"/>
          <w:color w:val="auto"/>
        </w:rPr>
      </w:pPr>
      <w:r>
        <w:rPr>
          <w:rFonts w:ascii="Arial" w:cs="Arial" w:eastAsia="Arial" w:hAnsi="Arial"/>
          <w:sz w:val="18"/>
          <w:szCs w:val="18"/>
          <w:color w:val="auto"/>
        </w:rPr>
        <w:t>Under the definition of "beneficial ownership" in Rule 13d-3 under the Act, it is also possible that the individual general partners, executive officers, and members of the foregoing entities might be deemed the "beneficial owners" of some or all of the securities insofar as they may be deemed to share the power to direct the voting or disposition of the securities. Neither the filing of this Schedule 13D nor any of its contents shall be deemed to constitute an admission that any of such individuals is, for any purpose, the beneficial owner of any of the securities, and such beneficial ownership is expressly disclaimed.</w:t>
      </w:r>
    </w:p>
    <w:p>
      <w:pPr>
        <w:spacing w:after="0" w:line="188" w:lineRule="exact"/>
        <w:rPr>
          <w:sz w:val="20"/>
          <w:szCs w:val="20"/>
          <w:color w:val="auto"/>
        </w:rPr>
      </w:pPr>
    </w:p>
    <w:p>
      <w:pPr>
        <w:ind w:firstLine="1305"/>
        <w:spacing w:after="0" w:line="277" w:lineRule="auto"/>
        <w:tabs>
          <w:tab w:leader="none" w:pos="1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table lists transactions in the Common Stock purchased by the Reporting Persons on behalf of the Accounts during the sixty day period prior to the filing of this Schedule 13D:</w:t>
      </w:r>
    </w:p>
    <w:p>
      <w:pPr>
        <w:spacing w:after="0" w:line="198" w:lineRule="exact"/>
        <w:rPr>
          <w:sz w:val="20"/>
          <w:szCs w:val="20"/>
          <w:color w:val="auto"/>
        </w:rPr>
      </w:pPr>
    </w:p>
    <w:tbl>
      <w:tblPr>
        <w:tblLayout w:type="fixed"/>
        <w:tblInd w:w="1340" w:type="dxa"/>
        <w:tblCellMar>
          <w:top w:w="0" w:type="dxa"/>
          <w:left w:w="0" w:type="dxa"/>
          <w:bottom w:w="0" w:type="dxa"/>
          <w:right w:w="0" w:type="dxa"/>
        </w:tblCellMar>
      </w:tblPr>
      <w:tr>
        <w:trPr>
          <w:trHeight w:val="281"/>
        </w:trPr>
        <w:tc>
          <w:tcPr>
            <w:tcW w:w="2620" w:type="dxa"/>
            <w:vAlign w:val="bottom"/>
          </w:tcPr>
          <w:p>
            <w:pPr>
              <w:jc w:val="center"/>
              <w:ind w:right="572"/>
              <w:spacing w:after="0"/>
              <w:rPr>
                <w:sz w:val="20"/>
                <w:szCs w:val="20"/>
                <w:color w:val="auto"/>
              </w:rPr>
            </w:pPr>
            <w:r>
              <w:rPr>
                <w:rFonts w:ascii="Arial" w:cs="Arial" w:eastAsia="Arial" w:hAnsi="Arial"/>
                <w:sz w:val="22"/>
                <w:szCs w:val="22"/>
                <w:b w:val="1"/>
                <w:bCs w:val="1"/>
                <w:color w:val="auto"/>
                <w:w w:val="88"/>
              </w:rPr>
              <w:t>Transaction</w:t>
            </w:r>
          </w:p>
        </w:tc>
        <w:tc>
          <w:tcPr>
            <w:tcW w:w="2020" w:type="dxa"/>
            <w:vAlign w:val="bottom"/>
          </w:tcPr>
          <w:p>
            <w:pPr>
              <w:ind w:left="800"/>
              <w:spacing w:after="0"/>
              <w:rPr>
                <w:sz w:val="20"/>
                <w:szCs w:val="20"/>
                <w:color w:val="auto"/>
              </w:rPr>
            </w:pPr>
            <w:r>
              <w:rPr>
                <w:rFonts w:ascii="Arial" w:cs="Arial" w:eastAsia="Arial" w:hAnsi="Arial"/>
                <w:sz w:val="22"/>
                <w:szCs w:val="22"/>
                <w:b w:val="1"/>
                <w:bCs w:val="1"/>
                <w:color w:val="auto"/>
              </w:rPr>
              <w:t>Date</w:t>
            </w:r>
          </w:p>
        </w:tc>
        <w:tc>
          <w:tcPr>
            <w:tcW w:w="2340" w:type="dxa"/>
            <w:vAlign w:val="bottom"/>
          </w:tcPr>
          <w:p>
            <w:pPr>
              <w:ind w:left="680"/>
              <w:spacing w:after="0"/>
              <w:rPr>
                <w:sz w:val="20"/>
                <w:szCs w:val="20"/>
                <w:color w:val="auto"/>
              </w:rPr>
            </w:pPr>
            <w:r>
              <w:rPr>
                <w:rFonts w:ascii="Arial" w:cs="Arial" w:eastAsia="Arial" w:hAnsi="Arial"/>
                <w:sz w:val="22"/>
                <w:szCs w:val="22"/>
                <w:b w:val="1"/>
                <w:bCs w:val="1"/>
                <w:color w:val="auto"/>
              </w:rPr>
              <w:t>No. Shares</w:t>
            </w:r>
          </w:p>
        </w:tc>
        <w:tc>
          <w:tcPr>
            <w:tcW w:w="2080" w:type="dxa"/>
            <w:vAlign w:val="bottom"/>
          </w:tcPr>
          <w:p>
            <w:pPr>
              <w:ind w:left="680"/>
              <w:spacing w:after="0"/>
              <w:rPr>
                <w:sz w:val="20"/>
                <w:szCs w:val="20"/>
                <w:color w:val="auto"/>
              </w:rPr>
            </w:pPr>
            <w:r>
              <w:rPr>
                <w:rFonts w:ascii="Arial" w:cs="Arial" w:eastAsia="Arial" w:hAnsi="Arial"/>
                <w:sz w:val="22"/>
                <w:szCs w:val="22"/>
                <w:b w:val="1"/>
                <w:bCs w:val="1"/>
                <w:color w:val="auto"/>
                <w:w w:val="86"/>
              </w:rPr>
              <w:t>Price per share</w:t>
            </w:r>
          </w:p>
        </w:tc>
      </w:tr>
      <w:tr>
        <w:trPr>
          <w:trHeight w:val="374"/>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3/26/18</w:t>
            </w:r>
          </w:p>
        </w:tc>
        <w:tc>
          <w:tcPr>
            <w:tcW w:w="2340" w:type="dxa"/>
            <w:vAlign w:val="bottom"/>
          </w:tcPr>
          <w:p>
            <w:pPr>
              <w:ind w:left="680"/>
              <w:spacing w:after="0"/>
              <w:rPr>
                <w:sz w:val="20"/>
                <w:szCs w:val="20"/>
                <w:color w:val="auto"/>
              </w:rPr>
            </w:pPr>
            <w:r>
              <w:rPr>
                <w:rFonts w:ascii="Arial" w:cs="Arial" w:eastAsia="Arial" w:hAnsi="Arial"/>
                <w:sz w:val="22"/>
                <w:szCs w:val="22"/>
                <w:color w:val="auto"/>
              </w:rPr>
              <w:t>52,799</w:t>
            </w:r>
          </w:p>
        </w:tc>
        <w:tc>
          <w:tcPr>
            <w:tcW w:w="2080" w:type="dxa"/>
            <w:vAlign w:val="bottom"/>
          </w:tcPr>
          <w:p>
            <w:pPr>
              <w:ind w:left="680"/>
              <w:spacing w:after="0" w:line="373" w:lineRule="exact"/>
              <w:rPr>
                <w:sz w:val="20"/>
                <w:szCs w:val="20"/>
                <w:color w:val="auto"/>
              </w:rPr>
            </w:pPr>
            <w:r>
              <w:rPr>
                <w:rFonts w:ascii="Arial" w:cs="Arial" w:eastAsia="Arial" w:hAnsi="Arial"/>
                <w:sz w:val="22"/>
                <w:szCs w:val="22"/>
                <w:color w:val="auto"/>
              </w:rPr>
              <w:t>$44.75</w:t>
            </w:r>
            <w:r>
              <w:rPr>
                <w:rFonts w:ascii="Arial" w:cs="Arial" w:eastAsia="Arial" w:hAnsi="Arial"/>
                <w:sz w:val="36"/>
                <w:szCs w:val="36"/>
                <w:color w:val="auto"/>
                <w:vertAlign w:val="superscript"/>
              </w:rPr>
              <w:t>1</w:t>
            </w:r>
          </w:p>
        </w:tc>
      </w:tr>
      <w:tr>
        <w:trPr>
          <w:trHeight w:val="275"/>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3/27/18</w:t>
            </w:r>
          </w:p>
        </w:tc>
        <w:tc>
          <w:tcPr>
            <w:tcW w:w="2340" w:type="dxa"/>
            <w:vAlign w:val="bottom"/>
          </w:tcPr>
          <w:p>
            <w:pPr>
              <w:ind w:left="680"/>
              <w:spacing w:after="0"/>
              <w:rPr>
                <w:sz w:val="20"/>
                <w:szCs w:val="20"/>
                <w:color w:val="auto"/>
              </w:rPr>
            </w:pPr>
            <w:r>
              <w:rPr>
                <w:rFonts w:ascii="Arial" w:cs="Arial" w:eastAsia="Arial" w:hAnsi="Arial"/>
                <w:sz w:val="22"/>
                <w:szCs w:val="22"/>
                <w:color w:val="auto"/>
              </w:rPr>
              <w:t>48,594</w:t>
            </w:r>
          </w:p>
        </w:tc>
        <w:tc>
          <w:tcPr>
            <w:tcW w:w="2080" w:type="dxa"/>
            <w:vAlign w:val="bottom"/>
          </w:tcPr>
          <w:p>
            <w:pPr>
              <w:ind w:left="680"/>
              <w:spacing w:after="0"/>
              <w:rPr>
                <w:sz w:val="20"/>
                <w:szCs w:val="20"/>
                <w:color w:val="auto"/>
              </w:rPr>
            </w:pPr>
            <w:r>
              <w:rPr>
                <w:rFonts w:ascii="Arial" w:cs="Arial" w:eastAsia="Arial" w:hAnsi="Arial"/>
                <w:sz w:val="22"/>
                <w:szCs w:val="22"/>
                <w:color w:val="auto"/>
              </w:rPr>
              <w:t>$44.90</w:t>
            </w:r>
          </w:p>
        </w:tc>
      </w:tr>
      <w:tr>
        <w:trPr>
          <w:trHeight w:val="297"/>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3/27/18</w:t>
            </w:r>
          </w:p>
        </w:tc>
        <w:tc>
          <w:tcPr>
            <w:tcW w:w="2340" w:type="dxa"/>
            <w:vAlign w:val="bottom"/>
          </w:tcPr>
          <w:p>
            <w:pPr>
              <w:ind w:left="680"/>
              <w:spacing w:after="0"/>
              <w:rPr>
                <w:sz w:val="20"/>
                <w:szCs w:val="20"/>
                <w:color w:val="auto"/>
              </w:rPr>
            </w:pPr>
            <w:r>
              <w:rPr>
                <w:rFonts w:ascii="Arial" w:cs="Arial" w:eastAsia="Arial" w:hAnsi="Arial"/>
                <w:sz w:val="22"/>
                <w:szCs w:val="22"/>
                <w:color w:val="auto"/>
              </w:rPr>
              <w:t>53,390</w:t>
            </w:r>
          </w:p>
        </w:tc>
        <w:tc>
          <w:tcPr>
            <w:tcW w:w="2080" w:type="dxa"/>
            <w:vAlign w:val="bottom"/>
          </w:tcPr>
          <w:p>
            <w:pPr>
              <w:ind w:left="680"/>
              <w:spacing w:after="0"/>
              <w:rPr>
                <w:sz w:val="20"/>
                <w:szCs w:val="20"/>
                <w:color w:val="auto"/>
              </w:rPr>
            </w:pPr>
            <w:r>
              <w:rPr>
                <w:rFonts w:ascii="Arial" w:cs="Arial" w:eastAsia="Arial" w:hAnsi="Arial"/>
                <w:sz w:val="22"/>
                <w:szCs w:val="22"/>
                <w:color w:val="auto"/>
              </w:rPr>
              <w:t>$43.39</w:t>
            </w:r>
          </w:p>
        </w:tc>
      </w:tr>
      <w:tr>
        <w:trPr>
          <w:trHeight w:val="297"/>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3/27/18</w:t>
            </w:r>
          </w:p>
        </w:tc>
        <w:tc>
          <w:tcPr>
            <w:tcW w:w="2340" w:type="dxa"/>
            <w:vAlign w:val="bottom"/>
          </w:tcPr>
          <w:p>
            <w:pPr>
              <w:ind w:left="680"/>
              <w:spacing w:after="0"/>
              <w:rPr>
                <w:sz w:val="20"/>
                <w:szCs w:val="20"/>
                <w:color w:val="auto"/>
              </w:rPr>
            </w:pPr>
            <w:r>
              <w:rPr>
                <w:rFonts w:ascii="Arial" w:cs="Arial" w:eastAsia="Arial" w:hAnsi="Arial"/>
                <w:sz w:val="22"/>
                <w:szCs w:val="22"/>
                <w:color w:val="auto"/>
              </w:rPr>
              <w:t>150,000</w:t>
            </w:r>
          </w:p>
        </w:tc>
        <w:tc>
          <w:tcPr>
            <w:tcW w:w="2080" w:type="dxa"/>
            <w:vAlign w:val="bottom"/>
          </w:tcPr>
          <w:p>
            <w:pPr>
              <w:ind w:left="680"/>
              <w:spacing w:after="0"/>
              <w:rPr>
                <w:sz w:val="20"/>
                <w:szCs w:val="20"/>
                <w:color w:val="auto"/>
              </w:rPr>
            </w:pPr>
            <w:r>
              <w:rPr>
                <w:rFonts w:ascii="Arial" w:cs="Arial" w:eastAsia="Arial" w:hAnsi="Arial"/>
                <w:sz w:val="22"/>
                <w:szCs w:val="22"/>
                <w:color w:val="auto"/>
              </w:rPr>
              <w:t>$42.63</w:t>
            </w:r>
          </w:p>
        </w:tc>
      </w:tr>
      <w:tr>
        <w:trPr>
          <w:trHeight w:val="374"/>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3/28/18</w:t>
            </w:r>
          </w:p>
        </w:tc>
        <w:tc>
          <w:tcPr>
            <w:tcW w:w="2340" w:type="dxa"/>
            <w:vAlign w:val="bottom"/>
          </w:tcPr>
          <w:p>
            <w:pPr>
              <w:ind w:left="680"/>
              <w:spacing w:after="0"/>
              <w:rPr>
                <w:sz w:val="20"/>
                <w:szCs w:val="20"/>
                <w:color w:val="auto"/>
              </w:rPr>
            </w:pPr>
            <w:r>
              <w:rPr>
                <w:rFonts w:ascii="Arial" w:cs="Arial" w:eastAsia="Arial" w:hAnsi="Arial"/>
                <w:sz w:val="22"/>
                <w:szCs w:val="22"/>
                <w:color w:val="auto"/>
              </w:rPr>
              <w:t>174,112</w:t>
            </w:r>
          </w:p>
        </w:tc>
        <w:tc>
          <w:tcPr>
            <w:tcW w:w="2080" w:type="dxa"/>
            <w:vAlign w:val="bottom"/>
          </w:tcPr>
          <w:p>
            <w:pPr>
              <w:ind w:left="680"/>
              <w:spacing w:after="0" w:line="373" w:lineRule="exact"/>
              <w:rPr>
                <w:sz w:val="20"/>
                <w:szCs w:val="20"/>
                <w:color w:val="auto"/>
              </w:rPr>
            </w:pPr>
            <w:r>
              <w:rPr>
                <w:rFonts w:ascii="Arial" w:cs="Arial" w:eastAsia="Arial" w:hAnsi="Arial"/>
                <w:sz w:val="22"/>
                <w:szCs w:val="22"/>
                <w:color w:val="auto"/>
              </w:rPr>
              <w:t>$41.28</w:t>
            </w:r>
            <w:r>
              <w:rPr>
                <w:rFonts w:ascii="Arial" w:cs="Arial" w:eastAsia="Arial" w:hAnsi="Arial"/>
                <w:sz w:val="36"/>
                <w:szCs w:val="36"/>
                <w:color w:val="auto"/>
                <w:vertAlign w:val="superscript"/>
              </w:rPr>
              <w:t>2</w:t>
            </w:r>
          </w:p>
        </w:tc>
      </w:tr>
      <w:tr>
        <w:trPr>
          <w:trHeight w:val="275"/>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3/29/18</w:t>
            </w:r>
          </w:p>
        </w:tc>
        <w:tc>
          <w:tcPr>
            <w:tcW w:w="2340" w:type="dxa"/>
            <w:vAlign w:val="bottom"/>
          </w:tcPr>
          <w:p>
            <w:pPr>
              <w:ind w:left="680"/>
              <w:spacing w:after="0"/>
              <w:rPr>
                <w:sz w:val="20"/>
                <w:szCs w:val="20"/>
                <w:color w:val="auto"/>
              </w:rPr>
            </w:pPr>
            <w:r>
              <w:rPr>
                <w:rFonts w:ascii="Arial" w:cs="Arial" w:eastAsia="Arial" w:hAnsi="Arial"/>
                <w:sz w:val="22"/>
                <w:szCs w:val="22"/>
                <w:color w:val="auto"/>
              </w:rPr>
              <w:t>77,967</w:t>
            </w:r>
          </w:p>
        </w:tc>
        <w:tc>
          <w:tcPr>
            <w:tcW w:w="2080" w:type="dxa"/>
            <w:vAlign w:val="bottom"/>
          </w:tcPr>
          <w:p>
            <w:pPr>
              <w:ind w:left="680"/>
              <w:spacing w:after="0"/>
              <w:rPr>
                <w:sz w:val="20"/>
                <w:szCs w:val="20"/>
                <w:color w:val="auto"/>
              </w:rPr>
            </w:pPr>
            <w:r>
              <w:rPr>
                <w:rFonts w:ascii="Arial" w:cs="Arial" w:eastAsia="Arial" w:hAnsi="Arial"/>
                <w:sz w:val="22"/>
                <w:szCs w:val="22"/>
                <w:color w:val="auto"/>
              </w:rPr>
              <w:t>$43.32</w:t>
            </w:r>
          </w:p>
        </w:tc>
      </w:tr>
      <w:tr>
        <w:trPr>
          <w:trHeight w:val="374"/>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4/2/18</w:t>
            </w:r>
          </w:p>
        </w:tc>
        <w:tc>
          <w:tcPr>
            <w:tcW w:w="2340" w:type="dxa"/>
            <w:vAlign w:val="bottom"/>
          </w:tcPr>
          <w:p>
            <w:pPr>
              <w:ind w:left="680"/>
              <w:spacing w:after="0"/>
              <w:rPr>
                <w:sz w:val="20"/>
                <w:szCs w:val="20"/>
                <w:color w:val="auto"/>
              </w:rPr>
            </w:pPr>
            <w:r>
              <w:rPr>
                <w:rFonts w:ascii="Arial" w:cs="Arial" w:eastAsia="Arial" w:hAnsi="Arial"/>
                <w:sz w:val="22"/>
                <w:szCs w:val="22"/>
                <w:color w:val="auto"/>
              </w:rPr>
              <w:t>92,276</w:t>
            </w:r>
          </w:p>
        </w:tc>
        <w:tc>
          <w:tcPr>
            <w:tcW w:w="2080" w:type="dxa"/>
            <w:vAlign w:val="bottom"/>
          </w:tcPr>
          <w:p>
            <w:pPr>
              <w:ind w:left="680"/>
              <w:spacing w:after="0" w:line="373" w:lineRule="exact"/>
              <w:rPr>
                <w:sz w:val="20"/>
                <w:szCs w:val="20"/>
                <w:color w:val="auto"/>
              </w:rPr>
            </w:pPr>
            <w:r>
              <w:rPr>
                <w:rFonts w:ascii="Arial" w:cs="Arial" w:eastAsia="Arial" w:hAnsi="Arial"/>
                <w:sz w:val="22"/>
                <w:szCs w:val="22"/>
                <w:color w:val="auto"/>
              </w:rPr>
              <w:t>$43.47</w:t>
            </w:r>
            <w:r>
              <w:rPr>
                <w:rFonts w:ascii="Arial" w:cs="Arial" w:eastAsia="Arial" w:hAnsi="Arial"/>
                <w:sz w:val="36"/>
                <w:szCs w:val="36"/>
                <w:color w:val="auto"/>
                <w:vertAlign w:val="superscript"/>
              </w:rPr>
              <w:t>3</w:t>
            </w:r>
          </w:p>
        </w:tc>
      </w:tr>
      <w:tr>
        <w:trPr>
          <w:trHeight w:val="275"/>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4/3/18</w:t>
            </w:r>
          </w:p>
        </w:tc>
        <w:tc>
          <w:tcPr>
            <w:tcW w:w="2340" w:type="dxa"/>
            <w:vAlign w:val="bottom"/>
          </w:tcPr>
          <w:p>
            <w:pPr>
              <w:ind w:left="680"/>
              <w:spacing w:after="0"/>
              <w:rPr>
                <w:sz w:val="20"/>
                <w:szCs w:val="20"/>
                <w:color w:val="auto"/>
              </w:rPr>
            </w:pPr>
            <w:r>
              <w:rPr>
                <w:rFonts w:ascii="Arial" w:cs="Arial" w:eastAsia="Arial" w:hAnsi="Arial"/>
                <w:sz w:val="22"/>
                <w:szCs w:val="22"/>
                <w:color w:val="auto"/>
              </w:rPr>
              <w:t>13,107</w:t>
            </w:r>
          </w:p>
        </w:tc>
        <w:tc>
          <w:tcPr>
            <w:tcW w:w="2080" w:type="dxa"/>
            <w:vAlign w:val="bottom"/>
          </w:tcPr>
          <w:p>
            <w:pPr>
              <w:ind w:left="680"/>
              <w:spacing w:after="0"/>
              <w:rPr>
                <w:sz w:val="20"/>
                <w:szCs w:val="20"/>
                <w:color w:val="auto"/>
              </w:rPr>
            </w:pPr>
            <w:r>
              <w:rPr>
                <w:rFonts w:ascii="Arial" w:cs="Arial" w:eastAsia="Arial" w:hAnsi="Arial"/>
                <w:sz w:val="22"/>
                <w:szCs w:val="22"/>
                <w:color w:val="auto"/>
              </w:rPr>
              <w:t>$44.93</w:t>
            </w:r>
          </w:p>
        </w:tc>
      </w:tr>
      <w:tr>
        <w:trPr>
          <w:trHeight w:val="381"/>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4/17/18</w:t>
            </w:r>
          </w:p>
        </w:tc>
        <w:tc>
          <w:tcPr>
            <w:tcW w:w="2340" w:type="dxa"/>
            <w:vAlign w:val="bottom"/>
          </w:tcPr>
          <w:p>
            <w:pPr>
              <w:ind w:left="680"/>
              <w:spacing w:after="0"/>
              <w:rPr>
                <w:sz w:val="20"/>
                <w:szCs w:val="20"/>
                <w:color w:val="auto"/>
              </w:rPr>
            </w:pPr>
            <w:r>
              <w:rPr>
                <w:rFonts w:ascii="Arial" w:cs="Arial" w:eastAsia="Arial" w:hAnsi="Arial"/>
                <w:sz w:val="22"/>
                <w:szCs w:val="22"/>
                <w:color w:val="auto"/>
              </w:rPr>
              <w:t>651,430</w:t>
            </w:r>
          </w:p>
        </w:tc>
        <w:tc>
          <w:tcPr>
            <w:tcW w:w="2080" w:type="dxa"/>
            <w:vAlign w:val="bottom"/>
          </w:tcPr>
          <w:p>
            <w:pPr>
              <w:ind w:left="680"/>
              <w:spacing w:after="0" w:line="380" w:lineRule="exact"/>
              <w:rPr>
                <w:sz w:val="20"/>
                <w:szCs w:val="20"/>
                <w:color w:val="auto"/>
              </w:rPr>
            </w:pPr>
            <w:r>
              <w:rPr>
                <w:rFonts w:ascii="Arial" w:cs="Arial" w:eastAsia="Arial" w:hAnsi="Arial"/>
                <w:sz w:val="22"/>
                <w:szCs w:val="22"/>
                <w:color w:val="auto"/>
              </w:rPr>
              <w:t>$38.69</w:t>
            </w:r>
            <w:r>
              <w:rPr>
                <w:rFonts w:ascii="Arial" w:cs="Arial" w:eastAsia="Arial" w:hAnsi="Arial"/>
                <w:sz w:val="36"/>
                <w:szCs w:val="36"/>
                <w:color w:val="auto"/>
                <w:vertAlign w:val="superscript"/>
              </w:rPr>
              <w:t>4</w:t>
            </w:r>
          </w:p>
        </w:tc>
      </w:tr>
      <w:tr>
        <w:trPr>
          <w:trHeight w:val="344"/>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4/26/18</w:t>
            </w:r>
          </w:p>
        </w:tc>
        <w:tc>
          <w:tcPr>
            <w:tcW w:w="2340" w:type="dxa"/>
            <w:vAlign w:val="bottom"/>
          </w:tcPr>
          <w:p>
            <w:pPr>
              <w:ind w:left="680"/>
              <w:spacing w:after="0"/>
              <w:rPr>
                <w:sz w:val="20"/>
                <w:szCs w:val="20"/>
                <w:color w:val="auto"/>
              </w:rPr>
            </w:pPr>
            <w:r>
              <w:rPr>
                <w:rFonts w:ascii="Arial" w:cs="Arial" w:eastAsia="Arial" w:hAnsi="Arial"/>
                <w:sz w:val="22"/>
                <w:szCs w:val="22"/>
                <w:color w:val="auto"/>
              </w:rPr>
              <w:t>851,746</w:t>
            </w:r>
          </w:p>
        </w:tc>
        <w:tc>
          <w:tcPr>
            <w:tcW w:w="2080" w:type="dxa"/>
            <w:vAlign w:val="bottom"/>
          </w:tcPr>
          <w:p>
            <w:pPr>
              <w:ind w:left="680"/>
              <w:spacing w:after="0" w:line="344" w:lineRule="exact"/>
              <w:rPr>
                <w:sz w:val="20"/>
                <w:szCs w:val="20"/>
                <w:color w:val="auto"/>
              </w:rPr>
            </w:pPr>
            <w:r>
              <w:rPr>
                <w:rFonts w:ascii="Arial" w:cs="Arial" w:eastAsia="Arial" w:hAnsi="Arial"/>
                <w:sz w:val="22"/>
                <w:szCs w:val="22"/>
                <w:color w:val="auto"/>
              </w:rPr>
              <w:t>$36.87</w:t>
            </w:r>
            <w:r>
              <w:rPr>
                <w:rFonts w:ascii="Arial" w:cs="Arial" w:eastAsia="Arial" w:hAnsi="Arial"/>
                <w:sz w:val="36"/>
                <w:szCs w:val="36"/>
                <w:color w:val="auto"/>
                <w:vertAlign w:val="superscript"/>
              </w:rPr>
              <w:t>5</w:t>
            </w:r>
          </w:p>
        </w:tc>
      </w:tr>
      <w:tr>
        <w:trPr>
          <w:trHeight w:val="275"/>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5/3/18</w:t>
            </w:r>
          </w:p>
        </w:tc>
        <w:tc>
          <w:tcPr>
            <w:tcW w:w="2340" w:type="dxa"/>
            <w:vAlign w:val="bottom"/>
          </w:tcPr>
          <w:p>
            <w:pPr>
              <w:ind w:left="680"/>
              <w:spacing w:after="0"/>
              <w:rPr>
                <w:sz w:val="20"/>
                <w:szCs w:val="20"/>
                <w:color w:val="auto"/>
              </w:rPr>
            </w:pPr>
            <w:r>
              <w:rPr>
                <w:rFonts w:ascii="Arial" w:cs="Arial" w:eastAsia="Arial" w:hAnsi="Arial"/>
                <w:sz w:val="22"/>
                <w:szCs w:val="22"/>
                <w:color w:val="auto"/>
              </w:rPr>
              <w:t>450,000</w:t>
            </w:r>
          </w:p>
        </w:tc>
        <w:tc>
          <w:tcPr>
            <w:tcW w:w="2080" w:type="dxa"/>
            <w:vAlign w:val="bottom"/>
          </w:tcPr>
          <w:p>
            <w:pPr>
              <w:ind w:left="680"/>
              <w:spacing w:after="0"/>
              <w:rPr>
                <w:sz w:val="20"/>
                <w:szCs w:val="20"/>
                <w:color w:val="auto"/>
              </w:rPr>
            </w:pPr>
            <w:r>
              <w:rPr>
                <w:rFonts w:ascii="Arial" w:cs="Arial" w:eastAsia="Arial" w:hAnsi="Arial"/>
                <w:sz w:val="22"/>
                <w:szCs w:val="22"/>
                <w:color w:val="auto"/>
              </w:rPr>
              <w:t>$38.35</w:t>
            </w:r>
          </w:p>
        </w:tc>
      </w:tr>
      <w:tr>
        <w:trPr>
          <w:trHeight w:val="297"/>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5/8/18</w:t>
            </w:r>
          </w:p>
        </w:tc>
        <w:tc>
          <w:tcPr>
            <w:tcW w:w="2340" w:type="dxa"/>
            <w:vAlign w:val="bottom"/>
          </w:tcPr>
          <w:p>
            <w:pPr>
              <w:ind w:left="680"/>
              <w:spacing w:after="0"/>
              <w:rPr>
                <w:sz w:val="20"/>
                <w:szCs w:val="20"/>
                <w:color w:val="auto"/>
              </w:rPr>
            </w:pPr>
            <w:r>
              <w:rPr>
                <w:rFonts w:ascii="Arial" w:cs="Arial" w:eastAsia="Arial" w:hAnsi="Arial"/>
                <w:sz w:val="22"/>
                <w:szCs w:val="22"/>
                <w:color w:val="auto"/>
              </w:rPr>
              <w:t>14,850</w:t>
            </w:r>
          </w:p>
        </w:tc>
        <w:tc>
          <w:tcPr>
            <w:tcW w:w="2080" w:type="dxa"/>
            <w:vAlign w:val="bottom"/>
          </w:tcPr>
          <w:p>
            <w:pPr>
              <w:ind w:left="680"/>
              <w:spacing w:after="0"/>
              <w:rPr>
                <w:sz w:val="20"/>
                <w:szCs w:val="20"/>
                <w:color w:val="auto"/>
              </w:rPr>
            </w:pPr>
            <w:r>
              <w:rPr>
                <w:rFonts w:ascii="Arial" w:cs="Arial" w:eastAsia="Arial" w:hAnsi="Arial"/>
                <w:sz w:val="22"/>
                <w:szCs w:val="22"/>
                <w:color w:val="auto"/>
              </w:rPr>
              <w:t>$38.14</w:t>
            </w:r>
          </w:p>
        </w:tc>
      </w:tr>
      <w:tr>
        <w:trPr>
          <w:trHeight w:val="297"/>
        </w:trPr>
        <w:tc>
          <w:tcPr>
            <w:tcW w:w="2620" w:type="dxa"/>
            <w:vAlign w:val="bottom"/>
          </w:tcPr>
          <w:p>
            <w:pPr>
              <w:jc w:val="center"/>
              <w:ind w:right="572"/>
              <w:spacing w:after="0"/>
              <w:rPr>
                <w:sz w:val="20"/>
                <w:szCs w:val="20"/>
                <w:color w:val="auto"/>
              </w:rPr>
            </w:pPr>
            <w:r>
              <w:rPr>
                <w:rFonts w:ascii="Arial" w:cs="Arial" w:eastAsia="Arial" w:hAnsi="Arial"/>
                <w:sz w:val="22"/>
                <w:szCs w:val="22"/>
                <w:color w:val="auto"/>
                <w:w w:val="86"/>
              </w:rPr>
              <w:t>Open market purchase</w:t>
            </w:r>
          </w:p>
        </w:tc>
        <w:tc>
          <w:tcPr>
            <w:tcW w:w="2020" w:type="dxa"/>
            <w:vAlign w:val="bottom"/>
          </w:tcPr>
          <w:p>
            <w:pPr>
              <w:ind w:left="680"/>
              <w:spacing w:after="0"/>
              <w:rPr>
                <w:sz w:val="20"/>
                <w:szCs w:val="20"/>
                <w:color w:val="auto"/>
              </w:rPr>
            </w:pPr>
            <w:r>
              <w:rPr>
                <w:rFonts w:ascii="Arial" w:cs="Arial" w:eastAsia="Arial" w:hAnsi="Arial"/>
                <w:sz w:val="22"/>
                <w:szCs w:val="22"/>
                <w:color w:val="auto"/>
              </w:rPr>
              <w:t>5/8/18</w:t>
            </w:r>
          </w:p>
        </w:tc>
        <w:tc>
          <w:tcPr>
            <w:tcW w:w="2340" w:type="dxa"/>
            <w:vAlign w:val="bottom"/>
          </w:tcPr>
          <w:p>
            <w:pPr>
              <w:ind w:left="680"/>
              <w:spacing w:after="0"/>
              <w:rPr>
                <w:sz w:val="20"/>
                <w:szCs w:val="20"/>
                <w:color w:val="auto"/>
              </w:rPr>
            </w:pPr>
            <w:r>
              <w:rPr>
                <w:rFonts w:ascii="Arial" w:cs="Arial" w:eastAsia="Arial" w:hAnsi="Arial"/>
                <w:sz w:val="22"/>
                <w:szCs w:val="22"/>
                <w:color w:val="auto"/>
              </w:rPr>
              <w:t>1,200,000</w:t>
            </w:r>
          </w:p>
        </w:tc>
        <w:tc>
          <w:tcPr>
            <w:tcW w:w="2080" w:type="dxa"/>
            <w:vAlign w:val="bottom"/>
          </w:tcPr>
          <w:p>
            <w:pPr>
              <w:ind w:left="680"/>
              <w:spacing w:after="0"/>
              <w:rPr>
                <w:sz w:val="20"/>
                <w:szCs w:val="20"/>
                <w:color w:val="auto"/>
              </w:rPr>
            </w:pPr>
            <w:r>
              <w:rPr>
                <w:rFonts w:ascii="Arial" w:cs="Arial" w:eastAsia="Arial" w:hAnsi="Arial"/>
                <w:sz w:val="22"/>
                <w:szCs w:val="22"/>
                <w:color w:val="auto"/>
              </w:rPr>
              <w:t>$40.26</w:t>
            </w:r>
          </w:p>
        </w:tc>
      </w:tr>
    </w:tbl>
    <w:p>
      <w:pPr>
        <w:spacing w:after="0" w:line="232" w:lineRule="exact"/>
        <w:rPr>
          <w:sz w:val="20"/>
          <w:szCs w:val="20"/>
          <w:color w:val="auto"/>
        </w:rPr>
      </w:pPr>
    </w:p>
    <w:p>
      <w:pPr>
        <w:jc w:val="both"/>
        <w:ind w:firstLine="1305"/>
        <w:spacing w:after="0" w:line="264" w:lineRule="auto"/>
        <w:tabs>
          <w:tab w:leader="none" w:pos="1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weighted average purchase price of shares purchased at prices ranging from $44.67 to $44.78 per share. The Reporting Persons undertake to provide, upon request by the staff of the Securities and Exchange Commission, the issuer, or a security holder of the issuer, full information regarding the number of shares purchased at each price.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weighted average purchase price of shares purchased at prices ranging from $41.27 to $41.38 per share. The Reporting Persons undertake to provide, upon request by the staff of the Securities and Exchange Commission, the issuer, or a security holder of the issuer, full information regarding the number of shares purchased at each price.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weighted average purchase price of shares purchased at prices ranging from $43.13 to $43.88 per share. The Reporting Persons undertake to provide, upon request by the staff of the Securities and Exchange Commission, the issuer, or a security holder of the issuer, full information regarding the number of shares purchased at each price.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weighted average purchase price of shares purchased at prices ranging from $38.61 to $38.86 per share. The Reporting Persons undertake to provide, upon request by the staff of the Securities and Exchange Commission, the issuer, or a security holder of the issuer, full information regarding the number of shares purchased at each price.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weighted average purchase price of shares purchased at prices ranging from $36.69 to $37.30 per share. The Reporting Persons undertake to provide, upon request by the staff of the Securities and Exchange Commission, the issuer, or a security holder of the issuer, full information regarding the number of shares purchased at each price.</w:t>
      </w:r>
    </w:p>
    <w:p>
      <w:pPr>
        <w:spacing w:after="0" w:line="181" w:lineRule="exact"/>
        <w:rPr>
          <w:sz w:val="20"/>
          <w:szCs w:val="20"/>
          <w:color w:val="auto"/>
        </w:rPr>
      </w:pPr>
    </w:p>
    <w:p>
      <w:pPr>
        <w:jc w:val="both"/>
        <w:ind w:firstLine="1305"/>
        <w:spacing w:after="0" w:line="264" w:lineRule="auto"/>
        <w:tabs>
          <w:tab w:leader="none" w:pos="15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Accounts have the right to receive or the power to direct the receipt of dividends from, or the proceeds from the sale of, the shares of Class A Common Stock reported herein, with Whale Rock Flagship Master Fund LP having such right with respect to more than 5% of the outstanding shares of Class A Common Stock.</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jc w:val="center"/>
        <w:ind w:right="77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by and among the Reporting Persons, dated May 10, 2018.</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CUSIP NO. 60937P106</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2018</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Alexander Sacerdote</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Alexander Sacerdote</w:t>
            </w:r>
          </w:p>
        </w:tc>
      </w:tr>
      <w:tr>
        <w:trPr>
          <w:trHeight w:val="216"/>
        </w:trPr>
        <w:tc>
          <w:tcPr>
            <w:tcW w:w="46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Managing Member of Whale Rock Capital</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60" w:type="dxa"/>
            <w:vAlign w:val="bottom"/>
          </w:tcPr>
          <w:p>
            <w:pPr>
              <w:ind w:left="280"/>
              <w:spacing w:after="0"/>
              <w:rPr>
                <w:sz w:val="20"/>
                <w:szCs w:val="20"/>
                <w:color w:val="auto"/>
              </w:rPr>
            </w:pPr>
            <w:r>
              <w:rPr>
                <w:rFonts w:ascii="Arial" w:cs="Arial" w:eastAsia="Arial" w:hAnsi="Arial"/>
                <w:sz w:val="18"/>
                <w:szCs w:val="18"/>
                <w:color w:val="auto"/>
              </w:rPr>
              <w:t>Management LLC and Individually</w:t>
            </w:r>
          </w:p>
        </w:tc>
      </w:tr>
    </w:tbl>
    <w:p>
      <w:pPr>
        <w:sectPr>
          <w:pgSz w:w="11900" w:h="16838" w:orient="portrait"/>
          <w:cols w:equalWidth="0" w:num="1">
            <w:col w:w="11420"/>
          </w:cols>
          <w:pgMar w:left="240" w:top="22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dated as of May 10, 2018 is by and among Whale Rock Capital Management LLC and Alexander Sacerdote (collectively, the "Filers").</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shares of Common Stock, par value $0.001 per share, of MongoDB, Inc. beneficially owned by them from time to time.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 to the other 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WHALE ROCK CAPITAL MANAGEMENT</w:t>
      </w:r>
    </w:p>
    <w:p>
      <w:pPr>
        <w:spacing w:after="0" w:line="208"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Alexander Sacerdote</w:t>
            </w:r>
          </w:p>
        </w:tc>
        <w:tc>
          <w:tcPr>
            <w:tcW w:w="3040" w:type="dxa"/>
            <w:vAlign w:val="bottom"/>
          </w:tcPr>
          <w:p>
            <w:pPr>
              <w:spacing w:after="0"/>
              <w:rPr>
                <w:sz w:val="17"/>
                <w:szCs w:val="17"/>
                <w:color w:val="auto"/>
              </w:rPr>
            </w:pPr>
          </w:p>
        </w:tc>
      </w:tr>
      <w:tr>
        <w:trPr>
          <w:trHeight w:val="45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gridSpan w:val="2"/>
          </w:tcPr>
          <w:p>
            <w:pPr>
              <w:spacing w:after="0"/>
              <w:rPr>
                <w:sz w:val="20"/>
                <w:szCs w:val="20"/>
                <w:color w:val="auto"/>
              </w:rPr>
            </w:pPr>
            <w:r>
              <w:rPr>
                <w:rFonts w:ascii="Arial" w:cs="Arial" w:eastAsia="Arial" w:hAnsi="Arial"/>
                <w:sz w:val="18"/>
                <w:szCs w:val="18"/>
                <w:color w:val="auto"/>
              </w:rPr>
              <w:t>Alexander Sacerdote</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spacing w:after="0"/>
              <w:rPr>
                <w:sz w:val="20"/>
                <w:szCs w:val="20"/>
                <w:color w:val="auto"/>
              </w:rPr>
            </w:pPr>
            <w:r>
              <w:rPr>
                <w:rFonts w:ascii="Arial" w:cs="Arial" w:eastAsia="Arial" w:hAnsi="Arial"/>
                <w:sz w:val="18"/>
                <w:szCs w:val="18"/>
                <w:color w:val="auto"/>
                <w:w w:val="91"/>
              </w:rPr>
              <w:t>Managing Member of Whale Rock Capital Management LLC and</w:t>
            </w:r>
          </w:p>
        </w:tc>
      </w:tr>
      <w:tr>
        <w:trPr>
          <w:trHeight w:val="230"/>
        </w:trPr>
        <w:tc>
          <w:tcPr>
            <w:tcW w:w="7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Individually</w:t>
            </w: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decimal"/>
      <w:start w:val="14"/>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2019-12-21T03:24:37Z</dcterms:created>
  <dcterms:modified xsi:type="dcterms:W3CDTF">2019-12-21T03:24:37Z</dcterms:modified>
</cp:coreProperties>
</file>