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4"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8"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53" w:lineRule="exact"/>
        <w:rPr>
          <w:sz w:val="24"/>
          <w:szCs w:val="24"/>
          <w:color w:val="auto"/>
        </w:rPr>
      </w:pPr>
    </w:p>
    <w:p>
      <w:pPr>
        <w:ind w:left="4940"/>
        <w:spacing w:after="0"/>
        <w:rPr>
          <w:sz w:val="20"/>
          <w:szCs w:val="20"/>
          <w:color w:val="auto"/>
        </w:rPr>
      </w:pPr>
      <w:r>
        <w:rPr>
          <w:rFonts w:ascii="Arial" w:cs="Arial" w:eastAsia="Arial" w:hAnsi="Arial"/>
          <w:sz w:val="14"/>
          <w:szCs w:val="14"/>
          <w:color w:val="auto"/>
        </w:rPr>
        <w:t>___________________</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FORM 8-K</w:t>
      </w:r>
    </w:p>
    <w:p>
      <w:pPr>
        <w:ind w:left="4940"/>
        <w:spacing w:after="0"/>
        <w:rPr>
          <w:sz w:val="20"/>
          <w:szCs w:val="20"/>
          <w:color w:val="auto"/>
        </w:rPr>
      </w:pPr>
      <w:r>
        <w:rPr>
          <w:rFonts w:ascii="Arial" w:cs="Arial" w:eastAsia="Arial" w:hAnsi="Arial"/>
          <w:sz w:val="14"/>
          <w:szCs w:val="14"/>
          <w:color w:val="auto"/>
        </w:rPr>
        <w:t>___________________</w:t>
      </w:r>
    </w:p>
    <w:p>
      <w:pPr>
        <w:spacing w:after="0" w:line="48"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166"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17"/>
          <w:szCs w:val="17"/>
          <w:color w:val="auto"/>
        </w:rPr>
        <w:t>September 2, 2020</w:t>
      </w:r>
    </w:p>
    <w:p>
      <w:pPr>
        <w:spacing w:after="0" w:line="66" w:lineRule="exact"/>
        <w:rPr>
          <w:sz w:val="24"/>
          <w:szCs w:val="24"/>
          <w:color w:val="auto"/>
        </w:rPr>
      </w:pPr>
    </w:p>
    <w:p>
      <w:pPr>
        <w:ind w:left="4940"/>
        <w:spacing w:after="0"/>
        <w:rPr>
          <w:sz w:val="20"/>
          <w:szCs w:val="20"/>
          <w:color w:val="auto"/>
        </w:rPr>
      </w:pPr>
      <w:r>
        <w:rPr>
          <w:rFonts w:ascii="Arial" w:cs="Arial" w:eastAsia="Arial" w:hAnsi="Arial"/>
          <w:sz w:val="14"/>
          <w:szCs w:val="14"/>
          <w:color w:val="auto"/>
        </w:rPr>
        <w:t>___________________</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MONGODB, INC.</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 w:lineRule="exact"/>
        <w:rPr>
          <w:sz w:val="24"/>
          <w:szCs w:val="24"/>
          <w:color w:val="auto"/>
        </w:rPr>
      </w:pPr>
    </w:p>
    <w:p>
      <w:pPr>
        <w:ind w:left="4920"/>
        <w:spacing w:after="0"/>
        <w:rPr>
          <w:sz w:val="20"/>
          <w:szCs w:val="20"/>
          <w:color w:val="auto"/>
        </w:rPr>
      </w:pPr>
      <w:r>
        <w:rPr>
          <w:rFonts w:ascii="Arial" w:cs="Arial" w:eastAsia="Arial" w:hAnsi="Arial"/>
          <w:sz w:val="14"/>
          <w:szCs w:val="14"/>
          <w:color w:val="auto"/>
        </w:rPr>
        <w:t>___________________</w:t>
      </w:r>
    </w:p>
    <w:p>
      <w:pPr>
        <w:spacing w:after="0" w:line="255" w:lineRule="exact"/>
        <w:rPr>
          <w:sz w:val="24"/>
          <w:szCs w:val="24"/>
          <w:color w:val="auto"/>
        </w:rPr>
      </w:pPr>
    </w:p>
    <w:tbl>
      <w:tblPr>
        <w:tblLayout w:type="fixed"/>
        <w:tblInd w:w="660" w:type="dxa"/>
        <w:tblCellMar>
          <w:top w:w="0" w:type="dxa"/>
          <w:left w:w="0" w:type="dxa"/>
          <w:bottom w:w="0" w:type="dxa"/>
          <w:right w:w="0" w:type="dxa"/>
        </w:tblCellMar>
      </w:tblPr>
      <w:tr>
        <w:trPr>
          <w:trHeight w:val="256"/>
        </w:trPr>
        <w:tc>
          <w:tcPr>
            <w:tcW w:w="2760" w:type="dxa"/>
            <w:vAlign w:val="bottom"/>
          </w:tcPr>
          <w:p>
            <w:pPr>
              <w:jc w:val="center"/>
              <w:ind w:right="159"/>
              <w:spacing w:after="0"/>
              <w:rPr>
                <w:sz w:val="20"/>
                <w:szCs w:val="20"/>
                <w:color w:val="auto"/>
              </w:rPr>
            </w:pPr>
            <w:r>
              <w:rPr>
                <w:rFonts w:ascii="Arial" w:cs="Arial" w:eastAsia="Arial" w:hAnsi="Arial"/>
                <w:sz w:val="20"/>
                <w:szCs w:val="20"/>
                <w:b w:val="1"/>
                <w:bCs w:val="1"/>
                <w:color w:val="auto"/>
                <w:w w:val="91"/>
              </w:rPr>
              <w:t>Delaware</w:t>
            </w:r>
          </w:p>
        </w:tc>
        <w:tc>
          <w:tcPr>
            <w:tcW w:w="4740" w:type="dxa"/>
            <w:vAlign w:val="bottom"/>
          </w:tcPr>
          <w:p>
            <w:pPr>
              <w:jc w:val="right"/>
              <w:ind w:right="1959"/>
              <w:spacing w:after="0"/>
              <w:rPr>
                <w:sz w:val="20"/>
                <w:szCs w:val="20"/>
                <w:color w:val="auto"/>
              </w:rPr>
            </w:pPr>
            <w:r>
              <w:rPr>
                <w:rFonts w:ascii="Arial" w:cs="Arial" w:eastAsia="Arial" w:hAnsi="Arial"/>
                <w:sz w:val="20"/>
                <w:szCs w:val="20"/>
                <w:b w:val="1"/>
                <w:bCs w:val="1"/>
                <w:color w:val="auto"/>
              </w:rPr>
              <w:t>001-38240</w:t>
            </w:r>
          </w:p>
        </w:tc>
        <w:tc>
          <w:tcPr>
            <w:tcW w:w="1720" w:type="dxa"/>
            <w:vAlign w:val="bottom"/>
          </w:tcPr>
          <w:p>
            <w:pPr>
              <w:jc w:val="right"/>
              <w:spacing w:after="0"/>
              <w:rPr>
                <w:sz w:val="20"/>
                <w:szCs w:val="20"/>
                <w:color w:val="auto"/>
              </w:rPr>
            </w:pPr>
            <w:r>
              <w:rPr>
                <w:rFonts w:ascii="Arial" w:cs="Arial" w:eastAsia="Arial" w:hAnsi="Arial"/>
                <w:sz w:val="20"/>
                <w:szCs w:val="20"/>
                <w:b w:val="1"/>
                <w:bCs w:val="1"/>
                <w:color w:val="auto"/>
              </w:rPr>
              <w:t>26-1463205</w:t>
            </w:r>
          </w:p>
        </w:tc>
      </w:tr>
      <w:tr>
        <w:trPr>
          <w:trHeight w:val="167"/>
        </w:trPr>
        <w:tc>
          <w:tcPr>
            <w:tcW w:w="2760" w:type="dxa"/>
            <w:vAlign w:val="bottom"/>
          </w:tcPr>
          <w:p>
            <w:pPr>
              <w:jc w:val="center"/>
              <w:ind w:right="139"/>
              <w:spacing w:after="0"/>
              <w:rPr>
                <w:sz w:val="20"/>
                <w:szCs w:val="20"/>
                <w:color w:val="auto"/>
              </w:rPr>
            </w:pPr>
            <w:r>
              <w:rPr>
                <w:rFonts w:ascii="Arial" w:cs="Arial" w:eastAsia="Arial" w:hAnsi="Arial"/>
                <w:sz w:val="13"/>
                <w:szCs w:val="13"/>
                <w:b w:val="1"/>
                <w:bCs w:val="1"/>
                <w:color w:val="auto"/>
                <w:w w:val="89"/>
              </w:rPr>
              <w:t>(State or Other Jurisdiction</w:t>
            </w:r>
          </w:p>
        </w:tc>
        <w:tc>
          <w:tcPr>
            <w:tcW w:w="4740" w:type="dxa"/>
            <w:vAlign w:val="bottom"/>
          </w:tcPr>
          <w:p>
            <w:pPr>
              <w:jc w:val="center"/>
              <w:ind w:right="119"/>
              <w:spacing w:after="0"/>
              <w:rPr>
                <w:sz w:val="20"/>
                <w:szCs w:val="20"/>
                <w:color w:val="auto"/>
              </w:rPr>
            </w:pPr>
            <w:r>
              <w:rPr>
                <w:rFonts w:ascii="Arial" w:cs="Arial" w:eastAsia="Arial" w:hAnsi="Arial"/>
                <w:sz w:val="13"/>
                <w:szCs w:val="13"/>
                <w:b w:val="1"/>
                <w:bCs w:val="1"/>
                <w:color w:val="auto"/>
                <w:w w:val="88"/>
              </w:rPr>
              <w:t>(Commission File Number)</w:t>
            </w:r>
          </w:p>
        </w:tc>
        <w:tc>
          <w:tcPr>
            <w:tcW w:w="1720" w:type="dxa"/>
            <w:vAlign w:val="bottom"/>
          </w:tcPr>
          <w:p>
            <w:pPr>
              <w:jc w:val="center"/>
              <w:ind w:left="663"/>
              <w:spacing w:after="0"/>
              <w:rPr>
                <w:sz w:val="20"/>
                <w:szCs w:val="20"/>
                <w:color w:val="auto"/>
              </w:rPr>
            </w:pPr>
            <w:r>
              <w:rPr>
                <w:rFonts w:ascii="Arial" w:cs="Arial" w:eastAsia="Arial" w:hAnsi="Arial"/>
                <w:sz w:val="13"/>
                <w:szCs w:val="13"/>
                <w:b w:val="1"/>
                <w:bCs w:val="1"/>
                <w:color w:val="auto"/>
                <w:w w:val="92"/>
              </w:rPr>
              <w:t>(IRS Employer</w:t>
            </w:r>
          </w:p>
        </w:tc>
      </w:tr>
      <w:tr>
        <w:trPr>
          <w:trHeight w:val="164"/>
        </w:trPr>
        <w:tc>
          <w:tcPr>
            <w:tcW w:w="2760" w:type="dxa"/>
            <w:vAlign w:val="bottom"/>
          </w:tcPr>
          <w:p>
            <w:pPr>
              <w:jc w:val="center"/>
              <w:ind w:right="139"/>
              <w:spacing w:after="0"/>
              <w:rPr>
                <w:sz w:val="20"/>
                <w:szCs w:val="20"/>
                <w:color w:val="auto"/>
              </w:rPr>
            </w:pPr>
            <w:r>
              <w:rPr>
                <w:rFonts w:ascii="Arial" w:cs="Arial" w:eastAsia="Arial" w:hAnsi="Arial"/>
                <w:sz w:val="13"/>
                <w:szCs w:val="13"/>
                <w:b w:val="1"/>
                <w:bCs w:val="1"/>
                <w:color w:val="auto"/>
                <w:w w:val="90"/>
              </w:rPr>
              <w:t>of Incorporation)</w:t>
            </w:r>
          </w:p>
        </w:tc>
        <w:tc>
          <w:tcPr>
            <w:tcW w:w="4740" w:type="dxa"/>
            <w:vAlign w:val="bottom"/>
          </w:tcPr>
          <w:p>
            <w:pPr>
              <w:spacing w:after="0"/>
              <w:rPr>
                <w:sz w:val="14"/>
                <w:szCs w:val="14"/>
                <w:color w:val="auto"/>
              </w:rPr>
            </w:pPr>
          </w:p>
        </w:tc>
        <w:tc>
          <w:tcPr>
            <w:tcW w:w="1720" w:type="dxa"/>
            <w:vAlign w:val="bottom"/>
          </w:tcPr>
          <w:p>
            <w:pPr>
              <w:jc w:val="center"/>
              <w:ind w:left="663"/>
              <w:spacing w:after="0"/>
              <w:rPr>
                <w:sz w:val="20"/>
                <w:szCs w:val="20"/>
                <w:color w:val="auto"/>
              </w:rPr>
            </w:pPr>
            <w:r>
              <w:rPr>
                <w:rFonts w:ascii="Arial" w:cs="Arial" w:eastAsia="Arial" w:hAnsi="Arial"/>
                <w:sz w:val="13"/>
                <w:szCs w:val="13"/>
                <w:b w:val="1"/>
                <w:bCs w:val="1"/>
                <w:color w:val="auto"/>
                <w:w w:val="89"/>
              </w:rPr>
              <w:t>Identification No.)</w:t>
            </w:r>
          </w:p>
        </w:tc>
      </w:tr>
      <w:tr>
        <w:trPr>
          <w:trHeight w:val="560"/>
        </w:trPr>
        <w:tc>
          <w:tcPr>
            <w:tcW w:w="2760" w:type="dxa"/>
            <w:vAlign w:val="bottom"/>
          </w:tcPr>
          <w:p>
            <w:pPr>
              <w:spacing w:after="0"/>
              <w:rPr>
                <w:sz w:val="20"/>
                <w:szCs w:val="20"/>
                <w:color w:val="auto"/>
              </w:rPr>
            </w:pPr>
            <w:r>
              <w:rPr>
                <w:rFonts w:ascii="Arial" w:cs="Arial" w:eastAsia="Arial" w:hAnsi="Arial"/>
                <w:sz w:val="20"/>
                <w:szCs w:val="20"/>
                <w:b w:val="1"/>
                <w:bCs w:val="1"/>
                <w:color w:val="auto"/>
              </w:rPr>
              <w:t>1633 Broadway, 38th Floor</w:t>
            </w:r>
          </w:p>
        </w:tc>
        <w:tc>
          <w:tcPr>
            <w:tcW w:w="47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10"/>
        </w:trPr>
        <w:tc>
          <w:tcPr>
            <w:tcW w:w="2760" w:type="dxa"/>
            <w:vAlign w:val="bottom"/>
          </w:tcPr>
          <w:p>
            <w:pPr>
              <w:ind w:left="460"/>
              <w:spacing w:after="0"/>
              <w:rPr>
                <w:sz w:val="20"/>
                <w:szCs w:val="20"/>
                <w:color w:val="auto"/>
              </w:rPr>
            </w:pPr>
            <w:r>
              <w:rPr>
                <w:rFonts w:ascii="Arial" w:cs="Arial" w:eastAsia="Arial" w:hAnsi="Arial"/>
                <w:sz w:val="20"/>
                <w:szCs w:val="20"/>
                <w:b w:val="1"/>
                <w:bCs w:val="1"/>
                <w:color w:val="auto"/>
              </w:rPr>
              <w:t>New York, NY</w:t>
            </w:r>
          </w:p>
        </w:tc>
        <w:tc>
          <w:tcPr>
            <w:tcW w:w="4740" w:type="dxa"/>
            <w:vAlign w:val="bottom"/>
          </w:tcPr>
          <w:p>
            <w:pPr>
              <w:spacing w:after="0"/>
              <w:rPr>
                <w:sz w:val="24"/>
                <w:szCs w:val="24"/>
                <w:color w:val="auto"/>
              </w:rPr>
            </w:pPr>
          </w:p>
        </w:tc>
        <w:tc>
          <w:tcPr>
            <w:tcW w:w="1720" w:type="dxa"/>
            <w:vAlign w:val="bottom"/>
          </w:tcPr>
          <w:p>
            <w:pPr>
              <w:jc w:val="right"/>
              <w:ind w:right="163"/>
              <w:spacing w:after="0"/>
              <w:rPr>
                <w:sz w:val="20"/>
                <w:szCs w:val="20"/>
                <w:color w:val="auto"/>
              </w:rPr>
            </w:pPr>
            <w:r>
              <w:rPr>
                <w:rFonts w:ascii="Arial" w:cs="Arial" w:eastAsia="Arial" w:hAnsi="Arial"/>
                <w:sz w:val="20"/>
                <w:szCs w:val="20"/>
                <w:b w:val="1"/>
                <w:bCs w:val="1"/>
                <w:color w:val="auto"/>
              </w:rPr>
              <w:t>10019</w:t>
            </w:r>
          </w:p>
        </w:tc>
      </w:tr>
      <w:tr>
        <w:trPr>
          <w:trHeight w:val="196"/>
        </w:trPr>
        <w:tc>
          <w:tcPr>
            <w:tcW w:w="2760" w:type="dxa"/>
            <w:vAlign w:val="bottom"/>
          </w:tcPr>
          <w:p>
            <w:pPr>
              <w:jc w:val="center"/>
              <w:ind w:right="159"/>
              <w:spacing w:after="0"/>
              <w:rPr>
                <w:sz w:val="20"/>
                <w:szCs w:val="20"/>
                <w:color w:val="auto"/>
              </w:rPr>
            </w:pPr>
            <w:r>
              <w:rPr>
                <w:rFonts w:ascii="Arial" w:cs="Arial" w:eastAsia="Arial" w:hAnsi="Arial"/>
                <w:sz w:val="13"/>
                <w:szCs w:val="13"/>
                <w:b w:val="1"/>
                <w:bCs w:val="1"/>
                <w:color w:val="auto"/>
                <w:w w:val="87"/>
              </w:rPr>
              <w:t>(Address of Principal Executive Offices)</w:t>
            </w:r>
          </w:p>
        </w:tc>
        <w:tc>
          <w:tcPr>
            <w:tcW w:w="4740" w:type="dxa"/>
            <w:vAlign w:val="bottom"/>
          </w:tcPr>
          <w:p>
            <w:pPr>
              <w:spacing w:after="0"/>
              <w:rPr>
                <w:sz w:val="17"/>
                <w:szCs w:val="17"/>
                <w:color w:val="auto"/>
              </w:rPr>
            </w:pPr>
          </w:p>
        </w:tc>
        <w:tc>
          <w:tcPr>
            <w:tcW w:w="1720" w:type="dxa"/>
            <w:vAlign w:val="bottom"/>
          </w:tcPr>
          <w:p>
            <w:pPr>
              <w:jc w:val="center"/>
              <w:ind w:left="663"/>
              <w:spacing w:after="0"/>
              <w:rPr>
                <w:sz w:val="20"/>
                <w:szCs w:val="20"/>
                <w:color w:val="auto"/>
              </w:rPr>
            </w:pPr>
            <w:r>
              <w:rPr>
                <w:rFonts w:ascii="Arial" w:cs="Arial" w:eastAsia="Arial" w:hAnsi="Arial"/>
                <w:sz w:val="13"/>
                <w:szCs w:val="13"/>
                <w:b w:val="1"/>
                <w:bCs w:val="1"/>
                <w:color w:val="auto"/>
                <w:w w:val="90"/>
              </w:rPr>
              <w:t>(Zip Code)</w:t>
            </w:r>
          </w:p>
        </w:tc>
      </w:tr>
      <w:tr>
        <w:trPr>
          <w:trHeight w:val="389"/>
        </w:trPr>
        <w:tc>
          <w:tcPr>
            <w:tcW w:w="2760" w:type="dxa"/>
            <w:vAlign w:val="bottom"/>
          </w:tcPr>
          <w:p>
            <w:pPr>
              <w:spacing w:after="0"/>
              <w:rPr>
                <w:sz w:val="24"/>
                <w:szCs w:val="24"/>
                <w:color w:val="auto"/>
              </w:rPr>
            </w:pPr>
          </w:p>
        </w:tc>
        <w:tc>
          <w:tcPr>
            <w:tcW w:w="4740" w:type="dxa"/>
            <w:vAlign w:val="bottom"/>
          </w:tcPr>
          <w:p>
            <w:pPr>
              <w:jc w:val="center"/>
              <w:ind w:right="259"/>
              <w:spacing w:after="0"/>
              <w:rPr>
                <w:sz w:val="20"/>
                <w:szCs w:val="20"/>
                <w:color w:val="auto"/>
              </w:rPr>
            </w:pPr>
            <w:r>
              <w:rPr>
                <w:rFonts w:ascii="Arial" w:cs="Arial" w:eastAsia="Arial" w:hAnsi="Arial"/>
                <w:sz w:val="20"/>
                <w:szCs w:val="20"/>
                <w:b w:val="1"/>
                <w:bCs w:val="1"/>
                <w:color w:val="auto"/>
                <w:w w:val="89"/>
              </w:rPr>
              <w:t>646-727-4092</w:t>
            </w:r>
          </w:p>
        </w:tc>
        <w:tc>
          <w:tcPr>
            <w:tcW w:w="1720" w:type="dxa"/>
            <w:vAlign w:val="bottom"/>
          </w:tcPr>
          <w:p>
            <w:pPr>
              <w:spacing w:after="0"/>
              <w:rPr>
                <w:sz w:val="24"/>
                <w:szCs w:val="24"/>
                <w:color w:val="auto"/>
              </w:rPr>
            </w:pPr>
          </w:p>
        </w:tc>
      </w:tr>
      <w:tr>
        <w:trPr>
          <w:trHeight w:val="164"/>
        </w:trPr>
        <w:tc>
          <w:tcPr>
            <w:tcW w:w="2760" w:type="dxa"/>
            <w:vAlign w:val="bottom"/>
          </w:tcPr>
          <w:p>
            <w:pPr>
              <w:spacing w:after="0"/>
              <w:rPr>
                <w:sz w:val="14"/>
                <w:szCs w:val="14"/>
                <w:color w:val="auto"/>
              </w:rPr>
            </w:pPr>
          </w:p>
        </w:tc>
        <w:tc>
          <w:tcPr>
            <w:tcW w:w="4740" w:type="dxa"/>
            <w:vAlign w:val="bottom"/>
          </w:tcPr>
          <w:p>
            <w:pPr>
              <w:jc w:val="center"/>
              <w:ind w:right="259"/>
              <w:spacing w:after="0"/>
              <w:rPr>
                <w:sz w:val="20"/>
                <w:szCs w:val="20"/>
                <w:color w:val="auto"/>
              </w:rPr>
            </w:pPr>
            <w:r>
              <w:rPr>
                <w:rFonts w:ascii="Arial" w:cs="Arial" w:eastAsia="Arial" w:hAnsi="Arial"/>
                <w:sz w:val="13"/>
                <w:szCs w:val="13"/>
                <w:b w:val="1"/>
                <w:bCs w:val="1"/>
                <w:color w:val="auto"/>
                <w:w w:val="87"/>
              </w:rPr>
              <w:t>(Registrant’s Telephone Number, Including Area Code)</w:t>
            </w:r>
          </w:p>
        </w:tc>
        <w:tc>
          <w:tcPr>
            <w:tcW w:w="1720" w:type="dxa"/>
            <w:vAlign w:val="bottom"/>
          </w:tcPr>
          <w:p>
            <w:pPr>
              <w:spacing w:after="0"/>
              <w:rPr>
                <w:sz w:val="14"/>
                <w:szCs w:val="14"/>
                <w:color w:val="auto"/>
              </w:rPr>
            </w:pPr>
          </w:p>
        </w:tc>
      </w:tr>
      <w:tr>
        <w:trPr>
          <w:trHeight w:val="376"/>
        </w:trPr>
        <w:tc>
          <w:tcPr>
            <w:tcW w:w="2760" w:type="dxa"/>
            <w:vAlign w:val="bottom"/>
          </w:tcPr>
          <w:p>
            <w:pPr>
              <w:spacing w:after="0"/>
              <w:rPr>
                <w:sz w:val="24"/>
                <w:szCs w:val="24"/>
                <w:color w:val="auto"/>
              </w:rPr>
            </w:pPr>
          </w:p>
        </w:tc>
        <w:tc>
          <w:tcPr>
            <w:tcW w:w="4740" w:type="dxa"/>
            <w:vAlign w:val="bottom"/>
          </w:tcPr>
          <w:p>
            <w:pPr>
              <w:jc w:val="center"/>
              <w:ind w:right="259"/>
              <w:spacing w:after="0"/>
              <w:rPr>
                <w:sz w:val="20"/>
                <w:szCs w:val="20"/>
                <w:color w:val="auto"/>
              </w:rPr>
            </w:pPr>
            <w:r>
              <w:rPr>
                <w:rFonts w:ascii="Arial" w:cs="Arial" w:eastAsia="Arial" w:hAnsi="Arial"/>
                <w:sz w:val="20"/>
                <w:szCs w:val="20"/>
                <w:b w:val="1"/>
                <w:bCs w:val="1"/>
                <w:color w:val="auto"/>
                <w:w w:val="91"/>
              </w:rPr>
              <w:t>Not Applicable</w:t>
            </w:r>
          </w:p>
        </w:tc>
        <w:tc>
          <w:tcPr>
            <w:tcW w:w="1720" w:type="dxa"/>
            <w:vAlign w:val="bottom"/>
          </w:tcPr>
          <w:p>
            <w:pPr>
              <w:spacing w:after="0"/>
              <w:rPr>
                <w:sz w:val="24"/>
                <w:szCs w:val="24"/>
                <w:color w:val="auto"/>
              </w:rPr>
            </w:pPr>
          </w:p>
        </w:tc>
      </w:tr>
      <w:tr>
        <w:trPr>
          <w:trHeight w:val="160"/>
        </w:trPr>
        <w:tc>
          <w:tcPr>
            <w:tcW w:w="2760" w:type="dxa"/>
            <w:vAlign w:val="bottom"/>
          </w:tcPr>
          <w:p>
            <w:pPr>
              <w:spacing w:after="0"/>
              <w:rPr>
                <w:sz w:val="13"/>
                <w:szCs w:val="13"/>
                <w:color w:val="auto"/>
              </w:rPr>
            </w:pPr>
          </w:p>
        </w:tc>
        <w:tc>
          <w:tcPr>
            <w:tcW w:w="4740" w:type="dxa"/>
            <w:vAlign w:val="bottom"/>
          </w:tcPr>
          <w:p>
            <w:pPr>
              <w:jc w:val="center"/>
              <w:ind w:right="259"/>
              <w:spacing w:after="0"/>
              <w:rPr>
                <w:sz w:val="20"/>
                <w:szCs w:val="20"/>
                <w:color w:val="auto"/>
              </w:rPr>
            </w:pPr>
            <w:r>
              <w:rPr>
                <w:rFonts w:ascii="Arial" w:cs="Arial" w:eastAsia="Arial" w:hAnsi="Arial"/>
                <w:sz w:val="13"/>
                <w:szCs w:val="13"/>
                <w:b w:val="1"/>
                <w:bCs w:val="1"/>
                <w:color w:val="auto"/>
                <w:w w:val="88"/>
              </w:rPr>
              <w:t>(Former Name or Former Address, if Changed Since Last Report)</w:t>
            </w:r>
          </w:p>
        </w:tc>
        <w:tc>
          <w:tcPr>
            <w:tcW w:w="1720" w:type="dxa"/>
            <w:vAlign w:val="bottom"/>
          </w:tcPr>
          <w:p>
            <w:pPr>
              <w:spacing w:after="0"/>
              <w:rPr>
                <w:sz w:val="13"/>
                <w:szCs w:val="13"/>
                <w:color w:val="auto"/>
              </w:rPr>
            </w:pPr>
          </w:p>
        </w:tc>
      </w:tr>
    </w:tbl>
    <w:p>
      <w:pPr>
        <w:ind w:left="4940"/>
        <w:spacing w:after="0"/>
        <w:rPr>
          <w:sz w:val="20"/>
          <w:szCs w:val="20"/>
          <w:color w:val="auto"/>
        </w:rPr>
      </w:pPr>
      <w:r>
        <w:rPr>
          <w:rFonts w:ascii="Arial" w:cs="Arial" w:eastAsia="Arial" w:hAnsi="Arial"/>
          <w:sz w:val="14"/>
          <w:szCs w:val="14"/>
          <w:color w:val="auto"/>
        </w:rPr>
        <w:t>___________________</w:t>
      </w:r>
    </w:p>
    <w:p>
      <w:pPr>
        <w:spacing w:after="0" w:line="15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16" w:lineRule="exact"/>
        <w:rPr>
          <w:sz w:val="24"/>
          <w:szCs w:val="24"/>
          <w:color w:val="auto"/>
        </w:rPr>
      </w:pPr>
    </w:p>
    <w:p>
      <w:pPr>
        <w:ind w:left="460" w:hanging="43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60" w:hanging="43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60" w:hanging="43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580" w:firstLine="21"/>
        <w:spacing w:after="0" w:line="465" w:lineRule="auto"/>
        <w:tabs>
          <w:tab w:leader="none" w:pos="44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Exchange Act:</w:t>
      </w:r>
    </w:p>
    <w:p>
      <w:pPr>
        <w:spacing w:after="0" w:line="71" w:lineRule="exact"/>
        <w:rPr>
          <w:sz w:val="24"/>
          <w:szCs w:val="24"/>
          <w:color w:val="auto"/>
        </w:rPr>
      </w:pPr>
    </w:p>
    <w:tbl>
      <w:tblPr>
        <w:tblLayout w:type="fixed"/>
        <w:tblInd w:w="340" w:type="dxa"/>
        <w:tblCellMar>
          <w:top w:w="0" w:type="dxa"/>
          <w:left w:w="0" w:type="dxa"/>
          <w:bottom w:w="0" w:type="dxa"/>
          <w:right w:w="0" w:type="dxa"/>
        </w:tblCellMar>
      </w:tblPr>
      <w:tr>
        <w:trPr>
          <w:trHeight w:val="234"/>
        </w:trPr>
        <w:tc>
          <w:tcPr>
            <w:tcW w:w="3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Title of each class</w:t>
            </w:r>
          </w:p>
        </w:tc>
        <w:tc>
          <w:tcPr>
            <w:tcW w:w="3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Trading Symbol(s)</w:t>
            </w: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7"/>
        </w:trPr>
        <w:tc>
          <w:tcPr>
            <w:tcW w:w="3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222"/>
        </w:trPr>
        <w:tc>
          <w:tcPr>
            <w:tcW w:w="34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Class A Common Stock, par value $0.001</w:t>
            </w:r>
          </w:p>
        </w:tc>
        <w:tc>
          <w:tcPr>
            <w:tcW w:w="3380" w:type="dxa"/>
            <w:vAlign w:val="bottom"/>
            <w:gridSpan w:val="2"/>
          </w:tcPr>
          <w:p>
            <w:pPr>
              <w:jc w:val="center"/>
              <w:ind w:right="120"/>
              <w:spacing w:after="0"/>
              <w:rPr>
                <w:sz w:val="20"/>
                <w:szCs w:val="20"/>
                <w:color w:val="auto"/>
              </w:rPr>
            </w:pPr>
            <w:r>
              <w:rPr>
                <w:rFonts w:ascii="Arial" w:cs="Arial" w:eastAsia="Arial" w:hAnsi="Arial"/>
                <w:sz w:val="18"/>
                <w:szCs w:val="18"/>
                <w:color w:val="auto"/>
              </w:rPr>
              <w:t>MDB</w:t>
            </w:r>
          </w:p>
        </w:tc>
        <w:tc>
          <w:tcPr>
            <w:tcW w:w="380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84"/>
        </w:trPr>
        <w:tc>
          <w:tcPr>
            <w:tcW w:w="340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per share</w:t>
            </w:r>
          </w:p>
        </w:tc>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tcPr>
          <w:p>
            <w:pPr>
              <w:jc w:val="center"/>
              <w:spacing w:after="0"/>
              <w:rPr>
                <w:sz w:val="20"/>
                <w:szCs w:val="20"/>
                <w:color w:val="auto"/>
              </w:rPr>
            </w:pPr>
            <w:r>
              <w:rPr>
                <w:rFonts w:ascii="Arial" w:cs="Arial" w:eastAsia="Arial" w:hAnsi="Arial"/>
                <w:sz w:val="18"/>
                <w:szCs w:val="18"/>
                <w:color w:val="auto"/>
                <w:w w:val="92"/>
              </w:rPr>
              <w:t>(Nasdaq Global Market)</w:t>
            </w:r>
          </w:p>
        </w:tc>
      </w:tr>
    </w:tbl>
    <w:p>
      <w:pPr>
        <w:spacing w:after="0" w:line="134"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lef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219075</wp:posOffset>
            </wp:positionV>
            <wp:extent cx="7123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236220</wp:posOffset>
            </wp:positionV>
            <wp:extent cx="71234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080"/>
          </w:cols>
          <w:pgMar w:left="320" w:top="1057" w:right="49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On September 2, 2020, MongoDB, Inc. (the “Company”) issued a press release announcing its financial results for the second quarter ended July 31,</w:t>
      </w:r>
    </w:p>
    <w:p>
      <w:pPr>
        <w:spacing w:after="0" w:line="46"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2020. A copy of the press release is furnished as Exhibit 99.1 to this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and is incorporated herein by reference.</w:t>
      </w:r>
    </w:p>
    <w:p>
      <w:pPr>
        <w:spacing w:after="0" w:line="10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information furnished under this Item 2.02, including Exhibit 99.1, shall not be deemed “filed” for purposes of Section 18 of the Securities Exchange Act of 1934, as amended, or subject to the liabilities of that section. The information shall not be deemed incorporated by reference into any other filing with the Securities and Exchange Commission made by the Company, regardless of any general incorporation language in such filing.</w:t>
      </w:r>
    </w:p>
    <w:p>
      <w:pPr>
        <w:spacing w:after="0" w:line="5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80" w:type="dxa"/>
            <w:vAlign w:val="bottom"/>
            <w:gridSpan w:val="2"/>
          </w:tcPr>
          <w:p>
            <w:pPr>
              <w:ind w:left="200"/>
              <w:spacing w:after="0"/>
              <w:rPr>
                <w:sz w:val="20"/>
                <w:szCs w:val="20"/>
                <w:color w:val="auto"/>
              </w:rPr>
            </w:pPr>
            <w:r>
              <w:rPr>
                <w:rFonts w:ascii="Arial" w:cs="Arial" w:eastAsia="Arial" w:hAnsi="Arial"/>
                <w:sz w:val="18"/>
                <w:szCs w:val="18"/>
                <w:color w:val="auto"/>
              </w:rPr>
              <w:t>Exhibit No.</w:t>
            </w:r>
          </w:p>
        </w:tc>
        <w:tc>
          <w:tcPr>
            <w:tcW w:w="9660" w:type="dxa"/>
            <w:vAlign w:val="bottom"/>
          </w:tcPr>
          <w:p>
            <w:pPr>
              <w:ind w:left="40"/>
              <w:spacing w:after="0"/>
              <w:rPr>
                <w:sz w:val="20"/>
                <w:szCs w:val="20"/>
                <w:color w:val="auto"/>
              </w:rPr>
            </w:pPr>
            <w:r>
              <w:rPr>
                <w:rFonts w:ascii="Arial" w:cs="Arial" w:eastAsia="Arial" w:hAnsi="Arial"/>
                <w:sz w:val="18"/>
                <w:szCs w:val="18"/>
                <w:color w:val="auto"/>
              </w:rPr>
              <w:t>Description</w:t>
            </w:r>
          </w:p>
        </w:tc>
      </w:tr>
      <w:tr>
        <w:trPr>
          <w:trHeight w:val="27"/>
        </w:trPr>
        <w:tc>
          <w:tcPr>
            <w:tcW w:w="12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660" w:type="dxa"/>
            <w:vAlign w:val="bottom"/>
            <w:tcBorders>
              <w:bottom w:val="single" w:sz="8" w:color="auto"/>
            </w:tcBorders>
          </w:tcPr>
          <w:p>
            <w:pPr>
              <w:spacing w:after="0"/>
              <w:rPr>
                <w:sz w:val="2"/>
                <w:szCs w:val="2"/>
                <w:color w:val="auto"/>
              </w:rPr>
            </w:pPr>
          </w:p>
        </w:tc>
      </w:tr>
      <w:tr>
        <w:trPr>
          <w:trHeight w:val="237"/>
        </w:trPr>
        <w:tc>
          <w:tcPr>
            <w:tcW w:w="1240" w:type="dxa"/>
            <w:vAlign w:val="bottom"/>
          </w:tcPr>
          <w:p>
            <w:pPr>
              <w:jc w:val="right"/>
              <w:ind w:right="810"/>
              <w:spacing w:after="0"/>
              <w:rPr>
                <w:sz w:val="20"/>
                <w:szCs w:val="20"/>
                <w:color w:val="auto"/>
              </w:rPr>
            </w:pPr>
            <w:r>
              <w:rPr>
                <w:rFonts w:ascii="Arial" w:cs="Arial" w:eastAsia="Arial" w:hAnsi="Arial"/>
                <w:sz w:val="18"/>
                <w:szCs w:val="18"/>
                <w:color w:val="auto"/>
                <w:w w:val="91"/>
              </w:rPr>
              <w:t>99.1</w:t>
            </w:r>
          </w:p>
        </w:tc>
        <w:tc>
          <w:tcPr>
            <w:tcW w:w="340" w:type="dxa"/>
            <w:vAlign w:val="bottom"/>
          </w:tcPr>
          <w:p>
            <w:pPr>
              <w:spacing w:after="0"/>
              <w:rPr>
                <w:sz w:val="20"/>
                <w:szCs w:val="20"/>
                <w:color w:val="auto"/>
              </w:rPr>
            </w:pPr>
          </w:p>
        </w:tc>
        <w:tc>
          <w:tcPr>
            <w:tcW w:w="9660" w:type="dxa"/>
            <w:vAlign w:val="bottom"/>
          </w:tcPr>
          <w:p>
            <w:pPr>
              <w:ind w:left="4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Press Release dated September 2, 2020.</w:t>
              </w:r>
            </w:hyperlink>
          </w:p>
        </w:tc>
      </w:tr>
    </w:tbl>
    <w:p>
      <w:pPr>
        <w:sectPr>
          <w:pgSz w:w="11900" w:h="16838" w:orient="portrait"/>
          <w:cols w:equalWidth="0" w:num="1">
            <w:col w:w="11240"/>
          </w:cols>
          <w:pgMar w:left="320" w:top="553" w:right="33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20"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40"/>
        <w:spacing w:after="0"/>
        <w:tabs>
          <w:tab w:leader="none" w:pos="5420" w:val="left"/>
          <w:tab w:leader="none" w:pos="6200" w:val="left"/>
        </w:tabs>
        <w:rPr>
          <w:sz w:val="20"/>
          <w:szCs w:val="20"/>
          <w:color w:val="auto"/>
        </w:rPr>
      </w:pPr>
      <w:r>
        <w:rPr>
          <w:rFonts w:ascii="Arial" w:cs="Arial" w:eastAsia="Arial" w:hAnsi="Arial"/>
          <w:sz w:val="18"/>
          <w:szCs w:val="18"/>
          <w:color w:val="auto"/>
        </w:rPr>
        <w:t>Dated: September 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Dev Ittycheria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31750</wp:posOffset>
            </wp:positionV>
            <wp:extent cx="31375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53"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Dev Ittycheria</w:t>
      </w:r>
    </w:p>
    <w:p>
      <w:pPr>
        <w:spacing w:after="0" w:line="27"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President and Chief Executive Officer</w:t>
      </w:r>
    </w:p>
    <w:p>
      <w:pPr>
        <w:sectPr>
          <w:pgSz w:w="11900" w:h="16838" w:orient="portrait"/>
          <w:cols w:equalWidth="0" w:num="1">
            <w:col w:w="10780"/>
          </w:cols>
          <w:pgMar w:left="320" w:top="553" w:right="79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MongoDB, Inc. Announces Second Quarter Fiscal 2021 Financial Results</w:t>
      </w:r>
    </w:p>
    <w:p>
      <w:pPr>
        <w:spacing w:after="0" w:line="293" w:lineRule="exact"/>
        <w:rPr>
          <w:sz w:val="20"/>
          <w:szCs w:val="20"/>
          <w:color w:val="auto"/>
        </w:rPr>
      </w:pPr>
    </w:p>
    <w:p>
      <w:pPr>
        <w:jc w:val="center"/>
        <w:ind w:left="340" w:right="2460"/>
        <w:spacing w:after="0" w:line="452" w:lineRule="auto"/>
        <w:rPr>
          <w:sz w:val="20"/>
          <w:szCs w:val="20"/>
          <w:color w:val="auto"/>
        </w:rPr>
      </w:pPr>
      <w:r>
        <w:rPr>
          <w:rFonts w:ascii="Arial" w:cs="Arial" w:eastAsia="Arial" w:hAnsi="Arial"/>
          <w:sz w:val="16"/>
          <w:szCs w:val="16"/>
          <w:b w:val="1"/>
          <w:bCs w:val="1"/>
          <w:i w:val="1"/>
          <w:iCs w:val="1"/>
          <w:color w:val="auto"/>
        </w:rPr>
        <w:t>Second Quarter Fiscal 2021 Total Revenue of $138.3 million, up 39% Year-over-Year Continued Strong Growth with Over 20,200 Customers at July 31, 2020 MongoDB Atlas Revenue 44% of Total Q2 Revenue, up 66% Year-over-Year</w:t>
      </w:r>
    </w:p>
    <w:p>
      <w:pPr>
        <w:spacing w:after="0" w:line="302" w:lineRule="exact"/>
        <w:rPr>
          <w:sz w:val="20"/>
          <w:szCs w:val="20"/>
          <w:color w:val="auto"/>
        </w:rPr>
      </w:pPr>
    </w:p>
    <w:p>
      <w:pPr>
        <w:ind w:right="640"/>
        <w:spacing w:after="0" w:line="267" w:lineRule="auto"/>
        <w:rPr>
          <w:sz w:val="20"/>
          <w:szCs w:val="20"/>
          <w:color w:val="auto"/>
        </w:rPr>
      </w:pPr>
      <w:r>
        <w:rPr>
          <w:rFonts w:ascii="Arial" w:cs="Arial" w:eastAsia="Arial" w:hAnsi="Arial"/>
          <w:sz w:val="20"/>
          <w:szCs w:val="20"/>
          <w:b w:val="1"/>
          <w:bCs w:val="1"/>
          <w:color w:val="auto"/>
        </w:rPr>
        <w:t xml:space="preserve">New York City, New York - September 2, 2020 - </w:t>
      </w:r>
      <w:r>
        <w:rPr>
          <w:rFonts w:ascii="Arial" w:cs="Arial" w:eastAsia="Arial" w:hAnsi="Arial"/>
          <w:sz w:val="20"/>
          <w:szCs w:val="20"/>
          <w:color w:val="auto"/>
        </w:rPr>
        <w:t>MongoDB, Inc. (NASDAQ: MDB), the leading, modern general purpose database</w:t>
      </w:r>
      <w:r>
        <w:rPr>
          <w:rFonts w:ascii="Arial" w:cs="Arial" w:eastAsia="Arial" w:hAnsi="Arial"/>
          <w:sz w:val="20"/>
          <w:szCs w:val="20"/>
          <w:b w:val="1"/>
          <w:bCs w:val="1"/>
          <w:color w:val="auto"/>
        </w:rPr>
        <w:t xml:space="preserve"> </w:t>
      </w:r>
      <w:r>
        <w:rPr>
          <w:rFonts w:ascii="Arial" w:cs="Arial" w:eastAsia="Arial" w:hAnsi="Arial"/>
          <w:sz w:val="20"/>
          <w:szCs w:val="20"/>
          <w:color w:val="auto"/>
        </w:rPr>
        <w:t>platform, today announced its financial results for the second quarter ended July 31, 2020.</w:t>
      </w:r>
    </w:p>
    <w:p>
      <w:pPr>
        <w:spacing w:after="0" w:line="115" w:lineRule="exact"/>
        <w:rPr>
          <w:sz w:val="20"/>
          <w:szCs w:val="20"/>
          <w:color w:val="auto"/>
        </w:rPr>
      </w:pPr>
    </w:p>
    <w:p>
      <w:pPr>
        <w:ind w:right="240"/>
        <w:spacing w:after="0" w:line="246" w:lineRule="auto"/>
        <w:rPr>
          <w:sz w:val="20"/>
          <w:szCs w:val="20"/>
          <w:color w:val="auto"/>
        </w:rPr>
      </w:pPr>
      <w:r>
        <w:rPr>
          <w:rFonts w:ascii="Arial" w:cs="Arial" w:eastAsia="Arial" w:hAnsi="Arial"/>
          <w:sz w:val="20"/>
          <w:szCs w:val="20"/>
          <w:color w:val="auto"/>
        </w:rPr>
        <w:t>“MongoDB’s strong second quarter performance reflected impressive sales execution and the growing strategic importance of our modern data platform in solving many of our customers’ most complex digital transformation challenges,” said Dev Ittycheria, President and Chief Executive Officer of MongoDB. “The record number of direct sales and total customer adds in the quarter are clear proof points that our focus on getting more customers onto our platform is working.”</w:t>
      </w:r>
    </w:p>
    <w:p>
      <w:pPr>
        <w:spacing w:after="0" w:line="137"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“Based on the strength of our first half performance and our confidence in our go-to-market team’s ability to execute amidst challenging circumstances, we are significantly increasing our revenue outlook for fiscal 2021. While we continue to expect to see an impact from COVID-19 on our business, the strength of our modern data platform and the rising importance of digital transformation and cloud migration are making MongoDB an increasingly strategic partner for our customers.”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Fiscal 2021 Financial Highlights</w:t>
      </w:r>
    </w:p>
    <w:p>
      <w:pPr>
        <w:spacing w:after="0" w:line="162" w:lineRule="exact"/>
        <w:rPr>
          <w:sz w:val="20"/>
          <w:szCs w:val="20"/>
          <w:color w:val="auto"/>
        </w:rPr>
      </w:pPr>
    </w:p>
    <w:p>
      <w:pPr>
        <w:ind w:left="660" w:right="400" w:hanging="328"/>
        <w:spacing w:after="0" w:line="25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b w:val="1"/>
          <w:bCs w:val="1"/>
          <w:color w:val="auto"/>
        </w:rPr>
        <w:t xml:space="preserve">Revenue: </w:t>
      </w:r>
      <w:r>
        <w:rPr>
          <w:rFonts w:ascii="Arial" w:cs="Arial" w:eastAsia="Arial" w:hAnsi="Arial"/>
          <w:sz w:val="20"/>
          <w:szCs w:val="20"/>
          <w:color w:val="auto"/>
        </w:rPr>
        <w:t>Total revenue was $138.3 million in the second quarter fiscal 2021, an increase of 39% year-over-year. Subscription</w:t>
      </w:r>
      <w:r>
        <w:rPr>
          <w:rFonts w:ascii="Arial" w:cs="Arial" w:eastAsia="Arial" w:hAnsi="Arial"/>
          <w:sz w:val="20"/>
          <w:szCs w:val="20"/>
          <w:b w:val="1"/>
          <w:bCs w:val="1"/>
          <w:color w:val="auto"/>
        </w:rPr>
        <w:t xml:space="preserve"> </w:t>
      </w:r>
      <w:r>
        <w:rPr>
          <w:rFonts w:ascii="Arial" w:cs="Arial" w:eastAsia="Arial" w:hAnsi="Arial"/>
          <w:sz w:val="20"/>
          <w:szCs w:val="20"/>
          <w:color w:val="auto"/>
        </w:rPr>
        <w:t>revenue was $132.5 million, an increase of 41% year-over-year, and services revenue was $5.8 million, an increase of 11% year-over-year.</w:t>
      </w:r>
    </w:p>
    <w:p>
      <w:pPr>
        <w:spacing w:after="0" w:line="123" w:lineRule="exact"/>
        <w:rPr>
          <w:rFonts w:ascii="Arial" w:cs="Arial" w:eastAsia="Arial" w:hAnsi="Arial"/>
          <w:sz w:val="18"/>
          <w:szCs w:val="18"/>
          <w:color w:val="auto"/>
        </w:rPr>
      </w:pPr>
    </w:p>
    <w:p>
      <w:pPr>
        <w:ind w:left="660" w:right="200" w:hanging="328"/>
        <w:spacing w:after="0" w:line="293"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9"/>
          <w:szCs w:val="19"/>
          <w:b w:val="1"/>
          <w:bCs w:val="1"/>
          <w:color w:val="auto"/>
        </w:rPr>
        <w:t xml:space="preserve">Gross Profit: </w:t>
      </w:r>
      <w:r>
        <w:rPr>
          <w:rFonts w:ascii="Arial" w:cs="Arial" w:eastAsia="Arial" w:hAnsi="Arial"/>
          <w:sz w:val="19"/>
          <w:szCs w:val="19"/>
          <w:color w:val="auto"/>
        </w:rPr>
        <w:t>Gross profit was $96.0 million in the second quarter fiscal 2021, representing a 69% gross margin, compared to 70%</w:t>
      </w:r>
      <w:r>
        <w:rPr>
          <w:rFonts w:ascii="Arial" w:cs="Arial" w:eastAsia="Arial" w:hAnsi="Arial"/>
          <w:sz w:val="19"/>
          <w:szCs w:val="19"/>
          <w:b w:val="1"/>
          <w:bCs w:val="1"/>
          <w:color w:val="auto"/>
        </w:rPr>
        <w:t xml:space="preserve"> </w:t>
      </w:r>
      <w:r>
        <w:rPr>
          <w:rFonts w:ascii="Arial" w:cs="Arial" w:eastAsia="Arial" w:hAnsi="Arial"/>
          <w:sz w:val="19"/>
          <w:szCs w:val="19"/>
          <w:color w:val="auto"/>
        </w:rPr>
        <w:t>in the year-ago period. Non-GAAP gross profit was $99.7 million, representing a 72% non-GAAP gross margin.</w:t>
      </w:r>
    </w:p>
    <w:p>
      <w:pPr>
        <w:spacing w:after="0" w:line="87" w:lineRule="exact"/>
        <w:rPr>
          <w:rFonts w:ascii="Arial" w:cs="Arial" w:eastAsia="Arial" w:hAnsi="Arial"/>
          <w:sz w:val="17"/>
          <w:szCs w:val="17"/>
          <w:color w:val="auto"/>
        </w:rPr>
      </w:pPr>
    </w:p>
    <w:p>
      <w:pPr>
        <w:ind w:left="660" w:right="160" w:hanging="328"/>
        <w:spacing w:after="0" w:line="323"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8"/>
          <w:szCs w:val="18"/>
          <w:b w:val="1"/>
          <w:bCs w:val="1"/>
          <w:color w:val="auto"/>
        </w:rPr>
        <w:t xml:space="preserve">Loss from Operations: </w:t>
      </w:r>
      <w:r>
        <w:rPr>
          <w:rFonts w:ascii="Arial" w:cs="Arial" w:eastAsia="Arial" w:hAnsi="Arial"/>
          <w:sz w:val="18"/>
          <w:szCs w:val="18"/>
          <w:color w:val="auto"/>
        </w:rPr>
        <w:t>Loss from operations was $49.8 million in the second quarter fiscal 2021, compared to $37.7 million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year-ago period. Non-GAAP loss from operations was $10.2 million, compared to $14.8 million in the year-ago period.</w:t>
      </w:r>
    </w:p>
    <w:p>
      <w:pPr>
        <w:spacing w:after="0" w:line="63" w:lineRule="exact"/>
        <w:rPr>
          <w:rFonts w:ascii="Arial" w:cs="Arial" w:eastAsia="Arial" w:hAnsi="Arial"/>
          <w:sz w:val="16"/>
          <w:szCs w:val="16"/>
          <w:color w:val="auto"/>
        </w:rPr>
      </w:pPr>
    </w:p>
    <w:p>
      <w:pPr>
        <w:jc w:val="both"/>
        <w:ind w:left="660" w:right="140" w:hanging="328"/>
        <w:spacing w:after="0" w:line="24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Net loss was $64.5 million, or $1.10 per share, based on 58.4 million weighted-average shares outstanding in the second</w:t>
      </w:r>
      <w:r>
        <w:rPr>
          <w:rFonts w:ascii="Arial" w:cs="Arial" w:eastAsia="Arial" w:hAnsi="Arial"/>
          <w:sz w:val="20"/>
          <w:szCs w:val="20"/>
          <w:b w:val="1"/>
          <w:bCs w:val="1"/>
          <w:color w:val="auto"/>
        </w:rPr>
        <w:t xml:space="preserve"> </w:t>
      </w:r>
      <w:r>
        <w:rPr>
          <w:rFonts w:ascii="Arial" w:cs="Arial" w:eastAsia="Arial" w:hAnsi="Arial"/>
          <w:sz w:val="20"/>
          <w:szCs w:val="20"/>
          <w:color w:val="auto"/>
        </w:rPr>
        <w:t>quarter fiscal 2021. This compares to $37.3 million, or $0.67 per share, based on 55.6 million weighted-average shares outstanding, in the year-ago period. Non-GAAP net loss was $12.7 million or $0.22 per share. This compares to $14.7 million or $0.26 per share in the year-ago period.</w:t>
      </w:r>
    </w:p>
    <w:p>
      <w:pPr>
        <w:spacing w:after="0" w:line="129" w:lineRule="exact"/>
        <w:rPr>
          <w:rFonts w:ascii="Arial" w:cs="Arial" w:eastAsia="Arial" w:hAnsi="Arial"/>
          <w:sz w:val="18"/>
          <w:szCs w:val="18"/>
          <w:color w:val="auto"/>
        </w:rPr>
      </w:pPr>
    </w:p>
    <w:p>
      <w:pPr>
        <w:ind w:left="660" w:right="20" w:hanging="328"/>
        <w:spacing w:after="0" w:line="24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b w:val="1"/>
          <w:bCs w:val="1"/>
          <w:color w:val="auto"/>
        </w:rPr>
        <w:t xml:space="preserve">Cash Flow: </w:t>
      </w:r>
      <w:r>
        <w:rPr>
          <w:rFonts w:ascii="Arial" w:cs="Arial" w:eastAsia="Arial" w:hAnsi="Arial"/>
          <w:sz w:val="20"/>
          <w:szCs w:val="20"/>
          <w:color w:val="auto"/>
        </w:rPr>
        <w:t>As of July 31, 2020, MongoDB had $975.4 million in cash, cash equivalents, short-term investments and restricted cash.</w:t>
      </w:r>
      <w:r>
        <w:rPr>
          <w:rFonts w:ascii="Arial" w:cs="Arial" w:eastAsia="Arial" w:hAnsi="Arial"/>
          <w:sz w:val="20"/>
          <w:szCs w:val="20"/>
          <w:b w:val="1"/>
          <w:bCs w:val="1"/>
          <w:color w:val="auto"/>
        </w:rPr>
        <w:t xml:space="preserve"> </w:t>
      </w:r>
      <w:r>
        <w:rPr>
          <w:rFonts w:ascii="Arial" w:cs="Arial" w:eastAsia="Arial" w:hAnsi="Arial"/>
          <w:sz w:val="20"/>
          <w:szCs w:val="20"/>
          <w:color w:val="auto"/>
        </w:rPr>
        <w:t>During the three months ended July 31, 2020, MongoDB used $10.0 million of cash from operations, $3.8 million in capital expenditures and $1.1 million in principal repayments of finance leases, leading to negative free cash flow of $15.0 million, compared to negative free cash flow of $13.8 million in the year-ago period.</w:t>
      </w:r>
    </w:p>
    <w:p>
      <w:pPr>
        <w:spacing w:after="0" w:line="135" w:lineRule="exact"/>
        <w:rPr>
          <w:sz w:val="20"/>
          <w:szCs w:val="20"/>
          <w:color w:val="auto"/>
        </w:rPr>
      </w:pPr>
    </w:p>
    <w:p>
      <w:pPr>
        <w:ind w:right="300"/>
        <w:spacing w:after="0" w:line="250" w:lineRule="auto"/>
        <w:rPr>
          <w:sz w:val="20"/>
          <w:szCs w:val="20"/>
          <w:color w:val="auto"/>
        </w:rPr>
      </w:pPr>
      <w:r>
        <w:rPr>
          <w:rFonts w:ascii="Arial" w:cs="Arial" w:eastAsia="Arial" w:hAnsi="Arial"/>
          <w:sz w:val="20"/>
          <w:szCs w:val="20"/>
          <w:i w:val="1"/>
          <w:iCs w:val="1"/>
          <w:color w:val="auto"/>
        </w:rPr>
        <w:t>A reconciliation of each Non-GAAP measure to the most directly comparable GAAP measure has been provided in the financial statement tables included at the end of this press release. An explanation of these measures is also included below under the heading “Non-GAAP Financial Measures.”</w:t>
      </w:r>
    </w:p>
    <w:p>
      <w:pPr>
        <w:spacing w:after="0" w:line="350"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Second Quarter Fiscal 2021 and Recent Business Highlights</w:t>
      </w:r>
    </w:p>
    <w:p>
      <w:pPr>
        <w:spacing w:after="0" w:line="168" w:lineRule="exact"/>
        <w:rPr>
          <w:sz w:val="20"/>
          <w:szCs w:val="20"/>
          <w:color w:val="auto"/>
        </w:rPr>
      </w:pPr>
    </w:p>
    <w:p>
      <w:pPr>
        <w:ind w:left="660" w:right="220" w:hanging="328"/>
        <w:spacing w:after="0" w:line="269" w:lineRule="auto"/>
        <w:tabs>
          <w:tab w:leader="none" w:pos="660" w:val="left"/>
        </w:tabs>
        <w:numPr>
          <w:ilvl w:val="0"/>
          <w:numId w:val="4"/>
        </w:numPr>
        <w:rPr>
          <w:rFonts w:ascii="Arial" w:cs="Arial" w:eastAsia="Arial" w:hAnsi="Arial"/>
          <w:sz w:val="19"/>
          <w:szCs w:val="19"/>
          <w:color w:val="auto"/>
        </w:rPr>
      </w:pPr>
      <w:r>
        <w:rPr>
          <w:rFonts w:ascii="Arial" w:cs="Arial" w:eastAsia="Arial" w:hAnsi="Arial"/>
          <w:sz w:val="19"/>
          <w:szCs w:val="19"/>
          <w:color w:val="auto"/>
        </w:rPr>
        <w:t>Strengthened our executive team with three key new leaders. We appointed Mark Porter to the role of Chief Technology Officer, Harsha Jalihal to the role of Chief People Officer and Rishi Dave to the role of Chief Marketing Officer. All three executives bring demonstrated functional expertise and experience scaling billion-dollar plus technology companies.</w:t>
      </w:r>
    </w:p>
    <w:p>
      <w:pPr>
        <w:spacing w:after="0" w:line="115" w:lineRule="exact"/>
        <w:rPr>
          <w:rFonts w:ascii="Arial" w:cs="Arial" w:eastAsia="Arial" w:hAnsi="Arial"/>
          <w:sz w:val="19"/>
          <w:szCs w:val="19"/>
          <w:color w:val="auto"/>
        </w:rPr>
      </w:pPr>
    </w:p>
    <w:p>
      <w:pPr>
        <w:jc w:val="both"/>
        <w:ind w:left="660" w:right="480" w:hanging="328"/>
        <w:spacing w:after="0" w:line="269" w:lineRule="auto"/>
        <w:tabs>
          <w:tab w:leader="none" w:pos="660" w:val="left"/>
        </w:tabs>
        <w:numPr>
          <w:ilvl w:val="0"/>
          <w:numId w:val="4"/>
        </w:numPr>
        <w:rPr>
          <w:rFonts w:ascii="Arial" w:cs="Arial" w:eastAsia="Arial" w:hAnsi="Arial"/>
          <w:sz w:val="19"/>
          <w:szCs w:val="19"/>
          <w:color w:val="auto"/>
        </w:rPr>
      </w:pPr>
      <w:r>
        <w:rPr>
          <w:rFonts w:ascii="Arial" w:cs="Arial" w:eastAsia="Arial" w:hAnsi="Arial"/>
          <w:sz w:val="19"/>
          <w:szCs w:val="19"/>
          <w:color w:val="auto"/>
        </w:rPr>
        <w:t>Over 14,000 attendees from 130 countries joined us for MongoDB .Live - a free, global, fully digital, two-day event. The event featured key product announcements including 4.4 updates, a keynote showcasing how customers benefit from using our entire platform, as well as over 100 breakout sessions, live workshops and hands-on tutorials.</w:t>
      </w:r>
    </w:p>
    <w:p>
      <w:pPr>
        <w:spacing w:after="0" w:line="115" w:lineRule="exact"/>
        <w:rPr>
          <w:rFonts w:ascii="Arial" w:cs="Arial" w:eastAsia="Arial" w:hAnsi="Arial"/>
          <w:sz w:val="19"/>
          <w:szCs w:val="19"/>
          <w:color w:val="auto"/>
        </w:rPr>
      </w:pPr>
    </w:p>
    <w:p>
      <w:pPr>
        <w:ind w:left="660" w:right="60" w:hanging="328"/>
        <w:spacing w:after="0" w:line="250" w:lineRule="auto"/>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Microsoft awarded us Gold Data Platform partner status, the highest tier within its partner program. This will deepen our partnership with them by increasing go-to-market services and technical enablement for joint MongoDB and Azure customers. Microsoft Gold Certified Partners receive a rich set of benefits, including access, training and support.</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Outlook</w:t>
      </w:r>
    </w:p>
    <w:p>
      <w:pPr>
        <w:spacing w:after="0" w:line="16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Based on information as of today, September 2, 2020, MongoDB is issuing the following financial guidance for the third quarter and full year fiscal 2021.</w:t>
      </w:r>
    </w:p>
    <w:p>
      <w:pPr>
        <w:spacing w:after="0" w:line="283" w:lineRule="exact"/>
        <w:rPr>
          <w:sz w:val="20"/>
          <w:szCs w:val="20"/>
          <w:color w:val="auto"/>
        </w:rPr>
      </w:pPr>
    </w:p>
    <w:tbl>
      <w:tblPr>
        <w:tblLayout w:type="fixed"/>
        <w:tblInd w:w="45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3"/>
              </w:rPr>
              <w:t>Third Quarter Fiscal 2021</w:t>
            </w:r>
          </w:p>
        </w:tc>
        <w:tc>
          <w:tcPr>
            <w:tcW w:w="3820" w:type="dxa"/>
            <w:vAlign w:val="bottom"/>
          </w:tcPr>
          <w:p>
            <w:pPr>
              <w:jc w:val="center"/>
              <w:spacing w:after="0"/>
              <w:rPr>
                <w:sz w:val="20"/>
                <w:szCs w:val="20"/>
                <w:color w:val="auto"/>
              </w:rPr>
            </w:pPr>
            <w:r>
              <w:rPr>
                <w:rFonts w:ascii="Arial" w:cs="Arial" w:eastAsia="Arial" w:hAnsi="Arial"/>
                <w:sz w:val="18"/>
                <w:szCs w:val="18"/>
                <w:b w:val="1"/>
                <w:bCs w:val="1"/>
                <w:color w:val="auto"/>
                <w:w w:val="91"/>
              </w:rPr>
              <w:t>Full Year Fiscal 2021</w:t>
            </w:r>
          </w:p>
        </w:tc>
        <w:tc>
          <w:tcPr>
            <w:tcW w:w="0" w:type="dxa"/>
            <w:vAlign w:val="bottom"/>
          </w:tcPr>
          <w:p>
            <w:pPr>
              <w:spacing w:after="0"/>
              <w:rPr>
                <w:sz w:val="1"/>
                <w:szCs w:val="1"/>
                <w:color w:val="auto"/>
              </w:rPr>
            </w:pPr>
          </w:p>
        </w:tc>
      </w:tr>
      <w:tr>
        <w:trPr>
          <w:trHeight w:val="27"/>
        </w:trPr>
        <w:tc>
          <w:tcPr>
            <w:tcW w:w="294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Revenue</w:t>
            </w: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$137.0 million to $139.0 million</w:t>
            </w:r>
          </w:p>
        </w:tc>
        <w:tc>
          <w:tcPr>
            <w:tcW w:w="38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$549.0 million to $554.0 million</w:t>
            </w:r>
          </w:p>
        </w:tc>
        <w:tc>
          <w:tcPr>
            <w:tcW w:w="0" w:type="dxa"/>
            <w:vAlign w:val="bottom"/>
          </w:tcPr>
          <w:p>
            <w:pPr>
              <w:spacing w:after="0"/>
              <w:rPr>
                <w:sz w:val="1"/>
                <w:szCs w:val="1"/>
                <w:color w:val="auto"/>
              </w:rPr>
            </w:pPr>
          </w:p>
        </w:tc>
      </w:tr>
      <w:tr>
        <w:trPr>
          <w:trHeight w:val="23"/>
        </w:trPr>
        <w:tc>
          <w:tcPr>
            <w:tcW w:w="294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940" w:type="dxa"/>
            <w:vAlign w:val="bottom"/>
            <w:tcBorders>
              <w:left w:val="single" w:sz="8" w:color="auto"/>
              <w:right w:val="single" w:sz="8" w:color="auto"/>
            </w:tcBorders>
          </w:tcPr>
          <w:p>
            <w:pPr>
              <w:ind w:left="40"/>
              <w:spacing w:after="0" w:line="228" w:lineRule="exact"/>
              <w:rPr>
                <w:sz w:val="20"/>
                <w:szCs w:val="20"/>
                <w:color w:val="auto"/>
              </w:rPr>
            </w:pPr>
            <w:r>
              <w:rPr>
                <w:rFonts w:ascii="Arial" w:cs="Arial" w:eastAsia="Arial" w:hAnsi="Arial"/>
                <w:sz w:val="20"/>
                <w:szCs w:val="20"/>
                <w:b w:val="1"/>
                <w:bCs w:val="1"/>
                <w:color w:val="auto"/>
              </w:rPr>
              <w:t>Non-GAAP Loss from</w:t>
            </w: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5"/>
              </w:rPr>
              <w:t>$(27.0) million to $(25.0) million</w:t>
            </w:r>
          </w:p>
        </w:tc>
        <w:tc>
          <w:tcPr>
            <w:tcW w:w="3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$(71.0) million to $(66.0) million</w:t>
            </w:r>
          </w:p>
        </w:tc>
        <w:tc>
          <w:tcPr>
            <w:tcW w:w="0" w:type="dxa"/>
            <w:vAlign w:val="bottom"/>
          </w:tcPr>
          <w:p>
            <w:pPr>
              <w:spacing w:after="0"/>
              <w:rPr>
                <w:sz w:val="1"/>
                <w:szCs w:val="1"/>
                <w:color w:val="auto"/>
              </w:rPr>
            </w:pPr>
          </w:p>
        </w:tc>
      </w:tr>
      <w:tr>
        <w:trPr>
          <w:trHeight w:val="135"/>
        </w:trPr>
        <w:tc>
          <w:tcPr>
            <w:tcW w:w="29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0"/>
                <w:szCs w:val="20"/>
                <w:b w:val="1"/>
                <w:bCs w:val="1"/>
                <w:color w:val="auto"/>
              </w:rPr>
              <w:t>Operations</w:t>
            </w:r>
          </w:p>
        </w:tc>
        <w:tc>
          <w:tcPr>
            <w:tcW w:w="3620" w:type="dxa"/>
            <w:vAlign w:val="bottom"/>
            <w:tcBorders>
              <w:right w:val="single" w:sz="8" w:color="auto"/>
            </w:tcBorders>
            <w:vMerge w:val="continue"/>
          </w:tcPr>
          <w:p>
            <w:pPr>
              <w:spacing w:after="0"/>
              <w:rPr>
                <w:sz w:val="11"/>
                <w:szCs w:val="11"/>
                <w:color w:val="auto"/>
              </w:rPr>
            </w:pPr>
          </w:p>
        </w:tc>
        <w:tc>
          <w:tcPr>
            <w:tcW w:w="38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940" w:type="dxa"/>
            <w:vAlign w:val="bottom"/>
            <w:tcBorders>
              <w:left w:val="single" w:sz="8" w:color="auto"/>
              <w:right w:val="single" w:sz="8" w:color="auto"/>
            </w:tcBorders>
            <w:vMerge w:val="continue"/>
          </w:tcPr>
          <w:p>
            <w:pPr>
              <w:spacing w:after="0"/>
              <w:rPr>
                <w:sz w:val="10"/>
                <w:szCs w:val="10"/>
                <w:color w:val="auto"/>
              </w:rPr>
            </w:pPr>
          </w:p>
        </w:tc>
        <w:tc>
          <w:tcPr>
            <w:tcW w:w="3620" w:type="dxa"/>
            <w:vAlign w:val="bottom"/>
            <w:tcBorders>
              <w:right w:val="single" w:sz="8" w:color="auto"/>
            </w:tcBorders>
          </w:tcPr>
          <w:p>
            <w:pPr>
              <w:spacing w:after="0"/>
              <w:rPr>
                <w:sz w:val="10"/>
                <w:szCs w:val="10"/>
                <w:color w:val="auto"/>
              </w:rPr>
            </w:pPr>
          </w:p>
        </w:tc>
        <w:tc>
          <w:tcPr>
            <w:tcW w:w="3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94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w w:val="98"/>
              </w:rPr>
              <w:t>Non-GAAP Net Loss per Share</w:t>
            </w: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$(0.48) to $(0.45)</w:t>
            </w:r>
          </w:p>
        </w:tc>
        <w:tc>
          <w:tcPr>
            <w:tcW w:w="38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0"/>
              </w:rPr>
              <w:t>$(1.29) to $(1.21)</w:t>
            </w:r>
          </w:p>
        </w:tc>
        <w:tc>
          <w:tcPr>
            <w:tcW w:w="0" w:type="dxa"/>
            <w:vAlign w:val="bottom"/>
          </w:tcPr>
          <w:p>
            <w:pPr>
              <w:spacing w:after="0"/>
              <w:rPr>
                <w:sz w:val="1"/>
                <w:szCs w:val="1"/>
                <w:color w:val="auto"/>
              </w:rPr>
            </w:pPr>
          </w:p>
        </w:tc>
      </w:tr>
      <w:tr>
        <w:trPr>
          <w:trHeight w:val="23"/>
        </w:trPr>
        <w:tc>
          <w:tcPr>
            <w:tcW w:w="294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The guidance provided above is forward-looking in nature. Actual results may differ materially. See the cautionary note regarding “Forward-Looking Statements” below. Fluctuations in MongoDB’s operating results may be particularly pronounced in the current economic environment due to the uncertainty caused by, and the unprecedented nature of, the ongoing COVID-19 pandemic, whose severity, duration and ultimate impact is difficult to predict at this time. The situation regarding COVID-19 remains uncertain and could change rapidly, and MongoDB will continue to evaluate its potential impact on its business.</w:t>
      </w:r>
    </w:p>
    <w:p>
      <w:pPr>
        <w:spacing w:after="0" w:line="140" w:lineRule="exact"/>
        <w:rPr>
          <w:sz w:val="20"/>
          <w:szCs w:val="20"/>
          <w:color w:val="auto"/>
        </w:rPr>
      </w:pPr>
    </w:p>
    <w:p>
      <w:pPr>
        <w:ind w:right="240"/>
        <w:spacing w:after="0" w:line="321" w:lineRule="auto"/>
        <w:rPr>
          <w:sz w:val="20"/>
          <w:szCs w:val="20"/>
          <w:color w:val="auto"/>
        </w:rPr>
      </w:pPr>
      <w:r>
        <w:rPr>
          <w:rFonts w:ascii="Arial" w:cs="Arial" w:eastAsia="Arial" w:hAnsi="Arial"/>
          <w:sz w:val="16"/>
          <w:szCs w:val="16"/>
          <w:color w:val="auto"/>
        </w:rPr>
        <w:t>Reconciliation of non-GAAP loss from operations and non-GAAP net loss per share guidance to the most directly comparable GAAP measures is not available without unreasonable efforts on a forward-looking basis due to the high variability, complexity and low visibility with respect to the charges excluded from these non-GAAP measures; in particular, the measures and effects of stock-based compensation expense specific to equity compensation awards that are directly impacted by unpredictable fluctuations in our stock price. We expect the variability of the above charges to have a significant, and potentially unpredictable, impact on our future GAAP financial results.</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Information</w:t>
      </w:r>
    </w:p>
    <w:p>
      <w:pPr>
        <w:spacing w:after="0" w:line="168" w:lineRule="exact"/>
        <w:rPr>
          <w:sz w:val="20"/>
          <w:szCs w:val="20"/>
          <w:color w:val="auto"/>
        </w:rPr>
      </w:pPr>
    </w:p>
    <w:p>
      <w:pPr>
        <w:ind w:right="200"/>
        <w:spacing w:after="0" w:line="278" w:lineRule="auto"/>
        <w:rPr>
          <w:sz w:val="20"/>
          <w:szCs w:val="20"/>
          <w:color w:val="auto"/>
        </w:rPr>
      </w:pPr>
      <w:r>
        <w:rPr>
          <w:rFonts w:ascii="Arial" w:cs="Arial" w:eastAsia="Arial" w:hAnsi="Arial"/>
          <w:sz w:val="18"/>
          <w:szCs w:val="18"/>
          <w:color w:val="auto"/>
        </w:rPr>
        <w:t>MongoDB will host a conference call today, September 2, 2020, at 5:00 p.m. (Eastern Time) to discuss its financial results and business outlook. A live webcast of the call will be available on the “Investor Relations” page of MongoDB’s website at https://investors.mongodb.com. To access the call by phone, dial 844-808-6880 (domestic) or 1-412-317-5284 (international). A replay of this conference call will be available for a limited time at 877-344-7529 (domestic) or 412-317-0088 (international). The replay conference ID is 10147285. A replay of the webcast will also be available for a limited time at https://investors.mongodb.com.</w:t>
      </w:r>
    </w:p>
    <w:p>
      <w:pPr>
        <w:spacing w:after="0" w:line="329"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333" w:right="35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About MongoDB</w:t>
      </w:r>
    </w:p>
    <w:p>
      <w:pPr>
        <w:spacing w:after="0" w:line="168"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MongoDB is the leading modern, general purpose database platform, designed to unleash the power of software and data for developers and the applications they build. Headquartered in New York, MongoDB has more than 20,200 customers in over 100 countries. The MongoDB database platform has been downloaded over 125 million times and there have been more than one million MongoDB University registrations.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68"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This press release includes certain “forward-looking statements” within the meaning of Section 27A of the Securities Act of 1933, as amended, or the Securities Act, and Section 21E of the Securities Exchange Act of 1934, as amended, including statements concerning our financial guidance for the third fiscal quarter and full year fiscal 2021; the anticipated impact of the COVID-19 pandemic on our business and future operating results; our ability to become an increasingly strategic partner for our customers; and the potential advantages of our partnership with Microsoft. These forward-looking statements include, but are not limited to, plans, objectives, expectations and intentions and other statements contained in this press release that are not historical facts and statements identified by words such as “anticipate,” “believe,” “continue,” “could,” “estimate,” “expect,” “intend,” “may,” “plan,” “project,” “will,” “would” or the negative or plural of these words or similar expressions or variations. These forward-looking statements reflect our current views about our plans, intentions, expectations, strategies and prospects, which are based on the information currently available to us and on assumptions we have made. Although we believe that our plans, intentions, expectations, strategies and prospects as reflected in or suggested by those forward-looking statements are reasonable, we can give no assurance that the plans, intentions, expectations or strategies will be attained or achieved. Furthermore, actual results may differ materially from those described in the forward-looking statements and are subject to a variety of assumptions, uncertainties, risks and factors that are beyond our control including, without limitation: the impact that the precautions we have taken in our business relative to the ongoing COVID-19 pandemic may have on our business; the financial impacts of the COVID-19 pandemic on our customers, our potential customers, the global financial markets and our business and future operating results; our potential failure to meet publicly announced guidance or other expectations about our business and future operating results; our limited operating history; our history of losses; failure of our database platform to satisfy customer demands; the effects of increased competition; our investments in new products and our ability to introduce new features, services or enhancements; our ability to effectively expand our sales and marketing organization; our ability to continue to build and maintain credibility with the developer community; our ability to add new customers or increase sales to our existing customers; our ability to maintain, protect, enforce and enhance our intellectual property; the growth and expansion of the market for database products and our ability to penetrate that market; our ability to integrate acquired businesses and technologies successfully or achieve the expected benefits of such acquisitions; our ability to maintain the security of our software and adequately address privacy concerns; our ability to manage our growth effectively and successfully recruit and retain additional highly-qualified personnel; and the price volatility of our common stock. These and other risks and uncertainties are more fully described in our filings with the Securities and Exchange Commission (“SEC”), including under the caption “Risk Factors” in our Quarterly Report on Form 10-Q for the quarter ended April 30, 2020 filed with the SEC on June 5, 2020. Additional information will be made available in our Quarterly Report on Form 10-Q for the quarterly period ended July 31, 2020 and other filings and reports that we may file from time to time with the SEC. Except as required by law, we undertake no duty or obligation to update any forward-looking statements contained in this release as a result of new information, future events, changes in expectations or otherwise.</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168"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This press release includes the following financial measures defined as non-GAAP financial measures by the SEC: non-GAAP gross profit, non-GAAP gross margin, non-GAAP operating expenses, non-GAAP loss from operations, non-GAAP net loss, non-GAAP net loss per share and free cash flow. Non-GAAP gross profit and non-GAAP gross margin exclude stock-based compensation expense. Non-GAAP operating expenses, non-GAAP loss from operations, non-GAAP net loss and non-GAAP net loss per share exclude:</w:t>
      </w:r>
    </w:p>
    <w:p>
      <w:pPr>
        <w:spacing w:after="0" w:line="10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20"/>
          <w:szCs w:val="20"/>
          <w:color w:val="auto"/>
        </w:rPr>
        <w:t>stock-based compensation expense;</w:t>
      </w:r>
    </w:p>
    <w:p>
      <w:pPr>
        <w:spacing w:after="0" w:line="380"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333" w:right="339" w:bottom="1440" w:gutter="0" w:footer="0" w:header="0"/>
        </w:sectPr>
      </w:pPr>
    </w:p>
    <w:bookmarkStart w:id="6" w:name="page7"/>
    <w:bookmarkEnd w:id="6"/>
    <w:p>
      <w:pPr>
        <w:ind w:left="660" w:right="900" w:hanging="328"/>
        <w:spacing w:after="0" w:line="26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20"/>
          <w:szCs w:val="20"/>
          <w:color w:val="auto"/>
        </w:rPr>
        <w:t>amortization of intangible assets for the acquired technology and acquired customer relationships associated with the prior acquisitions of Realm, mLab and WiredTiger;</w:t>
      </w:r>
    </w:p>
    <w:p>
      <w:pPr>
        <w:spacing w:after="0" w:line="122" w:lineRule="exact"/>
        <w:rPr>
          <w:rFonts w:ascii="Arial" w:cs="Arial" w:eastAsia="Arial" w:hAnsi="Arial"/>
          <w:sz w:val="18"/>
          <w:szCs w:val="18"/>
          <w:color w:val="auto"/>
        </w:rPr>
      </w:pPr>
    </w:p>
    <w:p>
      <w:pPr>
        <w:ind w:left="660" w:right="240" w:hanging="328"/>
        <w:spacing w:after="0" w:line="26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20"/>
          <w:szCs w:val="20"/>
          <w:color w:val="auto"/>
        </w:rPr>
        <w:t>amortization of time-based founder payments associated with the mLab purchase that was deemed to be compensation expense for GAAP purposes;</w:t>
      </w:r>
    </w:p>
    <w:p>
      <w:pPr>
        <w:spacing w:after="0" w:line="12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20"/>
          <w:szCs w:val="20"/>
          <w:color w:val="auto"/>
        </w:rPr>
        <w:t>acquisition costs associated with the purchase of Realm in fiscal 2020; and</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in the case of non-GAAP net loss, non-cash interest expense related to our convertible senior notes.</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MongoDB uses these non-GAAP financial measures internally in analyzing its financial results and believes they are useful to investors, as a supplement to GAAP measures, in evaluating MongoDB’s ongoing operational performance. MongoDB believes that the use of these non-GAAP financial measures provides an additional tool for investors to use in evaluating ongoing operating results and trends and in comparing its financial results with other companies in MongoDB’s industry, many of which present similar non-GAAP financial measures to investors.</w:t>
      </w:r>
    </w:p>
    <w:p>
      <w:pPr>
        <w:spacing w:after="0" w:line="107" w:lineRule="exact"/>
        <w:rPr>
          <w:sz w:val="20"/>
          <w:szCs w:val="20"/>
          <w:color w:val="auto"/>
        </w:rPr>
      </w:pPr>
    </w:p>
    <w:p>
      <w:pPr>
        <w:ind w:right="140"/>
        <w:spacing w:after="0" w:line="274" w:lineRule="auto"/>
        <w:rPr>
          <w:sz w:val="20"/>
          <w:szCs w:val="20"/>
          <w:color w:val="auto"/>
        </w:rPr>
      </w:pPr>
      <w:r>
        <w:rPr>
          <w:rFonts w:ascii="Arial" w:cs="Arial" w:eastAsia="Arial" w:hAnsi="Arial"/>
          <w:sz w:val="18"/>
          <w:szCs w:val="18"/>
          <w:color w:val="auto"/>
        </w:rPr>
        <w:t>Free cash flow represents net cash used in operating activities less capital expenditures, principal repayments of finance lease liabilities and capitalized software development costs, if any. MongoDB uses free cash flow to understand and evaluate its liquidity and to generate future operating plans. The exclusion of capital expenditures, principal repayments of finance lease liabilities and amounts capitalized for software development facilitates comparisons of MongoDB’s liquidity on a period-to-period basis and excludes items that it does not consider to be indicative of its liquidity. MongoDB believes that free cash flow is a measure of liquidity that provides useful information to investors in understanding and evaluating the strength of its liquidity and future ability to generate cash that can be used for strategic opportunities or investing in its business in the same manner as MongoDB’s management and board of directors.</w:t>
      </w:r>
    </w:p>
    <w:p>
      <w:pPr>
        <w:spacing w:after="0" w:line="114" w:lineRule="exact"/>
        <w:rPr>
          <w:sz w:val="20"/>
          <w:szCs w:val="20"/>
          <w:color w:val="auto"/>
        </w:rPr>
      </w:pPr>
    </w:p>
    <w:p>
      <w:pPr>
        <w:ind w:right="100"/>
        <w:spacing w:after="0" w:line="274" w:lineRule="auto"/>
        <w:rPr>
          <w:sz w:val="20"/>
          <w:szCs w:val="20"/>
          <w:color w:val="auto"/>
        </w:rPr>
      </w:pPr>
      <w:r>
        <w:rPr>
          <w:rFonts w:ascii="Arial" w:cs="Arial" w:eastAsia="Arial" w:hAnsi="Arial"/>
          <w:sz w:val="18"/>
          <w:szCs w:val="18"/>
          <w:color w:val="auto"/>
        </w:rPr>
        <w:t>Non-GAAP financial measures have limitations as an analytical tool and should not be considered in isolation from, or as a substitute for, financial information prepared in accordance with GAAP. In particular, other companies may report non-GAAP gross profit, non-GAAP gross margin, non-GAAP operating expenses, non-GAAP loss from operations, non-GAAP net loss, non-GAAP net loss per share, free cash flow or similarly titled measures but calculate them differently, which reduces their usefulness as comparative measures. Investors are encouraged to review the reconciliation of these non-GAAP measures to their most directly comparable GAAP financial measures, as presented below. This earnings press release and any future releases containing such non-GAAP reconciliations can also be found on the Investor Relations page of MongoDB’s website at https://investors.mongodb.com.</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Brian Denyeau</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ICR for MongoDB</w:t>
      </w:r>
    </w:p>
    <w:p>
      <w:pPr>
        <w:spacing w:after="0"/>
        <w:rPr>
          <w:sz w:val="20"/>
          <w:szCs w:val="20"/>
          <w:color w:val="auto"/>
        </w:rPr>
      </w:pPr>
      <w:r>
        <w:rPr>
          <w:rFonts w:ascii="Arial" w:cs="Arial" w:eastAsia="Arial" w:hAnsi="Arial"/>
          <w:sz w:val="20"/>
          <w:szCs w:val="20"/>
          <w:color w:val="auto"/>
        </w:rPr>
        <w:t>646-277-1251</w:t>
      </w:r>
    </w:p>
    <w:p>
      <w:pPr>
        <w:spacing w:after="0"/>
        <w:rPr>
          <w:sz w:val="20"/>
          <w:szCs w:val="20"/>
          <w:color w:val="auto"/>
        </w:rPr>
      </w:pPr>
      <w:r>
        <w:rPr>
          <w:rFonts w:ascii="Arial" w:cs="Arial" w:eastAsia="Arial" w:hAnsi="Arial"/>
          <w:sz w:val="20"/>
          <w:szCs w:val="20"/>
          <w:color w:val="auto"/>
        </w:rPr>
        <w:t>ir@mongodb.com</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Relations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Ben Wolfson / Tom McMahon</w:t>
      </w:r>
    </w:p>
    <w:p>
      <w:pPr>
        <w:spacing w:after="0"/>
        <w:rPr>
          <w:sz w:val="20"/>
          <w:szCs w:val="20"/>
          <w:color w:val="auto"/>
        </w:rPr>
      </w:pPr>
      <w:r>
        <w:rPr>
          <w:rFonts w:ascii="Arial" w:cs="Arial" w:eastAsia="Arial" w:hAnsi="Arial"/>
          <w:sz w:val="20"/>
          <w:szCs w:val="20"/>
          <w:color w:val="auto"/>
        </w:rPr>
        <w:t>MongoDB</w:t>
      </w:r>
    </w:p>
    <w:p>
      <w:pPr>
        <w:spacing w:after="0"/>
        <w:rPr>
          <w:sz w:val="20"/>
          <w:szCs w:val="20"/>
          <w:color w:val="auto"/>
        </w:rPr>
      </w:pPr>
      <w:r>
        <w:rPr>
          <w:rFonts w:ascii="Arial" w:cs="Arial" w:eastAsia="Arial" w:hAnsi="Arial"/>
          <w:sz w:val="20"/>
          <w:szCs w:val="20"/>
          <w:color w:val="auto"/>
        </w:rPr>
        <w:t>communications@mongodb.com</w:t>
      </w:r>
    </w:p>
    <w:p>
      <w:pPr>
        <w:spacing w:after="0" w:line="200" w:lineRule="exact"/>
        <w:rPr>
          <w:sz w:val="20"/>
          <w:szCs w:val="20"/>
          <w:color w:val="auto"/>
        </w:rPr>
      </w:pPr>
    </w:p>
    <w:p>
      <w:pPr>
        <w:spacing w:after="0" w:line="21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339" w:right="339" w:bottom="1440" w:gutter="0" w:footer="0" w:header="0"/>
        </w:sectPr>
      </w:pPr>
    </w:p>
    <w:bookmarkStart w:id="7" w:name="page8"/>
    <w:bookmarkEnd w:id="7"/>
    <w:p>
      <w:pPr>
        <w:jc w:val="center"/>
        <w:ind w:right="-179"/>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(unaudited)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31, 2020</w:t>
            </w: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January 31, 2020</w:t>
            </w:r>
          </w:p>
        </w:tc>
        <w:tc>
          <w:tcPr>
            <w:tcW w:w="0" w:type="dxa"/>
            <w:vAlign w:val="bottom"/>
          </w:tcPr>
          <w:p>
            <w:pPr>
              <w:spacing w:after="0"/>
              <w:rPr>
                <w:sz w:val="1"/>
                <w:szCs w:val="1"/>
                <w:color w:val="auto"/>
              </w:rPr>
            </w:pPr>
          </w:p>
        </w:tc>
      </w:tr>
      <w:tr>
        <w:trPr>
          <w:trHeight w:val="26"/>
        </w:trPr>
        <w:tc>
          <w:tcPr>
            <w:tcW w:w="8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5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8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469,492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706,192</w:t>
            </w:r>
          </w:p>
        </w:tc>
        <w:tc>
          <w:tcPr>
            <w:tcW w:w="0" w:type="dxa"/>
            <w:vAlign w:val="bottom"/>
          </w:tcPr>
          <w:p>
            <w:pPr>
              <w:spacing w:after="0"/>
              <w:rPr>
                <w:sz w:val="1"/>
                <w:szCs w:val="1"/>
                <w:color w:val="auto"/>
              </w:rPr>
            </w:pPr>
          </w:p>
        </w:tc>
      </w:tr>
      <w:tr>
        <w:trPr>
          <w:trHeight w:val="237"/>
        </w:trPr>
        <w:tc>
          <w:tcPr>
            <w:tcW w:w="8520" w:type="dxa"/>
            <w:vAlign w:val="bottom"/>
          </w:tcPr>
          <w:p>
            <w:pPr>
              <w:ind w:left="200"/>
              <w:spacing w:after="0"/>
              <w:rPr>
                <w:sz w:val="20"/>
                <w:szCs w:val="20"/>
                <w:color w:val="auto"/>
              </w:rPr>
            </w:pPr>
            <w:r>
              <w:rPr>
                <w:rFonts w:ascii="Arial" w:cs="Arial" w:eastAsia="Arial" w:hAnsi="Arial"/>
                <w:sz w:val="16"/>
                <w:szCs w:val="16"/>
                <w:color w:val="auto"/>
              </w:rPr>
              <w:t>Short-term investments</w:t>
            </w:r>
          </w:p>
        </w:tc>
        <w:tc>
          <w:tcPr>
            <w:tcW w:w="16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505,404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280,326</w:t>
            </w:r>
          </w:p>
        </w:tc>
        <w:tc>
          <w:tcPr>
            <w:tcW w:w="0" w:type="dxa"/>
            <w:vAlign w:val="bottom"/>
          </w:tcPr>
          <w:p>
            <w:pPr>
              <w:spacing w:after="0"/>
              <w:rPr>
                <w:sz w:val="1"/>
                <w:szCs w:val="1"/>
                <w:color w:val="auto"/>
              </w:rPr>
            </w:pPr>
          </w:p>
        </w:tc>
      </w:tr>
      <w:tr>
        <w:trPr>
          <w:trHeight w:val="33"/>
        </w:trPr>
        <w:tc>
          <w:tcPr>
            <w:tcW w:w="8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52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4"/>
              </w:rPr>
              <w:t>Accounts receivable, net of allowance for doubtful accounts of $4,368 and $2,515 as of July 31, 2020 and January 31, 2020,</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respectively</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87,193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85,554</w:t>
            </w:r>
          </w:p>
        </w:tc>
        <w:tc>
          <w:tcPr>
            <w:tcW w:w="0" w:type="dxa"/>
            <w:vAlign w:val="bottom"/>
          </w:tcPr>
          <w:p>
            <w:pPr>
              <w:spacing w:after="0"/>
              <w:rPr>
                <w:sz w:val="1"/>
                <w:szCs w:val="1"/>
                <w:color w:val="auto"/>
              </w:rPr>
            </w:pPr>
          </w:p>
        </w:tc>
      </w:tr>
      <w:tr>
        <w:trPr>
          <w:trHeight w:val="237"/>
        </w:trPr>
        <w:tc>
          <w:tcPr>
            <w:tcW w:w="8520" w:type="dxa"/>
            <w:vAlign w:val="bottom"/>
          </w:tcPr>
          <w:p>
            <w:pPr>
              <w:ind w:left="200"/>
              <w:spacing w:after="0"/>
              <w:rPr>
                <w:sz w:val="20"/>
                <w:szCs w:val="20"/>
                <w:color w:val="auto"/>
              </w:rPr>
            </w:pPr>
            <w:r>
              <w:rPr>
                <w:rFonts w:ascii="Arial" w:cs="Arial" w:eastAsia="Arial" w:hAnsi="Arial"/>
                <w:sz w:val="16"/>
                <w:szCs w:val="16"/>
                <w:color w:val="auto"/>
              </w:rPr>
              <w:t>Deferred commissions</w:t>
            </w:r>
          </w:p>
        </w:tc>
        <w:tc>
          <w:tcPr>
            <w:tcW w:w="16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27,453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24,219</w:t>
            </w:r>
          </w:p>
        </w:tc>
        <w:tc>
          <w:tcPr>
            <w:tcW w:w="0" w:type="dxa"/>
            <w:vAlign w:val="bottom"/>
          </w:tcPr>
          <w:p>
            <w:pPr>
              <w:spacing w:after="0"/>
              <w:rPr>
                <w:sz w:val="1"/>
                <w:szCs w:val="1"/>
                <w:color w:val="auto"/>
              </w:rPr>
            </w:pPr>
          </w:p>
        </w:tc>
      </w:tr>
      <w:tr>
        <w:trPr>
          <w:trHeight w:val="33"/>
        </w:trPr>
        <w:tc>
          <w:tcPr>
            <w:tcW w:w="8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15,281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16,905</w:t>
            </w:r>
          </w:p>
        </w:tc>
        <w:tc>
          <w:tcPr>
            <w:tcW w:w="0" w:type="dxa"/>
            <w:vAlign w:val="bottom"/>
          </w:tcPr>
          <w:p>
            <w:pPr>
              <w:spacing w:after="0"/>
              <w:rPr>
                <w:sz w:val="1"/>
                <w:szCs w:val="1"/>
                <w:color w:val="auto"/>
              </w:rPr>
            </w:pPr>
          </w:p>
        </w:tc>
      </w:tr>
      <w:tr>
        <w:trPr>
          <w:trHeight w:val="217"/>
        </w:trPr>
        <w:tc>
          <w:tcPr>
            <w:tcW w:w="852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1,104,823</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1,113,196</w:t>
            </w:r>
          </w:p>
        </w:tc>
        <w:tc>
          <w:tcPr>
            <w:tcW w:w="0" w:type="dxa"/>
            <w:vAlign w:val="bottom"/>
          </w:tcPr>
          <w:p>
            <w:pPr>
              <w:spacing w:after="0"/>
              <w:rPr>
                <w:sz w:val="1"/>
                <w:szCs w:val="1"/>
                <w:color w:val="auto"/>
              </w:rPr>
            </w:pPr>
          </w:p>
        </w:tc>
      </w:tr>
      <w:tr>
        <w:trPr>
          <w:trHeight w:val="33"/>
        </w:trPr>
        <w:tc>
          <w:tcPr>
            <w:tcW w:w="8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62,154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58,316</w:t>
            </w:r>
          </w:p>
        </w:tc>
        <w:tc>
          <w:tcPr>
            <w:tcW w:w="0" w:type="dxa"/>
            <w:vAlign w:val="bottom"/>
          </w:tcPr>
          <w:p>
            <w:pPr>
              <w:spacing w:after="0"/>
              <w:rPr>
                <w:sz w:val="1"/>
                <w:szCs w:val="1"/>
                <w:color w:val="auto"/>
              </w:rPr>
            </w:pPr>
          </w:p>
        </w:tc>
      </w:tr>
      <w:tr>
        <w:trPr>
          <w:trHeight w:val="237"/>
        </w:trPr>
        <w:tc>
          <w:tcPr>
            <w:tcW w:w="852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40,481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11,147</w:t>
            </w:r>
          </w:p>
        </w:tc>
        <w:tc>
          <w:tcPr>
            <w:tcW w:w="0" w:type="dxa"/>
            <w:vAlign w:val="bottom"/>
          </w:tcPr>
          <w:p>
            <w:pPr>
              <w:spacing w:after="0"/>
              <w:rPr>
                <w:sz w:val="1"/>
                <w:szCs w:val="1"/>
                <w:color w:val="auto"/>
              </w:rPr>
            </w:pPr>
          </w:p>
        </w:tc>
      </w:tr>
      <w:tr>
        <w:trPr>
          <w:trHeight w:val="33"/>
        </w:trPr>
        <w:tc>
          <w:tcPr>
            <w:tcW w:w="8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55,830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55,830</w:t>
            </w:r>
          </w:p>
        </w:tc>
        <w:tc>
          <w:tcPr>
            <w:tcW w:w="0" w:type="dxa"/>
            <w:vAlign w:val="bottom"/>
          </w:tcPr>
          <w:p>
            <w:pPr>
              <w:spacing w:after="0"/>
              <w:rPr>
                <w:sz w:val="1"/>
                <w:szCs w:val="1"/>
                <w:color w:val="auto"/>
              </w:rPr>
            </w:pPr>
          </w:p>
        </w:tc>
      </w:tr>
      <w:tr>
        <w:trPr>
          <w:trHeight w:val="237"/>
        </w:trPr>
        <w:tc>
          <w:tcPr>
            <w:tcW w:w="8520" w:type="dxa"/>
            <w:vAlign w:val="bottom"/>
          </w:tcPr>
          <w:p>
            <w:pPr>
              <w:ind w:left="20"/>
              <w:spacing w:after="0"/>
              <w:rPr>
                <w:sz w:val="20"/>
                <w:szCs w:val="20"/>
                <w:color w:val="auto"/>
              </w:rPr>
            </w:pPr>
            <w:r>
              <w:rPr>
                <w:rFonts w:ascii="Arial" w:cs="Arial" w:eastAsia="Arial" w:hAnsi="Arial"/>
                <w:sz w:val="16"/>
                <w:szCs w:val="16"/>
                <w:color w:val="auto"/>
              </w:rPr>
              <w:t>Acquired intangible assets, net</w:t>
            </w:r>
          </w:p>
        </w:tc>
        <w:tc>
          <w:tcPr>
            <w:tcW w:w="16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30,525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34,779</w:t>
            </w:r>
          </w:p>
        </w:tc>
        <w:tc>
          <w:tcPr>
            <w:tcW w:w="0" w:type="dxa"/>
            <w:vAlign w:val="bottom"/>
          </w:tcPr>
          <w:p>
            <w:pPr>
              <w:spacing w:after="0"/>
              <w:rPr>
                <w:sz w:val="1"/>
                <w:szCs w:val="1"/>
                <w:color w:val="auto"/>
              </w:rPr>
            </w:pPr>
          </w:p>
        </w:tc>
      </w:tr>
      <w:tr>
        <w:trPr>
          <w:trHeight w:val="33"/>
        </w:trPr>
        <w:tc>
          <w:tcPr>
            <w:tcW w:w="8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615</w:t>
            </w:r>
          </w:p>
        </w:tc>
        <w:tc>
          <w:tcPr>
            <w:tcW w:w="0" w:type="dxa"/>
            <w:vAlign w:val="bottom"/>
          </w:tcPr>
          <w:p>
            <w:pPr>
              <w:spacing w:after="0"/>
              <w:rPr>
                <w:sz w:val="1"/>
                <w:szCs w:val="1"/>
                <w:color w:val="auto"/>
              </w:rPr>
            </w:pPr>
          </w:p>
        </w:tc>
      </w:tr>
      <w:tr>
        <w:trPr>
          <w:trHeight w:val="224"/>
        </w:trPr>
        <w:tc>
          <w:tcPr>
            <w:tcW w:w="852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16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60,606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54,684</w:t>
            </w:r>
          </w:p>
        </w:tc>
        <w:tc>
          <w:tcPr>
            <w:tcW w:w="0" w:type="dxa"/>
            <w:vAlign w:val="bottom"/>
          </w:tcPr>
          <w:p>
            <w:pPr>
              <w:spacing w:after="0"/>
              <w:rPr>
                <w:sz w:val="1"/>
                <w:szCs w:val="1"/>
                <w:color w:val="auto"/>
              </w:rPr>
            </w:pPr>
          </w:p>
        </w:tc>
      </w:tr>
      <w:tr>
        <w:trPr>
          <w:trHeight w:val="46"/>
        </w:trPr>
        <w:tc>
          <w:tcPr>
            <w:tcW w:w="85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2"/>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1,355,163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1,328,567</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5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8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2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3,631</w:t>
            </w:r>
          </w:p>
        </w:tc>
        <w:tc>
          <w:tcPr>
            <w:tcW w:w="100" w:type="dxa"/>
            <w:vAlign w:val="bottom"/>
          </w:tcPr>
          <w:p>
            <w:pPr>
              <w:spacing w:after="0"/>
              <w:rPr>
                <w:sz w:val="20"/>
                <w:szCs w:val="20"/>
                <w:color w:val="auto"/>
              </w:rPr>
            </w:pP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2,849</w:t>
            </w:r>
          </w:p>
        </w:tc>
        <w:tc>
          <w:tcPr>
            <w:tcW w:w="0" w:type="dxa"/>
            <w:vAlign w:val="bottom"/>
          </w:tcPr>
          <w:p>
            <w:pPr>
              <w:spacing w:after="0"/>
              <w:rPr>
                <w:sz w:val="1"/>
                <w:szCs w:val="1"/>
                <w:color w:val="auto"/>
              </w:rPr>
            </w:pPr>
          </w:p>
        </w:tc>
      </w:tr>
      <w:tr>
        <w:trPr>
          <w:trHeight w:val="33"/>
        </w:trPr>
        <w:tc>
          <w:tcPr>
            <w:tcW w:w="8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Accrued compensation and benefits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43,377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41,427</w:t>
            </w:r>
          </w:p>
        </w:tc>
        <w:tc>
          <w:tcPr>
            <w:tcW w:w="0" w:type="dxa"/>
            <w:vAlign w:val="bottom"/>
          </w:tcPr>
          <w:p>
            <w:pPr>
              <w:spacing w:after="0"/>
              <w:rPr>
                <w:sz w:val="1"/>
                <w:szCs w:val="1"/>
                <w:color w:val="auto"/>
              </w:rPr>
            </w:pPr>
          </w:p>
        </w:tc>
      </w:tr>
      <w:tr>
        <w:trPr>
          <w:trHeight w:val="237"/>
        </w:trPr>
        <w:tc>
          <w:tcPr>
            <w:tcW w:w="8520" w:type="dxa"/>
            <w:vAlign w:val="bottom"/>
          </w:tcPr>
          <w:p>
            <w:pPr>
              <w:ind w:left="200"/>
              <w:spacing w:after="0"/>
              <w:rPr>
                <w:sz w:val="20"/>
                <w:szCs w:val="20"/>
                <w:color w:val="auto"/>
              </w:rPr>
            </w:pPr>
            <w:r>
              <w:rPr>
                <w:rFonts w:ascii="Arial" w:cs="Arial" w:eastAsia="Arial" w:hAnsi="Arial"/>
                <w:sz w:val="16"/>
                <w:szCs w:val="16"/>
                <w:color w:val="auto"/>
              </w:rPr>
              <w:t>Operating lease liabilities</w:t>
            </w:r>
          </w:p>
        </w:tc>
        <w:tc>
          <w:tcPr>
            <w:tcW w:w="16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4,863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3,750</w:t>
            </w:r>
          </w:p>
        </w:tc>
        <w:tc>
          <w:tcPr>
            <w:tcW w:w="0" w:type="dxa"/>
            <w:vAlign w:val="bottom"/>
          </w:tcPr>
          <w:p>
            <w:pPr>
              <w:spacing w:after="0"/>
              <w:rPr>
                <w:sz w:val="1"/>
                <w:szCs w:val="1"/>
                <w:color w:val="auto"/>
              </w:rPr>
            </w:pPr>
          </w:p>
        </w:tc>
      </w:tr>
      <w:tr>
        <w:trPr>
          <w:trHeight w:val="33"/>
        </w:trPr>
        <w:tc>
          <w:tcPr>
            <w:tcW w:w="8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accrued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24,625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26,860</w:t>
            </w:r>
          </w:p>
        </w:tc>
        <w:tc>
          <w:tcPr>
            <w:tcW w:w="0" w:type="dxa"/>
            <w:vAlign w:val="bottom"/>
          </w:tcPr>
          <w:p>
            <w:pPr>
              <w:spacing w:after="0"/>
              <w:rPr>
                <w:sz w:val="1"/>
                <w:szCs w:val="1"/>
                <w:color w:val="auto"/>
              </w:rPr>
            </w:pPr>
          </w:p>
        </w:tc>
      </w:tr>
      <w:tr>
        <w:trPr>
          <w:trHeight w:val="224"/>
        </w:trPr>
        <w:tc>
          <w:tcPr>
            <w:tcW w:w="8520" w:type="dxa"/>
            <w:vAlign w:val="bottom"/>
          </w:tcPr>
          <w:p>
            <w:pPr>
              <w:ind w:left="200"/>
              <w:spacing w:after="0"/>
              <w:rPr>
                <w:sz w:val="20"/>
                <w:szCs w:val="20"/>
                <w:color w:val="auto"/>
              </w:rPr>
            </w:pPr>
            <w:r>
              <w:rPr>
                <w:rFonts w:ascii="Arial" w:cs="Arial" w:eastAsia="Arial" w:hAnsi="Arial"/>
                <w:sz w:val="16"/>
                <w:szCs w:val="16"/>
                <w:color w:val="auto"/>
              </w:rPr>
              <w:t>Deferred revenue</w:t>
            </w:r>
          </w:p>
        </w:tc>
        <w:tc>
          <w:tcPr>
            <w:tcW w:w="16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176,165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167,498</w:t>
            </w:r>
          </w:p>
        </w:tc>
        <w:tc>
          <w:tcPr>
            <w:tcW w:w="0" w:type="dxa"/>
            <w:vAlign w:val="bottom"/>
          </w:tcPr>
          <w:p>
            <w:pPr>
              <w:spacing w:after="0"/>
              <w:rPr>
                <w:sz w:val="1"/>
                <w:szCs w:val="1"/>
                <w:color w:val="auto"/>
              </w:rPr>
            </w:pPr>
          </w:p>
        </w:tc>
      </w:tr>
      <w:tr>
        <w:trPr>
          <w:trHeight w:val="46"/>
        </w:trPr>
        <w:tc>
          <w:tcPr>
            <w:tcW w:w="85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8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252,661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242,384</w:t>
            </w:r>
          </w:p>
        </w:tc>
        <w:tc>
          <w:tcPr>
            <w:tcW w:w="0" w:type="dxa"/>
            <w:vAlign w:val="bottom"/>
          </w:tcPr>
          <w:p>
            <w:pPr>
              <w:spacing w:after="0"/>
              <w:rPr>
                <w:sz w:val="1"/>
                <w:szCs w:val="1"/>
                <w:color w:val="auto"/>
              </w:rPr>
            </w:pPr>
          </w:p>
        </w:tc>
      </w:tr>
      <w:tr>
        <w:trPr>
          <w:trHeight w:val="237"/>
        </w:trPr>
        <w:tc>
          <w:tcPr>
            <w:tcW w:w="8520" w:type="dxa"/>
            <w:vAlign w:val="bottom"/>
          </w:tcPr>
          <w:p>
            <w:pPr>
              <w:ind w:left="20"/>
              <w:spacing w:after="0"/>
              <w:rPr>
                <w:sz w:val="20"/>
                <w:szCs w:val="20"/>
                <w:color w:val="auto"/>
              </w:rPr>
            </w:pPr>
            <w:r>
              <w:rPr>
                <w:rFonts w:ascii="Arial" w:cs="Arial" w:eastAsia="Arial" w:hAnsi="Arial"/>
                <w:sz w:val="16"/>
                <w:szCs w:val="16"/>
                <w:color w:val="auto"/>
              </w:rPr>
              <w:t>Deferred tax liability, non-current</w:t>
            </w:r>
          </w:p>
        </w:tc>
        <w:tc>
          <w:tcPr>
            <w:tcW w:w="16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826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821</w:t>
            </w:r>
          </w:p>
        </w:tc>
        <w:tc>
          <w:tcPr>
            <w:tcW w:w="0" w:type="dxa"/>
            <w:vAlign w:val="bottom"/>
          </w:tcPr>
          <w:p>
            <w:pPr>
              <w:spacing w:after="0"/>
              <w:rPr>
                <w:sz w:val="1"/>
                <w:szCs w:val="1"/>
                <w:color w:val="auto"/>
              </w:rPr>
            </w:pPr>
          </w:p>
        </w:tc>
      </w:tr>
      <w:tr>
        <w:trPr>
          <w:trHeight w:val="33"/>
        </w:trPr>
        <w:tc>
          <w:tcPr>
            <w:tcW w:w="8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38,873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8,113</w:t>
            </w:r>
          </w:p>
        </w:tc>
        <w:tc>
          <w:tcPr>
            <w:tcW w:w="0" w:type="dxa"/>
            <w:vAlign w:val="bottom"/>
          </w:tcPr>
          <w:p>
            <w:pPr>
              <w:spacing w:after="0"/>
              <w:rPr>
                <w:sz w:val="1"/>
                <w:szCs w:val="1"/>
                <w:color w:val="auto"/>
              </w:rPr>
            </w:pPr>
          </w:p>
        </w:tc>
      </w:tr>
      <w:tr>
        <w:trPr>
          <w:trHeight w:val="223"/>
        </w:trPr>
        <w:tc>
          <w:tcPr>
            <w:tcW w:w="8520" w:type="dxa"/>
            <w:vAlign w:val="bottom"/>
          </w:tcPr>
          <w:p>
            <w:pPr>
              <w:ind w:left="20"/>
              <w:spacing w:after="0"/>
              <w:rPr>
                <w:sz w:val="20"/>
                <w:szCs w:val="20"/>
                <w:color w:val="auto"/>
              </w:rPr>
            </w:pPr>
            <w:r>
              <w:rPr>
                <w:rFonts w:ascii="Arial" w:cs="Arial" w:eastAsia="Arial" w:hAnsi="Arial"/>
                <w:sz w:val="16"/>
                <w:szCs w:val="16"/>
                <w:color w:val="auto"/>
              </w:rPr>
              <w:t>Deferred revenue, non-current</w:t>
            </w:r>
          </w:p>
        </w:tc>
        <w:tc>
          <w:tcPr>
            <w:tcW w:w="16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18,851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23,281</w:t>
            </w:r>
          </w:p>
        </w:tc>
        <w:tc>
          <w:tcPr>
            <w:tcW w:w="0" w:type="dxa"/>
            <w:vAlign w:val="bottom"/>
          </w:tcPr>
          <w:p>
            <w:pPr>
              <w:spacing w:after="0"/>
              <w:rPr>
                <w:sz w:val="1"/>
                <w:szCs w:val="1"/>
                <w:color w:val="auto"/>
              </w:rPr>
            </w:pPr>
          </w:p>
        </w:tc>
      </w:tr>
      <w:tr>
        <w:trPr>
          <w:trHeight w:val="47"/>
        </w:trPr>
        <w:tc>
          <w:tcPr>
            <w:tcW w:w="8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Convertible senior notes, net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935,292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911,075</w:t>
            </w:r>
          </w:p>
        </w:tc>
        <w:tc>
          <w:tcPr>
            <w:tcW w:w="0" w:type="dxa"/>
            <w:vAlign w:val="bottom"/>
          </w:tcPr>
          <w:p>
            <w:pPr>
              <w:spacing w:after="0"/>
              <w:rPr>
                <w:sz w:val="1"/>
                <w:szCs w:val="1"/>
                <w:color w:val="auto"/>
              </w:rPr>
            </w:pPr>
          </w:p>
        </w:tc>
      </w:tr>
      <w:tr>
        <w:trPr>
          <w:trHeight w:val="223"/>
        </w:trPr>
        <w:tc>
          <w:tcPr>
            <w:tcW w:w="8520" w:type="dxa"/>
            <w:vAlign w:val="bottom"/>
          </w:tcPr>
          <w:p>
            <w:pPr>
              <w:ind w:left="20"/>
              <w:spacing w:after="0"/>
              <w:rPr>
                <w:sz w:val="20"/>
                <w:szCs w:val="20"/>
                <w:color w:val="auto"/>
              </w:rPr>
            </w:pPr>
            <w:r>
              <w:rPr>
                <w:rFonts w:ascii="Arial" w:cs="Arial" w:eastAsia="Arial" w:hAnsi="Arial"/>
                <w:sz w:val="16"/>
                <w:szCs w:val="16"/>
                <w:color w:val="auto"/>
              </w:rPr>
              <w:t>Other liabilities, non-current</w:t>
            </w:r>
          </w:p>
        </w:tc>
        <w:tc>
          <w:tcPr>
            <w:tcW w:w="16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60,509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60,035</w:t>
            </w:r>
          </w:p>
        </w:tc>
        <w:tc>
          <w:tcPr>
            <w:tcW w:w="0" w:type="dxa"/>
            <w:vAlign w:val="bottom"/>
          </w:tcPr>
          <w:p>
            <w:pPr>
              <w:spacing w:after="0"/>
              <w:rPr>
                <w:sz w:val="1"/>
                <w:szCs w:val="1"/>
                <w:color w:val="auto"/>
              </w:rPr>
            </w:pPr>
          </w:p>
        </w:tc>
      </w:tr>
      <w:tr>
        <w:trPr>
          <w:trHeight w:val="47"/>
        </w:trPr>
        <w:tc>
          <w:tcPr>
            <w:tcW w:w="85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1,307,012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1,245,709</w:t>
            </w:r>
          </w:p>
        </w:tc>
        <w:tc>
          <w:tcPr>
            <w:tcW w:w="0" w:type="dxa"/>
            <w:vAlign w:val="bottom"/>
          </w:tcPr>
          <w:p>
            <w:pPr>
              <w:spacing w:after="0"/>
              <w:rPr>
                <w:sz w:val="1"/>
                <w:szCs w:val="1"/>
                <w:color w:val="auto"/>
              </w:rPr>
            </w:pPr>
          </w:p>
        </w:tc>
      </w:tr>
      <w:tr>
        <w:trPr>
          <w:trHeight w:val="204"/>
        </w:trPr>
        <w:tc>
          <w:tcPr>
            <w:tcW w:w="852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852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4"/>
              </w:rPr>
              <w:t>Class A common stock, par value of $0.001 per share; 1,000,000,000 shares authorized as of July 31, 2020 and January 31,</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52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6"/>
              </w:rPr>
              <w:t>2020; 58,957,104 shares issued and 58,857,733 shares outstanding as of July 31, 2020; 48,512,090 shares issued and</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outstanding as of January 31, 2020</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20"/>
        </w:trPr>
        <w:tc>
          <w:tcPr>
            <w:tcW w:w="8520" w:type="dxa"/>
            <w:vAlign w:val="bottom"/>
          </w:tcPr>
          <w:p>
            <w:pPr>
              <w:ind w:left="200"/>
              <w:spacing w:after="0"/>
              <w:rPr>
                <w:sz w:val="20"/>
                <w:szCs w:val="20"/>
                <w:color w:val="auto"/>
              </w:rPr>
            </w:pPr>
            <w:r>
              <w:rPr>
                <w:rFonts w:ascii="Arial" w:cs="Arial" w:eastAsia="Arial" w:hAnsi="Arial"/>
                <w:sz w:val="16"/>
                <w:szCs w:val="16"/>
                <w:color w:val="auto"/>
                <w:w w:val="92"/>
              </w:rPr>
              <w:t>Class B common stock, par value of $0.001 per share; no shares and 100,000,000 authorized as of July 31, 2020 and January</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520" w:type="dxa"/>
            <w:vAlign w:val="bottom"/>
          </w:tcPr>
          <w:p>
            <w:pPr>
              <w:ind w:left="380"/>
              <w:spacing w:after="0"/>
              <w:rPr>
                <w:sz w:val="20"/>
                <w:szCs w:val="20"/>
                <w:color w:val="auto"/>
              </w:rPr>
            </w:pPr>
            <w:r>
              <w:rPr>
                <w:rFonts w:ascii="Arial" w:cs="Arial" w:eastAsia="Arial" w:hAnsi="Arial"/>
                <w:sz w:val="16"/>
                <w:szCs w:val="16"/>
                <w:color w:val="auto"/>
                <w:w w:val="91"/>
              </w:rPr>
              <w:t>31, 2020, respectively; no shares issued and outstanding as of July 31, 2020; 8,969,824 shares issued and 8,870,453 shares</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520" w:type="dxa"/>
            <w:vAlign w:val="bottom"/>
          </w:tcPr>
          <w:p>
            <w:pPr>
              <w:ind w:left="380"/>
              <w:spacing w:after="0"/>
              <w:rPr>
                <w:sz w:val="20"/>
                <w:szCs w:val="20"/>
                <w:color w:val="auto"/>
              </w:rPr>
            </w:pPr>
            <w:r>
              <w:rPr>
                <w:rFonts w:ascii="Arial" w:cs="Arial" w:eastAsia="Arial" w:hAnsi="Arial"/>
                <w:sz w:val="16"/>
                <w:szCs w:val="16"/>
                <w:color w:val="auto"/>
              </w:rPr>
              <w:t>outstanding as of January 31, 2020</w:t>
            </w: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8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836,293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752,127</w:t>
            </w:r>
          </w:p>
        </w:tc>
        <w:tc>
          <w:tcPr>
            <w:tcW w:w="0" w:type="dxa"/>
            <w:vAlign w:val="bottom"/>
          </w:tcPr>
          <w:p>
            <w:pPr>
              <w:spacing w:after="0"/>
              <w:rPr>
                <w:sz w:val="1"/>
                <w:szCs w:val="1"/>
                <w:color w:val="auto"/>
              </w:rPr>
            </w:pPr>
          </w:p>
        </w:tc>
      </w:tr>
      <w:tr>
        <w:trPr>
          <w:trHeight w:val="237"/>
        </w:trPr>
        <w:tc>
          <w:tcPr>
            <w:tcW w:w="8520" w:type="dxa"/>
            <w:vAlign w:val="bottom"/>
          </w:tcPr>
          <w:p>
            <w:pPr>
              <w:ind w:left="200"/>
              <w:spacing w:after="0"/>
              <w:rPr>
                <w:sz w:val="20"/>
                <w:szCs w:val="20"/>
                <w:color w:val="auto"/>
              </w:rPr>
            </w:pPr>
            <w:r>
              <w:rPr>
                <w:rFonts w:ascii="Arial" w:cs="Arial" w:eastAsia="Arial" w:hAnsi="Arial"/>
                <w:sz w:val="16"/>
                <w:szCs w:val="16"/>
                <w:color w:val="auto"/>
                <w:w w:val="96"/>
              </w:rPr>
              <w:t>Treasury stock, 99,371 shares (repurchased at an average of $13.27 per share) as of July 31, 2020 and January 31, 2020</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(1,319)</w:t>
            </w:r>
          </w:p>
        </w:tc>
        <w:tc>
          <w:tcPr>
            <w:tcW w:w="0" w:type="dxa"/>
            <w:vAlign w:val="bottom"/>
          </w:tcPr>
          <w:p>
            <w:pPr>
              <w:spacing w:after="0"/>
              <w:rPr>
                <w:sz w:val="1"/>
                <w:szCs w:val="1"/>
                <w:color w:val="auto"/>
              </w:rPr>
            </w:pPr>
          </w:p>
        </w:tc>
      </w:tr>
      <w:tr>
        <w:trPr>
          <w:trHeight w:val="33"/>
        </w:trPr>
        <w:tc>
          <w:tcPr>
            <w:tcW w:w="8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Accumulated 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24"/>
        </w:trPr>
        <w:tc>
          <w:tcPr>
            <w:tcW w:w="8520" w:type="dxa"/>
            <w:vAlign w:val="bottom"/>
          </w:tcPr>
          <w:p>
            <w:pPr>
              <w:ind w:left="200"/>
              <w:spacing w:after="0"/>
              <w:rPr>
                <w:sz w:val="20"/>
                <w:szCs w:val="20"/>
                <w:color w:val="auto"/>
              </w:rPr>
            </w:pPr>
            <w:r>
              <w:rPr>
                <w:rFonts w:ascii="Arial" w:cs="Arial" w:eastAsia="Arial" w:hAnsi="Arial"/>
                <w:sz w:val="16"/>
                <w:szCs w:val="16"/>
                <w:color w:val="auto"/>
              </w:rPr>
              <w:t>Accumulated deficit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(786,951)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(668,232)</w:t>
            </w:r>
          </w:p>
        </w:tc>
        <w:tc>
          <w:tcPr>
            <w:tcW w:w="0" w:type="dxa"/>
            <w:vAlign w:val="bottom"/>
          </w:tcPr>
          <w:p>
            <w:pPr>
              <w:spacing w:after="0"/>
              <w:rPr>
                <w:sz w:val="1"/>
                <w:szCs w:val="1"/>
                <w:color w:val="auto"/>
              </w:rPr>
            </w:pPr>
          </w:p>
        </w:tc>
      </w:tr>
      <w:tr>
        <w:trPr>
          <w:trHeight w:val="46"/>
        </w:trPr>
        <w:tc>
          <w:tcPr>
            <w:tcW w:w="85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48,151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82,858</w:t>
            </w:r>
          </w:p>
        </w:tc>
        <w:tc>
          <w:tcPr>
            <w:tcW w:w="0" w:type="dxa"/>
            <w:vAlign w:val="bottom"/>
          </w:tcPr>
          <w:p>
            <w:pPr>
              <w:spacing w:after="0"/>
              <w:rPr>
                <w:sz w:val="1"/>
                <w:szCs w:val="1"/>
                <w:color w:val="auto"/>
              </w:rPr>
            </w:pPr>
          </w:p>
        </w:tc>
      </w:tr>
      <w:tr>
        <w:trPr>
          <w:trHeight w:val="60"/>
        </w:trPr>
        <w:tc>
          <w:tcPr>
            <w:tcW w:w="852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080" w:type="dxa"/>
            <w:vAlign w:val="bottom"/>
            <w:tcBorders>
              <w:bottom w:val="single" w:sz="8" w:color="auto"/>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92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852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1,355,163</w:t>
            </w:r>
          </w:p>
        </w:tc>
        <w:tc>
          <w:tcPr>
            <w:tcW w:w="100" w:type="dxa"/>
            <w:vAlign w:val="bottom"/>
          </w:tcPr>
          <w:p>
            <w:pPr>
              <w:spacing w:after="0"/>
              <w:rPr>
                <w:sz w:val="18"/>
                <w:szCs w:val="18"/>
                <w:color w:val="auto"/>
              </w:rPr>
            </w:pP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1,328,567</w:t>
            </w:r>
          </w:p>
        </w:tc>
        <w:tc>
          <w:tcPr>
            <w:tcW w:w="0" w:type="dxa"/>
            <w:vAlign w:val="bottom"/>
          </w:tcPr>
          <w:p>
            <w:pPr>
              <w:spacing w:after="0"/>
              <w:rPr>
                <w:sz w:val="1"/>
                <w:szCs w:val="1"/>
                <w:color w:val="auto"/>
              </w:rPr>
            </w:pPr>
          </w:p>
        </w:tc>
      </w:tr>
      <w:tr>
        <w:trPr>
          <w:trHeight w:val="60"/>
        </w:trPr>
        <w:tc>
          <w:tcPr>
            <w:tcW w:w="85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60"/>
          </w:cols>
          <w:pgMar w:left="320" w:top="337" w:right="519" w:bottom="1440" w:gutter="0" w:footer="0" w:header="0"/>
        </w:sectPr>
      </w:pPr>
    </w:p>
    <w:p>
      <w:pPr>
        <w:spacing w:after="0" w:line="2"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060"/>
          </w:cols>
          <w:pgMar w:left="320" w:top="337" w:right="51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20" w:type="dxa"/>
            <w:vAlign w:val="bottom"/>
            <w:gridSpan w:val="8"/>
          </w:tcPr>
          <w:p>
            <w:pPr>
              <w:ind w:left="300"/>
              <w:spacing w:after="0"/>
              <w:rPr>
                <w:sz w:val="20"/>
                <w:szCs w:val="20"/>
                <w:color w:val="auto"/>
              </w:rPr>
            </w:pPr>
            <w:r>
              <w:rPr>
                <w:rFonts w:ascii="Arial" w:cs="Arial" w:eastAsia="Arial" w:hAnsi="Arial"/>
                <w:sz w:val="14"/>
                <w:szCs w:val="14"/>
                <w:b w:val="1"/>
                <w:bCs w:val="1"/>
                <w:color w:val="auto"/>
              </w:rPr>
              <w:t>Three Months Ended July 31,</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00" w:type="dxa"/>
            <w:vAlign w:val="bottom"/>
            <w:gridSpan w:val="5"/>
          </w:tcPr>
          <w:p>
            <w:pPr>
              <w:jc w:val="right"/>
              <w:ind w:right="596"/>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26"/>
        </w:trPr>
        <w:tc>
          <w:tcPr>
            <w:tcW w:w="28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28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6"/>
        </w:trPr>
        <w:tc>
          <w:tcPr>
            <w:tcW w:w="282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gridSpan w:val="2"/>
          </w:tcPr>
          <w:p>
            <w:pPr>
              <w:ind w:left="200"/>
              <w:spacing w:after="0"/>
              <w:rPr>
                <w:sz w:val="20"/>
                <w:szCs w:val="20"/>
                <w:color w:val="auto"/>
              </w:rPr>
            </w:pPr>
            <w:r>
              <w:rPr>
                <w:rFonts w:ascii="Arial" w:cs="Arial" w:eastAsia="Arial" w:hAnsi="Arial"/>
                <w:sz w:val="18"/>
                <w:szCs w:val="18"/>
                <w:color w:val="auto"/>
              </w:rPr>
              <w:t>Subscription</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132,478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gridSpan w:val="2"/>
          </w:tcPr>
          <w:p>
            <w:pPr>
              <w:jc w:val="right"/>
              <w:ind w:right="148"/>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94,156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gridSpan w:val="2"/>
          </w:tcPr>
          <w:p>
            <w:pPr>
              <w:jc w:val="right"/>
              <w:ind w:right="128"/>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257,334</w:t>
            </w:r>
          </w:p>
        </w:tc>
        <w:tc>
          <w:tcPr>
            <w:tcW w:w="100" w:type="dxa"/>
            <w:vAlign w:val="bottom"/>
          </w:tcPr>
          <w:p>
            <w:pPr>
              <w:spacing w:after="0"/>
              <w:rPr>
                <w:sz w:val="21"/>
                <w:szCs w:val="21"/>
                <w:color w:val="auto"/>
              </w:rPr>
            </w:pPr>
          </w:p>
        </w:tc>
        <w:tc>
          <w:tcPr>
            <w:tcW w:w="340" w:type="dxa"/>
            <w:vAlign w:val="bottom"/>
            <w:gridSpan w:val="2"/>
          </w:tcPr>
          <w:p>
            <w:pPr>
              <w:jc w:val="right"/>
              <w:ind w:right="148"/>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178,150</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5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Services</w:t>
            </w:r>
          </w:p>
        </w:tc>
        <w:tc>
          <w:tcPr>
            <w:tcW w:w="3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5,803</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5,212</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11,276</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10,606</w:t>
            </w:r>
          </w:p>
        </w:tc>
        <w:tc>
          <w:tcPr>
            <w:tcW w:w="0" w:type="dxa"/>
            <w:vAlign w:val="bottom"/>
          </w:tcPr>
          <w:p>
            <w:pPr>
              <w:spacing w:after="0"/>
              <w:rPr>
                <w:sz w:val="1"/>
                <w:szCs w:val="1"/>
                <w:color w:val="auto"/>
              </w:rPr>
            </w:pPr>
          </w:p>
        </w:tc>
      </w:tr>
      <w:tr>
        <w:trPr>
          <w:trHeight w:val="237"/>
        </w:trPr>
        <w:tc>
          <w:tcPr>
            <w:tcW w:w="5080" w:type="dxa"/>
            <w:vAlign w:val="bottom"/>
            <w:gridSpan w:val="2"/>
          </w:tcPr>
          <w:p>
            <w:pPr>
              <w:ind w:left="38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138,281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99,368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268,610</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188,756</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80" w:type="dxa"/>
            <w:vAlign w:val="bottom"/>
            <w:gridSpan w:val="2"/>
            <w:shd w:val="clear" w:color="auto" w:fill="CCEEFF"/>
          </w:tcPr>
          <w:p>
            <w:pPr>
              <w:ind w:left="20"/>
              <w:spacing w:after="0" w:line="263" w:lineRule="exact"/>
              <w:rPr>
                <w:sz w:val="20"/>
                <w:szCs w:val="20"/>
                <w:color w:val="auto"/>
              </w:rPr>
            </w:pPr>
            <w:r>
              <w:rPr>
                <w:rFonts w:ascii="Arial" w:cs="Arial" w:eastAsia="Arial" w:hAnsi="Arial"/>
                <w:sz w:val="18"/>
                <w:szCs w:val="18"/>
                <w:color w:val="auto"/>
              </w:rPr>
              <w:t>Cost of revenue</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80" w:type="dxa"/>
            <w:vAlign w:val="bottom"/>
            <w:gridSpan w:val="2"/>
          </w:tcPr>
          <w:p>
            <w:pPr>
              <w:ind w:left="200"/>
              <w:spacing w:after="0"/>
              <w:rPr>
                <w:sz w:val="20"/>
                <w:szCs w:val="20"/>
                <w:color w:val="auto"/>
              </w:rPr>
            </w:pPr>
            <w:r>
              <w:rPr>
                <w:rFonts w:ascii="Arial" w:cs="Arial" w:eastAsia="Arial" w:hAnsi="Arial"/>
                <w:sz w:val="18"/>
                <w:szCs w:val="18"/>
                <w:color w:val="auto"/>
              </w:rPr>
              <w:t>Subscription</w:t>
            </w:r>
          </w:p>
        </w:tc>
        <w:tc>
          <w:tcPr>
            <w:tcW w:w="3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33,973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24,373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64,598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46,968</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5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Services</w:t>
            </w:r>
          </w:p>
        </w:tc>
        <w:tc>
          <w:tcPr>
            <w:tcW w:w="3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8,331</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5,829</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15,383</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11,406</w:t>
            </w:r>
          </w:p>
        </w:tc>
        <w:tc>
          <w:tcPr>
            <w:tcW w:w="0" w:type="dxa"/>
            <w:vAlign w:val="bottom"/>
          </w:tcPr>
          <w:p>
            <w:pPr>
              <w:spacing w:after="0"/>
              <w:rPr>
                <w:sz w:val="1"/>
                <w:szCs w:val="1"/>
                <w:color w:val="auto"/>
              </w:rPr>
            </w:pPr>
          </w:p>
        </w:tc>
      </w:tr>
      <w:tr>
        <w:trPr>
          <w:trHeight w:val="237"/>
        </w:trPr>
        <w:tc>
          <w:tcPr>
            <w:tcW w:w="5080" w:type="dxa"/>
            <w:vAlign w:val="bottom"/>
            <w:gridSpan w:val="2"/>
          </w:tcPr>
          <w:p>
            <w:pPr>
              <w:ind w:left="380"/>
              <w:spacing w:after="0"/>
              <w:rPr>
                <w:sz w:val="20"/>
                <w:szCs w:val="20"/>
                <w:color w:val="auto"/>
              </w:rPr>
            </w:pPr>
            <w:r>
              <w:rPr>
                <w:rFonts w:ascii="Arial" w:cs="Arial" w:eastAsia="Arial" w:hAnsi="Arial"/>
                <w:sz w:val="18"/>
                <w:szCs w:val="18"/>
                <w:color w:val="auto"/>
              </w:rPr>
              <w:t>Total cost of revenue</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42,304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30,202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79,981</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58,374</w:t>
            </w:r>
          </w:p>
        </w:tc>
        <w:tc>
          <w:tcPr>
            <w:tcW w:w="0" w:type="dxa"/>
            <w:vAlign w:val="bottom"/>
          </w:tcPr>
          <w:p>
            <w:pPr>
              <w:spacing w:after="0"/>
              <w:rPr>
                <w:sz w:val="1"/>
                <w:szCs w:val="1"/>
                <w:color w:val="auto"/>
              </w:rPr>
            </w:pPr>
          </w:p>
        </w:tc>
      </w:tr>
      <w:tr>
        <w:trPr>
          <w:trHeight w:val="40"/>
        </w:trPr>
        <w:tc>
          <w:tcPr>
            <w:tcW w:w="2820" w:type="dxa"/>
            <w:vAlign w:val="bottom"/>
            <w:tcBorders>
              <w:bottom w:val="single" w:sz="8" w:color="CCEEFF"/>
            </w:tcBorders>
          </w:tcPr>
          <w:p>
            <w:pPr>
              <w:spacing w:after="0"/>
              <w:rPr>
                <w:sz w:val="3"/>
                <w:szCs w:val="3"/>
                <w:color w:val="auto"/>
              </w:rPr>
            </w:pPr>
          </w:p>
        </w:tc>
        <w:tc>
          <w:tcPr>
            <w:tcW w:w="22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95,977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69,166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188,629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130,382</w:t>
            </w: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gridSpan w:val="2"/>
            <w:shd w:val="clear" w:color="auto" w:fill="CCEEFF"/>
          </w:tcPr>
          <w:p>
            <w:pPr>
              <w:ind w:left="200"/>
              <w:spacing w:after="0" w:line="27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5"/>
                <w:szCs w:val="25"/>
                <w:color w:val="auto"/>
                <w:vertAlign w:val="superscript"/>
              </w:rPr>
              <w:t>(1)</w:t>
            </w: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75,078</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53,524</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144,203</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99,644</w:t>
            </w:r>
          </w:p>
        </w:tc>
        <w:tc>
          <w:tcPr>
            <w:tcW w:w="0" w:type="dxa"/>
            <w:vAlign w:val="bottom"/>
          </w:tcPr>
          <w:p>
            <w:pPr>
              <w:spacing w:after="0"/>
              <w:rPr>
                <w:sz w:val="1"/>
                <w:szCs w:val="1"/>
                <w:color w:val="auto"/>
              </w:rPr>
            </w:pPr>
          </w:p>
        </w:tc>
      </w:tr>
      <w:tr>
        <w:trPr>
          <w:trHeight w:val="270"/>
        </w:trPr>
        <w:tc>
          <w:tcPr>
            <w:tcW w:w="5080" w:type="dxa"/>
            <w:vAlign w:val="bottom"/>
            <w:gridSpan w:val="2"/>
          </w:tcPr>
          <w:p>
            <w:pPr>
              <w:ind w:left="200"/>
              <w:spacing w:after="0" w:line="27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49,255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37,140</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94,887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68,008</w:t>
            </w:r>
          </w:p>
        </w:tc>
        <w:tc>
          <w:tcPr>
            <w:tcW w:w="0" w:type="dxa"/>
            <w:vAlign w:val="bottom"/>
          </w:tcPr>
          <w:p>
            <w:pPr>
              <w:spacing w:after="0"/>
              <w:rPr>
                <w:sz w:val="1"/>
                <w:szCs w:val="1"/>
                <w:color w:val="auto"/>
              </w:rPr>
            </w:pPr>
          </w:p>
        </w:tc>
      </w:tr>
      <w:tr>
        <w:trPr>
          <w:trHeight w:val="283"/>
        </w:trPr>
        <w:tc>
          <w:tcPr>
            <w:tcW w:w="5080" w:type="dxa"/>
            <w:vAlign w:val="bottom"/>
            <w:gridSpan w:val="2"/>
            <w:shd w:val="clear" w:color="auto" w:fill="CCEEFF"/>
          </w:tcPr>
          <w:p>
            <w:pPr>
              <w:ind w:left="200"/>
              <w:spacing w:after="0" w:line="283"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5"/>
                <w:szCs w:val="25"/>
                <w:color w:val="auto"/>
                <w:vertAlign w:val="superscript"/>
              </w:rPr>
              <w:t>(1)</w:t>
            </w:r>
          </w:p>
        </w:tc>
        <w:tc>
          <w:tcPr>
            <w:tcW w:w="3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21,424</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16,174</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41,359</w:t>
            </w:r>
          </w:p>
        </w:tc>
        <w:tc>
          <w:tcPr>
            <w:tcW w:w="10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30,979</w:t>
            </w:r>
          </w:p>
        </w:tc>
        <w:tc>
          <w:tcPr>
            <w:tcW w:w="0" w:type="dxa"/>
            <w:vAlign w:val="bottom"/>
          </w:tcPr>
          <w:p>
            <w:pPr>
              <w:spacing w:after="0"/>
              <w:rPr>
                <w:sz w:val="1"/>
                <w:szCs w:val="1"/>
                <w:color w:val="auto"/>
              </w:rPr>
            </w:pPr>
          </w:p>
        </w:tc>
      </w:tr>
      <w:tr>
        <w:trPr>
          <w:trHeight w:val="237"/>
        </w:trPr>
        <w:tc>
          <w:tcPr>
            <w:tcW w:w="508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20"/>
                <w:szCs w:val="20"/>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145,757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106,838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280,449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198,631</w:t>
            </w:r>
          </w:p>
        </w:tc>
        <w:tc>
          <w:tcPr>
            <w:tcW w:w="0" w:type="dxa"/>
            <w:vAlign w:val="bottom"/>
          </w:tcPr>
          <w:p>
            <w:pPr>
              <w:spacing w:after="0"/>
              <w:rPr>
                <w:sz w:val="1"/>
                <w:szCs w:val="1"/>
                <w:color w:val="auto"/>
              </w:rPr>
            </w:pPr>
          </w:p>
        </w:tc>
      </w:tr>
      <w:tr>
        <w:trPr>
          <w:trHeight w:val="41"/>
        </w:trPr>
        <w:tc>
          <w:tcPr>
            <w:tcW w:w="2820" w:type="dxa"/>
            <w:vAlign w:val="bottom"/>
            <w:tcBorders>
              <w:bottom w:val="single" w:sz="8" w:color="CCEEFF"/>
            </w:tcBorders>
          </w:tcPr>
          <w:p>
            <w:pPr>
              <w:spacing w:after="0"/>
              <w:rPr>
                <w:sz w:val="3"/>
                <w:szCs w:val="3"/>
                <w:color w:val="auto"/>
              </w:rPr>
            </w:pPr>
          </w:p>
        </w:tc>
        <w:tc>
          <w:tcPr>
            <w:tcW w:w="22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(49,780)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(37,672)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(91,820)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(68,249)</w:t>
            </w: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Other loss, net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(13,763)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(25,456)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(5,806)</w:t>
            </w:r>
          </w:p>
        </w:tc>
        <w:tc>
          <w:tcPr>
            <w:tcW w:w="0" w:type="dxa"/>
            <w:vAlign w:val="bottom"/>
          </w:tcPr>
          <w:p>
            <w:pPr>
              <w:spacing w:after="0"/>
              <w:rPr>
                <w:sz w:val="1"/>
                <w:szCs w:val="1"/>
                <w:color w:val="auto"/>
              </w:rPr>
            </w:pPr>
          </w:p>
        </w:tc>
      </w:tr>
      <w:tr>
        <w:trPr>
          <w:trHeight w:val="40"/>
        </w:trPr>
        <w:tc>
          <w:tcPr>
            <w:tcW w:w="2820" w:type="dxa"/>
            <w:vAlign w:val="bottom"/>
            <w:tcBorders>
              <w:bottom w:val="single" w:sz="8" w:color="CCEEFF"/>
            </w:tcBorders>
          </w:tcPr>
          <w:p>
            <w:pPr>
              <w:spacing w:after="0"/>
              <w:rPr>
                <w:sz w:val="3"/>
                <w:szCs w:val="3"/>
                <w:color w:val="auto"/>
              </w:rPr>
            </w:pPr>
          </w:p>
        </w:tc>
        <w:tc>
          <w:tcPr>
            <w:tcW w:w="22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 before provision for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(63,543)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(40,677)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(117,276)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(74,055)</w:t>
            </w:r>
          </w:p>
        </w:tc>
        <w:tc>
          <w:tcPr>
            <w:tcW w:w="0" w:type="dxa"/>
            <w:vAlign w:val="bottom"/>
          </w:tcPr>
          <w:p>
            <w:pPr>
              <w:spacing w:after="0"/>
              <w:rPr>
                <w:sz w:val="1"/>
                <w:szCs w:val="1"/>
                <w:color w:val="auto"/>
              </w:rPr>
            </w:pPr>
          </w:p>
        </w:tc>
      </w:tr>
      <w:tr>
        <w:trPr>
          <w:trHeight w:val="24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2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982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(3,341)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1,216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(3,479)</w:t>
            </w:r>
          </w:p>
        </w:tc>
        <w:tc>
          <w:tcPr>
            <w:tcW w:w="0" w:type="dxa"/>
            <w:vAlign w:val="bottom"/>
          </w:tcPr>
          <w:p>
            <w:pPr>
              <w:spacing w:after="0"/>
              <w:rPr>
                <w:sz w:val="1"/>
                <w:szCs w:val="1"/>
                <w:color w:val="auto"/>
              </w:rPr>
            </w:pPr>
          </w:p>
        </w:tc>
      </w:tr>
      <w:tr>
        <w:trPr>
          <w:trHeight w:val="40"/>
        </w:trPr>
        <w:tc>
          <w:tcPr>
            <w:tcW w:w="2820" w:type="dxa"/>
            <w:vAlign w:val="bottom"/>
            <w:tcBorders>
              <w:bottom w:val="single" w:sz="8" w:color="CCEEFF"/>
            </w:tcBorders>
          </w:tcPr>
          <w:p>
            <w:pPr>
              <w:spacing w:after="0"/>
              <w:rPr>
                <w:sz w:val="3"/>
                <w:szCs w:val="3"/>
                <w:color w:val="auto"/>
              </w:rPr>
            </w:pPr>
          </w:p>
        </w:tc>
        <w:tc>
          <w:tcPr>
            <w:tcW w:w="22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5"/>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(64,525)</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(37,336)</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(118,492)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(70,576)</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Net loss per share, basic and 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80" w:type="dxa"/>
            <w:vAlign w:val="bottom"/>
            <w:gridSpan w:val="2"/>
            <w:vMerge w:val="continue"/>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148"/>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(0.67)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ind w:right="128"/>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340" w:type="dxa"/>
            <w:vAlign w:val="bottom"/>
            <w:gridSpan w:val="2"/>
          </w:tcPr>
          <w:p>
            <w:pPr>
              <w:jc w:val="right"/>
              <w:ind w:right="148"/>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80"/>
        </w:trPr>
        <w:tc>
          <w:tcPr>
            <w:tcW w:w="2820" w:type="dxa"/>
            <w:vAlign w:val="bottom"/>
            <w:tcBorders>
              <w:bottom w:val="single" w:sz="8" w:color="CCEEFF"/>
            </w:tcBorders>
          </w:tcPr>
          <w:p>
            <w:pPr>
              <w:spacing w:after="0"/>
              <w:rPr>
                <w:sz w:val="7"/>
                <w:szCs w:val="7"/>
                <w:color w:val="auto"/>
              </w:rPr>
            </w:pPr>
          </w:p>
        </w:tc>
        <w:tc>
          <w:tcPr>
            <w:tcW w:w="2260" w:type="dxa"/>
            <w:vAlign w:val="bottom"/>
            <w:tcBorders>
              <w:bottom w:val="single" w:sz="8" w:color="CCEEFF"/>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508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w w:val="92"/>
              </w:rPr>
              <w:t>Weighted-average shares used to compute net loss per share, basic</w:t>
            </w:r>
          </w:p>
        </w:tc>
        <w:tc>
          <w:tcPr>
            <w:tcW w:w="3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58,393,894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55,647,707</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58,025,799</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55,186,945</w:t>
            </w: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and diluted</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vMerge w:val="continue"/>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vMerge w:val="continue"/>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expense as follows: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820" w:type="dxa"/>
            <w:vAlign w:val="bottom"/>
            <w:tcBorders>
              <w:bottom w:val="single" w:sz="8" w:color="auto"/>
            </w:tcBorders>
          </w:tcPr>
          <w:p>
            <w:pPr>
              <w:spacing w:after="0"/>
              <w:rPr>
                <w:sz w:val="24"/>
                <w:szCs w:val="24"/>
                <w:color w:val="auto"/>
              </w:rPr>
            </w:pPr>
          </w:p>
        </w:tc>
        <w:tc>
          <w:tcPr>
            <w:tcW w:w="2260" w:type="dxa"/>
            <w:vAlign w:val="bottom"/>
            <w:tcBorders>
              <w:bottom w:val="single" w:sz="8" w:color="CCEEFF"/>
            </w:tcBorders>
            <w:vMerge w:val="continue"/>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820" w:type="dxa"/>
            <w:vAlign w:val="bottom"/>
          </w:tcPr>
          <w:p>
            <w:pPr>
              <w:spacing w:after="0" w:line="288" w:lineRule="exact"/>
              <w:rPr>
                <w:sz w:val="20"/>
                <w:szCs w:val="20"/>
                <w:color w:val="auto"/>
              </w:rPr>
            </w:pPr>
            <w:r>
              <w:rPr>
                <w:rFonts w:ascii="Arial" w:cs="Arial" w:eastAsia="Arial" w:hAnsi="Arial"/>
                <w:sz w:val="25"/>
                <w:szCs w:val="25"/>
                <w:color w:val="auto"/>
                <w:w w:val="89"/>
                <w:vertAlign w:val="superscript"/>
              </w:rPr>
              <w:t>(1)</w:t>
            </w:r>
            <w:r>
              <w:rPr>
                <w:rFonts w:ascii="Arial" w:cs="Arial" w:eastAsia="Arial" w:hAnsi="Arial"/>
                <w:sz w:val="18"/>
                <w:szCs w:val="18"/>
                <w:color w:val="auto"/>
                <w:w w:val="89"/>
              </w:rPr>
              <w:t xml:space="preserve"> Includes stock</w:t>
            </w:r>
            <w:r>
              <w:rPr>
                <w:rFonts w:ascii="MS PGothic" w:cs="MS PGothic" w:eastAsia="MS PGothic" w:hAnsi="MS PGothic"/>
                <w:sz w:val="18"/>
                <w:szCs w:val="18"/>
                <w:color w:val="auto"/>
                <w:w w:val="89"/>
              </w:rPr>
              <w:t>‑</w:t>
            </w:r>
            <w:r>
              <w:rPr>
                <w:rFonts w:ascii="Arial" w:cs="Arial" w:eastAsia="Arial" w:hAnsi="Arial"/>
                <w:sz w:val="18"/>
                <w:szCs w:val="18"/>
                <w:color w:val="auto"/>
                <w:w w:val="89"/>
              </w:rPr>
              <w:t>based compensation</w:t>
            </w:r>
          </w:p>
        </w:tc>
        <w:tc>
          <w:tcPr>
            <w:tcW w:w="22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28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20" w:type="dxa"/>
            <w:vAlign w:val="bottom"/>
            <w:gridSpan w:val="8"/>
          </w:tcPr>
          <w:p>
            <w:pPr>
              <w:jc w:val="right"/>
              <w:ind w:right="700"/>
              <w:spacing w:after="0"/>
              <w:rPr>
                <w:sz w:val="20"/>
                <w:szCs w:val="20"/>
                <w:color w:val="auto"/>
              </w:rPr>
            </w:pPr>
            <w:r>
              <w:rPr>
                <w:rFonts w:ascii="Arial" w:cs="Arial" w:eastAsia="Arial" w:hAnsi="Arial"/>
                <w:sz w:val="14"/>
                <w:szCs w:val="14"/>
                <w:b w:val="1"/>
                <w:bCs w:val="1"/>
                <w:color w:val="auto"/>
              </w:rPr>
              <w:t>Three Months Ended July 31,</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00" w:type="dxa"/>
            <w:vAlign w:val="bottom"/>
            <w:gridSpan w:val="5"/>
          </w:tcPr>
          <w:p>
            <w:pPr>
              <w:jc w:val="right"/>
              <w:ind w:right="576"/>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25"/>
        </w:trPr>
        <w:tc>
          <w:tcPr>
            <w:tcW w:w="28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28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476"/>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
        </w:trPr>
        <w:tc>
          <w:tcPr>
            <w:tcW w:w="50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Cost of revenue—subscription</w:t>
            </w:r>
          </w:p>
        </w:tc>
        <w:tc>
          <w:tcPr>
            <w:tcW w:w="3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16"/>
              <w:spacing w:after="0"/>
              <w:rPr>
                <w:sz w:val="20"/>
                <w:szCs w:val="20"/>
                <w:color w:val="auto"/>
              </w:rPr>
            </w:pPr>
            <w:r>
              <w:rPr>
                <w:rFonts w:ascii="Arial" w:cs="Arial" w:eastAsia="Arial" w:hAnsi="Arial"/>
                <w:sz w:val="14"/>
                <w:szCs w:val="14"/>
                <w:color w:val="auto"/>
              </w:rPr>
              <w:t>2,235</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gridSpan w:val="2"/>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1,214</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gridSpan w:val="2"/>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16"/>
              <w:spacing w:after="0"/>
              <w:rPr>
                <w:sz w:val="20"/>
                <w:szCs w:val="20"/>
                <w:color w:val="auto"/>
              </w:rPr>
            </w:pPr>
            <w:r>
              <w:rPr>
                <w:rFonts w:ascii="Arial" w:cs="Arial" w:eastAsia="Arial" w:hAnsi="Arial"/>
                <w:sz w:val="14"/>
                <w:szCs w:val="14"/>
                <w:color w:val="auto"/>
              </w:rPr>
              <w:t>4,062</w:t>
            </w:r>
          </w:p>
        </w:tc>
        <w:tc>
          <w:tcPr>
            <w:tcW w:w="100" w:type="dxa"/>
            <w:vAlign w:val="bottom"/>
            <w:shd w:val="clear" w:color="auto" w:fill="CCEEFF"/>
          </w:tcPr>
          <w:p>
            <w:pPr>
              <w:spacing w:after="0"/>
              <w:rPr>
                <w:sz w:val="16"/>
                <w:szCs w:val="16"/>
                <w:color w:val="auto"/>
              </w:rPr>
            </w:pPr>
          </w:p>
        </w:tc>
        <w:tc>
          <w:tcPr>
            <w:tcW w:w="340" w:type="dxa"/>
            <w:vAlign w:val="bottom"/>
            <w:gridSpan w:val="2"/>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16"/>
              <w:spacing w:after="0"/>
              <w:rPr>
                <w:sz w:val="20"/>
                <w:szCs w:val="20"/>
                <w:color w:val="auto"/>
              </w:rPr>
            </w:pPr>
            <w:r>
              <w:rPr>
                <w:rFonts w:ascii="Arial" w:cs="Arial" w:eastAsia="Arial" w:hAnsi="Arial"/>
                <w:sz w:val="14"/>
                <w:szCs w:val="14"/>
                <w:color w:val="auto"/>
              </w:rPr>
              <w:t>2,202</w:t>
            </w:r>
          </w:p>
        </w:tc>
        <w:tc>
          <w:tcPr>
            <w:tcW w:w="0" w:type="dxa"/>
            <w:vAlign w:val="bottom"/>
          </w:tcPr>
          <w:p>
            <w:pPr>
              <w:spacing w:after="0"/>
              <w:rPr>
                <w:sz w:val="1"/>
                <w:szCs w:val="1"/>
                <w:color w:val="auto"/>
              </w:rPr>
            </w:pPr>
          </w:p>
        </w:tc>
      </w:tr>
      <w:tr>
        <w:trPr>
          <w:trHeight w:val="80"/>
        </w:trPr>
        <w:tc>
          <w:tcPr>
            <w:tcW w:w="2820" w:type="dxa"/>
            <w:vAlign w:val="bottom"/>
            <w:shd w:val="clear" w:color="auto" w:fill="CCEEFF"/>
          </w:tcPr>
          <w:p>
            <w:pPr>
              <w:spacing w:after="0"/>
              <w:rPr>
                <w:sz w:val="6"/>
                <w:szCs w:val="6"/>
                <w:color w:val="auto"/>
              </w:rPr>
            </w:pPr>
          </w:p>
        </w:tc>
        <w:tc>
          <w:tcPr>
            <w:tcW w:w="2260" w:type="dxa"/>
            <w:vAlign w:val="bottom"/>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40" w:type="dxa"/>
            <w:vAlign w:val="bottom"/>
            <w:gridSpan w:val="2"/>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20" w:type="dxa"/>
            <w:vAlign w:val="bottom"/>
            <w:gridSpan w:val="2"/>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gridSpan w:val="2"/>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5080" w:type="dxa"/>
            <w:vAlign w:val="bottom"/>
            <w:gridSpan w:val="2"/>
          </w:tcPr>
          <w:p>
            <w:pPr>
              <w:ind w:left="20"/>
              <w:spacing w:after="0"/>
              <w:rPr>
                <w:sz w:val="20"/>
                <w:szCs w:val="20"/>
                <w:color w:val="auto"/>
              </w:rPr>
            </w:pPr>
            <w:r>
              <w:rPr>
                <w:rFonts w:ascii="Arial" w:cs="Arial" w:eastAsia="Arial" w:hAnsi="Arial"/>
                <w:sz w:val="14"/>
                <w:szCs w:val="14"/>
                <w:color w:val="auto"/>
              </w:rPr>
              <w:t>Cost of revenue—services</w:t>
            </w:r>
          </w:p>
        </w:tc>
        <w:tc>
          <w:tcPr>
            <w:tcW w:w="320" w:type="dxa"/>
            <w:vAlign w:val="bottom"/>
          </w:tcPr>
          <w:p>
            <w:pPr>
              <w:spacing w:after="0"/>
              <w:rPr>
                <w:sz w:val="16"/>
                <w:szCs w:val="16"/>
                <w:color w:val="auto"/>
              </w:rPr>
            </w:pPr>
          </w:p>
        </w:tc>
        <w:tc>
          <w:tcPr>
            <w:tcW w:w="1140" w:type="dxa"/>
            <w:vAlign w:val="bottom"/>
            <w:vMerge w:val="restart"/>
          </w:tcPr>
          <w:p>
            <w:pPr>
              <w:jc w:val="right"/>
              <w:ind w:right="16"/>
              <w:spacing w:after="0"/>
              <w:rPr>
                <w:sz w:val="20"/>
                <w:szCs w:val="20"/>
                <w:color w:val="auto"/>
              </w:rPr>
            </w:pPr>
            <w:r>
              <w:rPr>
                <w:rFonts w:ascii="Arial" w:cs="Arial" w:eastAsia="Arial" w:hAnsi="Arial"/>
                <w:sz w:val="14"/>
                <w:szCs w:val="14"/>
                <w:color w:val="auto"/>
              </w:rPr>
              <w:t>1,483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721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vMerge w:val="restart"/>
          </w:tcPr>
          <w:p>
            <w:pPr>
              <w:jc w:val="right"/>
              <w:ind w:right="16"/>
              <w:spacing w:after="0"/>
              <w:rPr>
                <w:sz w:val="20"/>
                <w:szCs w:val="20"/>
                <w:color w:val="auto"/>
              </w:rPr>
            </w:pPr>
            <w:r>
              <w:rPr>
                <w:rFonts w:ascii="Arial" w:cs="Arial" w:eastAsia="Arial" w:hAnsi="Arial"/>
                <w:sz w:val="14"/>
                <w:szCs w:val="14"/>
                <w:color w:val="auto"/>
              </w:rPr>
              <w:t>2,629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vMerge w:val="restart"/>
          </w:tcPr>
          <w:p>
            <w:pPr>
              <w:jc w:val="right"/>
              <w:ind w:right="16"/>
              <w:spacing w:after="0"/>
              <w:rPr>
                <w:sz w:val="20"/>
                <w:szCs w:val="20"/>
                <w:color w:val="auto"/>
              </w:rPr>
            </w:pPr>
            <w:r>
              <w:rPr>
                <w:rFonts w:ascii="Arial" w:cs="Arial" w:eastAsia="Arial" w:hAnsi="Arial"/>
                <w:sz w:val="14"/>
                <w:szCs w:val="14"/>
                <w:color w:val="auto"/>
              </w:rPr>
              <w:t>1,314</w:t>
            </w:r>
          </w:p>
        </w:tc>
        <w:tc>
          <w:tcPr>
            <w:tcW w:w="0" w:type="dxa"/>
            <w:vAlign w:val="bottom"/>
          </w:tcPr>
          <w:p>
            <w:pPr>
              <w:spacing w:after="0"/>
              <w:rPr>
                <w:sz w:val="1"/>
                <w:szCs w:val="1"/>
                <w:color w:val="auto"/>
              </w:rPr>
            </w:pPr>
          </w:p>
        </w:tc>
      </w:tr>
      <w:tr>
        <w:trPr>
          <w:trHeight w:val="73"/>
        </w:trPr>
        <w:tc>
          <w:tcPr>
            <w:tcW w:w="2820" w:type="dxa"/>
            <w:vAlign w:val="bottom"/>
          </w:tcPr>
          <w:p>
            <w:pPr>
              <w:spacing w:after="0"/>
              <w:rPr>
                <w:sz w:val="6"/>
                <w:szCs w:val="6"/>
                <w:color w:val="auto"/>
              </w:rPr>
            </w:pPr>
          </w:p>
        </w:tc>
        <w:tc>
          <w:tcPr>
            <w:tcW w:w="2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3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16"/>
              <w:spacing w:after="0"/>
              <w:rPr>
                <w:sz w:val="20"/>
                <w:szCs w:val="20"/>
                <w:color w:val="auto"/>
              </w:rPr>
            </w:pPr>
            <w:r>
              <w:rPr>
                <w:rFonts w:ascii="Arial" w:cs="Arial" w:eastAsia="Arial" w:hAnsi="Arial"/>
                <w:sz w:val="14"/>
                <w:szCs w:val="14"/>
                <w:color w:val="auto"/>
              </w:rPr>
              <w:t>13,235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5,944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16"/>
              <w:spacing w:after="0"/>
              <w:rPr>
                <w:sz w:val="20"/>
                <w:szCs w:val="20"/>
                <w:color w:val="auto"/>
              </w:rPr>
            </w:pPr>
            <w:r>
              <w:rPr>
                <w:rFonts w:ascii="Arial" w:cs="Arial" w:eastAsia="Arial" w:hAnsi="Arial"/>
                <w:sz w:val="14"/>
                <w:szCs w:val="14"/>
                <w:color w:val="auto"/>
              </w:rPr>
              <w:t>24,058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16"/>
              <w:spacing w:after="0"/>
              <w:rPr>
                <w:sz w:val="20"/>
                <w:szCs w:val="20"/>
                <w:color w:val="auto"/>
              </w:rPr>
            </w:pPr>
            <w:r>
              <w:rPr>
                <w:rFonts w:ascii="Arial" w:cs="Arial" w:eastAsia="Arial" w:hAnsi="Arial"/>
                <w:sz w:val="14"/>
                <w:szCs w:val="14"/>
                <w:color w:val="auto"/>
              </w:rPr>
              <w:t>10,884</w:t>
            </w:r>
          </w:p>
        </w:tc>
        <w:tc>
          <w:tcPr>
            <w:tcW w:w="0" w:type="dxa"/>
            <w:vAlign w:val="bottom"/>
          </w:tcPr>
          <w:p>
            <w:pPr>
              <w:spacing w:after="0"/>
              <w:rPr>
                <w:sz w:val="1"/>
                <w:szCs w:val="1"/>
                <w:color w:val="auto"/>
              </w:rPr>
            </w:pPr>
          </w:p>
        </w:tc>
      </w:tr>
      <w:tr>
        <w:trPr>
          <w:trHeight w:val="80"/>
        </w:trPr>
        <w:tc>
          <w:tcPr>
            <w:tcW w:w="2820" w:type="dxa"/>
            <w:vAlign w:val="bottom"/>
            <w:shd w:val="clear" w:color="auto" w:fill="CCEEFF"/>
          </w:tcPr>
          <w:p>
            <w:pPr>
              <w:spacing w:after="0"/>
              <w:rPr>
                <w:sz w:val="6"/>
                <w:szCs w:val="6"/>
                <w:color w:val="auto"/>
              </w:rPr>
            </w:pPr>
          </w:p>
        </w:tc>
        <w:tc>
          <w:tcPr>
            <w:tcW w:w="22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5080" w:type="dxa"/>
            <w:vAlign w:val="bottom"/>
            <w:gridSpan w:val="2"/>
          </w:tcPr>
          <w:p>
            <w:pPr>
              <w:ind w:left="20"/>
              <w:spacing w:after="0"/>
              <w:rPr>
                <w:sz w:val="20"/>
                <w:szCs w:val="20"/>
                <w:color w:val="auto"/>
              </w:rPr>
            </w:pPr>
            <w:r>
              <w:rPr>
                <w:rFonts w:ascii="Arial" w:cs="Arial" w:eastAsia="Arial" w:hAnsi="Arial"/>
                <w:sz w:val="14"/>
                <w:szCs w:val="14"/>
                <w:color w:val="auto"/>
              </w:rPr>
              <w:t>Research and development</w:t>
            </w:r>
          </w:p>
        </w:tc>
        <w:tc>
          <w:tcPr>
            <w:tcW w:w="320" w:type="dxa"/>
            <w:vAlign w:val="bottom"/>
          </w:tcPr>
          <w:p>
            <w:pPr>
              <w:spacing w:after="0"/>
              <w:rPr>
                <w:sz w:val="16"/>
                <w:szCs w:val="16"/>
                <w:color w:val="auto"/>
              </w:rPr>
            </w:pPr>
          </w:p>
        </w:tc>
        <w:tc>
          <w:tcPr>
            <w:tcW w:w="1140" w:type="dxa"/>
            <w:vAlign w:val="bottom"/>
            <w:vMerge w:val="restart"/>
          </w:tcPr>
          <w:p>
            <w:pPr>
              <w:jc w:val="right"/>
              <w:ind w:right="16"/>
              <w:spacing w:after="0"/>
              <w:rPr>
                <w:sz w:val="20"/>
                <w:szCs w:val="20"/>
                <w:color w:val="auto"/>
              </w:rPr>
            </w:pPr>
            <w:r>
              <w:rPr>
                <w:rFonts w:ascii="Arial" w:cs="Arial" w:eastAsia="Arial" w:hAnsi="Arial"/>
                <w:sz w:val="14"/>
                <w:szCs w:val="14"/>
                <w:color w:val="auto"/>
              </w:rPr>
              <w:t>14,214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6,114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vMerge w:val="restart"/>
          </w:tcPr>
          <w:p>
            <w:pPr>
              <w:jc w:val="right"/>
              <w:ind w:right="16"/>
              <w:spacing w:after="0"/>
              <w:rPr>
                <w:sz w:val="20"/>
                <w:szCs w:val="20"/>
                <w:color w:val="auto"/>
              </w:rPr>
            </w:pPr>
            <w:r>
              <w:rPr>
                <w:rFonts w:ascii="Arial" w:cs="Arial" w:eastAsia="Arial" w:hAnsi="Arial"/>
                <w:sz w:val="14"/>
                <w:szCs w:val="14"/>
                <w:color w:val="auto"/>
              </w:rPr>
              <w:t>25,973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vMerge w:val="restart"/>
          </w:tcPr>
          <w:p>
            <w:pPr>
              <w:jc w:val="right"/>
              <w:ind w:right="16"/>
              <w:spacing w:after="0"/>
              <w:rPr>
                <w:sz w:val="20"/>
                <w:szCs w:val="20"/>
                <w:color w:val="auto"/>
              </w:rPr>
            </w:pPr>
            <w:r>
              <w:rPr>
                <w:rFonts w:ascii="Arial" w:cs="Arial" w:eastAsia="Arial" w:hAnsi="Arial"/>
                <w:sz w:val="14"/>
                <w:szCs w:val="14"/>
                <w:color w:val="auto"/>
              </w:rPr>
              <w:t>10,634</w:t>
            </w:r>
          </w:p>
        </w:tc>
        <w:tc>
          <w:tcPr>
            <w:tcW w:w="0" w:type="dxa"/>
            <w:vAlign w:val="bottom"/>
          </w:tcPr>
          <w:p>
            <w:pPr>
              <w:spacing w:after="0"/>
              <w:rPr>
                <w:sz w:val="1"/>
                <w:szCs w:val="1"/>
                <w:color w:val="auto"/>
              </w:rPr>
            </w:pPr>
          </w:p>
        </w:tc>
      </w:tr>
      <w:tr>
        <w:trPr>
          <w:trHeight w:val="73"/>
        </w:trPr>
        <w:tc>
          <w:tcPr>
            <w:tcW w:w="2820" w:type="dxa"/>
            <w:vAlign w:val="bottom"/>
          </w:tcPr>
          <w:p>
            <w:pPr>
              <w:spacing w:after="0"/>
              <w:rPr>
                <w:sz w:val="6"/>
                <w:szCs w:val="6"/>
                <w:color w:val="auto"/>
              </w:rPr>
            </w:pPr>
          </w:p>
        </w:tc>
        <w:tc>
          <w:tcPr>
            <w:tcW w:w="2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3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16"/>
              <w:spacing w:after="0"/>
              <w:rPr>
                <w:sz w:val="20"/>
                <w:szCs w:val="20"/>
                <w:color w:val="auto"/>
              </w:rPr>
            </w:pPr>
            <w:r>
              <w:rPr>
                <w:rFonts w:ascii="Arial" w:cs="Arial" w:eastAsia="Arial" w:hAnsi="Arial"/>
                <w:sz w:val="14"/>
                <w:szCs w:val="14"/>
                <w:color w:val="auto"/>
              </w:rPr>
              <w:t>6,358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3,669</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16"/>
              <w:spacing w:after="0"/>
              <w:rPr>
                <w:sz w:val="20"/>
                <w:szCs w:val="20"/>
                <w:color w:val="auto"/>
              </w:rPr>
            </w:pPr>
            <w:r>
              <w:rPr>
                <w:rFonts w:ascii="Arial" w:cs="Arial" w:eastAsia="Arial" w:hAnsi="Arial"/>
                <w:sz w:val="14"/>
                <w:szCs w:val="14"/>
                <w:color w:val="auto"/>
              </w:rPr>
              <w:t>11,370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16"/>
              <w:spacing w:after="0"/>
              <w:rPr>
                <w:sz w:val="20"/>
                <w:szCs w:val="20"/>
                <w:color w:val="auto"/>
              </w:rPr>
            </w:pPr>
            <w:r>
              <w:rPr>
                <w:rFonts w:ascii="Arial" w:cs="Arial" w:eastAsia="Arial" w:hAnsi="Arial"/>
                <w:sz w:val="14"/>
                <w:szCs w:val="14"/>
                <w:color w:val="auto"/>
              </w:rPr>
              <w:t>6,637</w:t>
            </w:r>
          </w:p>
        </w:tc>
        <w:tc>
          <w:tcPr>
            <w:tcW w:w="0" w:type="dxa"/>
            <w:vAlign w:val="bottom"/>
          </w:tcPr>
          <w:p>
            <w:pPr>
              <w:spacing w:after="0"/>
              <w:rPr>
                <w:sz w:val="1"/>
                <w:szCs w:val="1"/>
                <w:color w:val="auto"/>
              </w:rPr>
            </w:pPr>
          </w:p>
        </w:tc>
      </w:tr>
      <w:tr>
        <w:trPr>
          <w:trHeight w:val="80"/>
        </w:trPr>
        <w:tc>
          <w:tcPr>
            <w:tcW w:w="2820" w:type="dxa"/>
            <w:vAlign w:val="bottom"/>
            <w:tcBorders>
              <w:bottom w:val="single" w:sz="8" w:color="CCEEFF"/>
            </w:tcBorders>
            <w:shd w:val="clear" w:color="auto" w:fill="CCEEFF"/>
          </w:tcPr>
          <w:p>
            <w:pPr>
              <w:spacing w:after="0"/>
              <w:rPr>
                <w:sz w:val="6"/>
                <w:szCs w:val="6"/>
                <w:color w:val="auto"/>
              </w:rPr>
            </w:pPr>
          </w:p>
        </w:tc>
        <w:tc>
          <w:tcPr>
            <w:tcW w:w="2260" w:type="dxa"/>
            <w:vAlign w:val="bottom"/>
            <w:tcBorders>
              <w:bottom w:val="single" w:sz="8" w:color="CCEEFF"/>
            </w:tcBorders>
            <w:shd w:val="clear" w:color="auto" w:fill="CCEEFF"/>
          </w:tcPr>
          <w:p>
            <w:pPr>
              <w:spacing w:after="0"/>
              <w:rPr>
                <w:sz w:val="6"/>
                <w:szCs w:val="6"/>
                <w:color w:val="auto"/>
              </w:rPr>
            </w:pPr>
          </w:p>
        </w:tc>
        <w:tc>
          <w:tcPr>
            <w:tcW w:w="320" w:type="dxa"/>
            <w:vAlign w:val="bottom"/>
            <w:tcBorders>
              <w:bottom w:val="single" w:sz="8" w:color="CCEEFF"/>
            </w:tcBorders>
            <w:shd w:val="clear" w:color="auto" w:fill="CCEEFF"/>
          </w:tcPr>
          <w:p>
            <w:pPr>
              <w:spacing w:after="0"/>
              <w:rPr>
                <w:sz w:val="6"/>
                <w:szCs w:val="6"/>
                <w:color w:val="auto"/>
              </w:rPr>
            </w:pPr>
          </w:p>
        </w:tc>
        <w:tc>
          <w:tcPr>
            <w:tcW w:w="1140" w:type="dxa"/>
            <w:vAlign w:val="bottom"/>
            <w:tcBorders>
              <w:bottom w:val="single" w:sz="8" w:color="CCEEFF"/>
            </w:tcBorders>
            <w:vMerge w:val="continue"/>
            <w:shd w:val="clear" w:color="auto" w:fill="CCEEFF"/>
          </w:tcPr>
          <w:p>
            <w:pPr>
              <w:spacing w:after="0"/>
              <w:rPr>
                <w:sz w:val="6"/>
                <w:szCs w:val="6"/>
                <w:color w:val="auto"/>
              </w:rPr>
            </w:pPr>
          </w:p>
        </w:tc>
        <w:tc>
          <w:tcPr>
            <w:tcW w:w="2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40" w:type="dxa"/>
            <w:vAlign w:val="bottom"/>
            <w:tcBorders>
              <w:bottom w:val="single" w:sz="8" w:color="CCEEFF"/>
            </w:tcBorders>
            <w:shd w:val="clear" w:color="auto" w:fill="CCEEFF"/>
          </w:tcPr>
          <w:p>
            <w:pPr>
              <w:spacing w:after="0"/>
              <w:rPr>
                <w:sz w:val="6"/>
                <w:szCs w:val="6"/>
                <w:color w:val="auto"/>
              </w:rPr>
            </w:pPr>
          </w:p>
        </w:tc>
        <w:tc>
          <w:tcPr>
            <w:tcW w:w="300" w:type="dxa"/>
            <w:vAlign w:val="bottom"/>
            <w:tcBorders>
              <w:bottom w:val="single" w:sz="8" w:color="CCEEFF"/>
            </w:tcBorders>
            <w:shd w:val="clear" w:color="auto" w:fill="CCEEFF"/>
          </w:tcPr>
          <w:p>
            <w:pPr>
              <w:spacing w:after="0"/>
              <w:rPr>
                <w:sz w:val="6"/>
                <w:szCs w:val="6"/>
                <w:color w:val="auto"/>
              </w:rPr>
            </w:pPr>
          </w:p>
        </w:tc>
        <w:tc>
          <w:tcPr>
            <w:tcW w:w="1120" w:type="dxa"/>
            <w:vAlign w:val="bottom"/>
            <w:tcBorders>
              <w:bottom w:val="single" w:sz="8" w:color="CCEEFF"/>
            </w:tcBorders>
            <w:vMerge w:val="continue"/>
            <w:shd w:val="clear" w:color="auto" w:fill="CCEEFF"/>
          </w:tcPr>
          <w:p>
            <w:pPr>
              <w:spacing w:after="0"/>
              <w:rPr>
                <w:sz w:val="6"/>
                <w:szCs w:val="6"/>
                <w:color w:val="auto"/>
              </w:rPr>
            </w:pPr>
          </w:p>
        </w:tc>
        <w:tc>
          <w:tcPr>
            <w:tcW w:w="4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20" w:type="dxa"/>
            <w:vAlign w:val="bottom"/>
            <w:tcBorders>
              <w:bottom w:val="single" w:sz="8" w:color="CCEEFF"/>
            </w:tcBorders>
            <w:shd w:val="clear" w:color="auto" w:fill="CCEEFF"/>
          </w:tcPr>
          <w:p>
            <w:pPr>
              <w:spacing w:after="0"/>
              <w:rPr>
                <w:sz w:val="6"/>
                <w:szCs w:val="6"/>
                <w:color w:val="auto"/>
              </w:rPr>
            </w:pPr>
          </w:p>
        </w:tc>
        <w:tc>
          <w:tcPr>
            <w:tcW w:w="300" w:type="dxa"/>
            <w:vAlign w:val="bottom"/>
            <w:tcBorders>
              <w:bottom w:val="single" w:sz="8" w:color="CCEEFF"/>
            </w:tcBorders>
            <w:shd w:val="clear" w:color="auto" w:fill="CCEEFF"/>
          </w:tcPr>
          <w:p>
            <w:pPr>
              <w:spacing w:after="0"/>
              <w:rPr>
                <w:sz w:val="6"/>
                <w:szCs w:val="6"/>
                <w:color w:val="auto"/>
              </w:rPr>
            </w:pPr>
          </w:p>
        </w:tc>
        <w:tc>
          <w:tcPr>
            <w:tcW w:w="114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20" w:type="dxa"/>
            <w:vAlign w:val="bottom"/>
            <w:tcBorders>
              <w:bottom w:val="single" w:sz="8" w:color="CCEEFF"/>
            </w:tcBorders>
            <w:shd w:val="clear" w:color="auto" w:fill="CCEEFF"/>
          </w:tcPr>
          <w:p>
            <w:pPr>
              <w:spacing w:after="0"/>
              <w:rPr>
                <w:sz w:val="6"/>
                <w:szCs w:val="6"/>
                <w:color w:val="auto"/>
              </w:rPr>
            </w:pPr>
          </w:p>
        </w:tc>
        <w:tc>
          <w:tcPr>
            <w:tcW w:w="320" w:type="dxa"/>
            <w:vAlign w:val="bottom"/>
            <w:tcBorders>
              <w:bottom w:val="single" w:sz="8" w:color="CCEEFF"/>
            </w:tcBorders>
            <w:shd w:val="clear" w:color="auto" w:fill="CCEEFF"/>
          </w:tcPr>
          <w:p>
            <w:pPr>
              <w:spacing w:after="0"/>
              <w:rPr>
                <w:sz w:val="6"/>
                <w:szCs w:val="6"/>
                <w:color w:val="auto"/>
              </w:rPr>
            </w:pPr>
          </w:p>
        </w:tc>
        <w:tc>
          <w:tcPr>
            <w:tcW w:w="112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5080" w:type="dxa"/>
            <w:vAlign w:val="bottom"/>
            <w:gridSpan w:val="2"/>
          </w:tcPr>
          <w:p>
            <w:pPr>
              <w:ind w:left="200"/>
              <w:spacing w:after="0" w:line="161" w:lineRule="exact"/>
              <w:rPr>
                <w:sz w:val="20"/>
                <w:szCs w:val="20"/>
                <w:color w:val="auto"/>
              </w:rPr>
            </w:pPr>
            <w:r>
              <w:rPr>
                <w:rFonts w:ascii="Arial" w:cs="Arial" w:eastAsia="Arial" w:hAnsi="Arial"/>
                <w:sz w:val="14"/>
                <w:szCs w:val="14"/>
                <w:color w:val="auto"/>
              </w:rPr>
              <w:t>Total stock</w:t>
            </w:r>
            <w:r>
              <w:rPr>
                <w:rFonts w:ascii="MS PGothic" w:cs="MS PGothic" w:eastAsia="MS PGothic" w:hAnsi="MS PGothic"/>
                <w:sz w:val="14"/>
                <w:szCs w:val="14"/>
                <w:color w:val="auto"/>
              </w:rPr>
              <w:t>‑</w:t>
            </w:r>
            <w:r>
              <w:rPr>
                <w:rFonts w:ascii="Arial" w:cs="Arial" w:eastAsia="Arial" w:hAnsi="Arial"/>
                <w:sz w:val="14"/>
                <w:szCs w:val="14"/>
                <w:color w:val="auto"/>
              </w:rPr>
              <w:t>based compensation expense</w:t>
            </w: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ind w:right="16"/>
              <w:spacing w:after="0"/>
              <w:rPr>
                <w:sz w:val="20"/>
                <w:szCs w:val="20"/>
                <w:color w:val="auto"/>
              </w:rPr>
            </w:pPr>
            <w:r>
              <w:rPr>
                <w:rFonts w:ascii="Arial" w:cs="Arial" w:eastAsia="Arial" w:hAnsi="Arial"/>
                <w:sz w:val="14"/>
                <w:szCs w:val="14"/>
                <w:color w:val="auto"/>
              </w:rPr>
              <w:t>37,525</w:t>
            </w: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17,662</w:t>
            </w:r>
          </w:p>
        </w:tc>
        <w:tc>
          <w:tcPr>
            <w:tcW w:w="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ind w:right="16"/>
              <w:spacing w:after="0"/>
              <w:rPr>
                <w:sz w:val="20"/>
                <w:szCs w:val="20"/>
                <w:color w:val="auto"/>
              </w:rPr>
            </w:pPr>
            <w:r>
              <w:rPr>
                <w:rFonts w:ascii="Arial" w:cs="Arial" w:eastAsia="Arial" w:hAnsi="Arial"/>
                <w:sz w:val="14"/>
                <w:szCs w:val="14"/>
                <w:color w:val="auto"/>
              </w:rPr>
              <w:t>68,092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4"/>
                <w:szCs w:val="14"/>
                <w:color w:val="auto"/>
              </w:rPr>
              <w:t>31,671</w:t>
            </w:r>
          </w:p>
        </w:tc>
        <w:tc>
          <w:tcPr>
            <w:tcW w:w="0" w:type="dxa"/>
            <w:vAlign w:val="bottom"/>
          </w:tcPr>
          <w:p>
            <w:pPr>
              <w:spacing w:after="0"/>
              <w:rPr>
                <w:sz w:val="1"/>
                <w:szCs w:val="1"/>
                <w:color w:val="auto"/>
              </w:rPr>
            </w:pPr>
          </w:p>
        </w:tc>
      </w:tr>
      <w:tr>
        <w:trPr>
          <w:trHeight w:val="39"/>
        </w:trPr>
        <w:tc>
          <w:tcPr>
            <w:tcW w:w="2820" w:type="dxa"/>
            <w:vAlign w:val="bottom"/>
          </w:tcPr>
          <w:p>
            <w:pPr>
              <w:spacing w:after="0"/>
              <w:rPr>
                <w:sz w:val="3"/>
                <w:szCs w:val="3"/>
                <w:color w:val="auto"/>
              </w:rPr>
            </w:pPr>
          </w:p>
        </w:tc>
        <w:tc>
          <w:tcPr>
            <w:tcW w:w="22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8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536"/>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20" w:type="dxa"/>
            <w:vAlign w:val="bottom"/>
            <w:gridSpan w:val="5"/>
          </w:tcPr>
          <w:p>
            <w:pPr>
              <w:ind w:left="400"/>
              <w:spacing w:after="0"/>
              <w:rPr>
                <w:sz w:val="20"/>
                <w:szCs w:val="20"/>
                <w:color w:val="auto"/>
              </w:rPr>
            </w:pPr>
            <w:r>
              <w:rPr>
                <w:rFonts w:ascii="Arial" w:cs="Arial" w:eastAsia="Arial" w:hAnsi="Arial"/>
                <w:sz w:val="13"/>
                <w:szCs w:val="13"/>
                <w:b w:val="1"/>
                <w:bCs w:val="1"/>
                <w:color w:val="auto"/>
              </w:rPr>
              <w:t>Three Months Ended July 31,</w:t>
            </w:r>
          </w:p>
        </w:tc>
        <w:tc>
          <w:tcPr>
            <w:tcW w:w="360" w:type="dxa"/>
            <w:vAlign w:val="bottom"/>
          </w:tcPr>
          <w:p>
            <w:pPr>
              <w:spacing w:after="0"/>
              <w:rPr>
                <w:sz w:val="14"/>
                <w:szCs w:val="14"/>
                <w:color w:val="auto"/>
              </w:rPr>
            </w:pPr>
          </w:p>
        </w:tc>
        <w:tc>
          <w:tcPr>
            <w:tcW w:w="2640" w:type="dxa"/>
            <w:vAlign w:val="bottom"/>
            <w:gridSpan w:val="4"/>
          </w:tcPr>
          <w:p>
            <w:pPr>
              <w:jc w:val="right"/>
              <w:ind w:right="688"/>
              <w:spacing w:after="0"/>
              <w:rPr>
                <w:sz w:val="20"/>
                <w:szCs w:val="20"/>
                <w:color w:val="auto"/>
              </w:rPr>
            </w:pPr>
            <w:r>
              <w:rPr>
                <w:rFonts w:ascii="Arial" w:cs="Arial" w:eastAsia="Arial" w:hAnsi="Arial"/>
                <w:sz w:val="13"/>
                <w:szCs w:val="13"/>
                <w:b w:val="1"/>
                <w:bCs w:val="1"/>
                <w:color w:val="auto"/>
              </w:rPr>
              <w:t>Six Months Ended July 31,</w:t>
            </w:r>
          </w:p>
        </w:tc>
      </w:tr>
      <w:tr>
        <w:trPr>
          <w:trHeight w:val="29"/>
        </w:trPr>
        <w:tc>
          <w:tcPr>
            <w:tcW w:w="5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4"/>
        </w:trPr>
        <w:tc>
          <w:tcPr>
            <w:tcW w:w="5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549"/>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528"/>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ind w:right="509"/>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528"/>
              <w:spacing w:after="0"/>
              <w:rPr>
                <w:sz w:val="20"/>
                <w:szCs w:val="20"/>
                <w:color w:val="auto"/>
              </w:rPr>
            </w:pPr>
            <w:r>
              <w:rPr>
                <w:rFonts w:ascii="Arial" w:cs="Arial" w:eastAsia="Arial" w:hAnsi="Arial"/>
                <w:sz w:val="13"/>
                <w:szCs w:val="13"/>
                <w:b w:val="1"/>
                <w:bCs w:val="1"/>
                <w:color w:val="auto"/>
              </w:rPr>
              <w:t>2019</w:t>
            </w:r>
          </w:p>
        </w:tc>
      </w:tr>
      <w:tr>
        <w:trPr>
          <w:trHeight w:val="29"/>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64"/>
        </w:trPr>
        <w:tc>
          <w:tcPr>
            <w:tcW w:w="5080" w:type="dxa"/>
            <w:vAlign w:val="bottom"/>
          </w:tcPr>
          <w:p>
            <w:pPr>
              <w:ind w:left="20"/>
              <w:spacing w:after="0"/>
              <w:rPr>
                <w:sz w:val="20"/>
                <w:szCs w:val="20"/>
                <w:color w:val="auto"/>
              </w:rPr>
            </w:pPr>
            <w:r>
              <w:rPr>
                <w:rFonts w:ascii="Arial" w:cs="Arial" w:eastAsia="Arial" w:hAnsi="Arial"/>
                <w:sz w:val="14"/>
                <w:szCs w:val="14"/>
                <w:color w:val="auto"/>
              </w:rPr>
              <w:t>Net loss</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(64,525)</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(37,336)</w:t>
            </w:r>
          </w:p>
        </w:tc>
        <w:tc>
          <w:tcPr>
            <w:tcW w:w="10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(118,492)</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(70,576)</w:t>
            </w:r>
          </w:p>
        </w:tc>
      </w:tr>
      <w:tr>
        <w:trPr>
          <w:trHeight w:val="276"/>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4"/>
        </w:trPr>
        <w:tc>
          <w:tcPr>
            <w:tcW w:w="5080" w:type="dxa"/>
            <w:vAlign w:val="bottom"/>
          </w:tcPr>
          <w:p>
            <w:pPr>
              <w:ind w:left="20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22"/>
                <w:szCs w:val="22"/>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2,858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3,731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5,722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6,029</w:t>
            </w:r>
          </w:p>
        </w:tc>
      </w:tr>
      <w:tr>
        <w:trPr>
          <w:trHeight w:val="276"/>
        </w:trPr>
        <w:tc>
          <w:tcPr>
            <w:tcW w:w="50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Stock-based compensation</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37,525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17,662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68,092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31,671</w:t>
            </w:r>
          </w:p>
        </w:tc>
      </w:tr>
      <w:tr>
        <w:trPr>
          <w:trHeight w:val="264"/>
        </w:trPr>
        <w:tc>
          <w:tcPr>
            <w:tcW w:w="5080" w:type="dxa"/>
            <w:vAlign w:val="bottom"/>
          </w:tcPr>
          <w:p>
            <w:pPr>
              <w:ind w:left="200"/>
              <w:spacing w:after="0"/>
              <w:rPr>
                <w:sz w:val="20"/>
                <w:szCs w:val="20"/>
                <w:color w:val="auto"/>
              </w:rPr>
            </w:pPr>
            <w:r>
              <w:rPr>
                <w:rFonts w:ascii="Arial" w:cs="Arial" w:eastAsia="Arial" w:hAnsi="Arial"/>
                <w:sz w:val="14"/>
                <w:szCs w:val="14"/>
                <w:color w:val="auto"/>
              </w:rPr>
              <w:t>Amortization of debt discount and issuance costs</w:t>
            </w:r>
          </w:p>
        </w:tc>
        <w:tc>
          <w:tcPr>
            <w:tcW w:w="340" w:type="dxa"/>
            <w:vAlign w:val="bottom"/>
          </w:tcPr>
          <w:p>
            <w:pPr>
              <w:spacing w:after="0"/>
              <w:rPr>
                <w:sz w:val="22"/>
                <w:szCs w:val="22"/>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12,194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3,277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24,217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6,498</w:t>
            </w:r>
          </w:p>
        </w:tc>
      </w:tr>
      <w:tr>
        <w:trPr>
          <w:trHeight w:val="276"/>
        </w:trPr>
        <w:tc>
          <w:tcPr>
            <w:tcW w:w="50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Amortization of finance right-of-use assets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994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1,988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1,988</w:t>
            </w:r>
          </w:p>
        </w:tc>
      </w:tr>
      <w:tr>
        <w:trPr>
          <w:trHeight w:val="264"/>
        </w:trPr>
        <w:tc>
          <w:tcPr>
            <w:tcW w:w="5080" w:type="dxa"/>
            <w:vAlign w:val="bottom"/>
          </w:tcPr>
          <w:p>
            <w:pPr>
              <w:ind w:left="200"/>
              <w:spacing w:after="0"/>
              <w:rPr>
                <w:sz w:val="20"/>
                <w:szCs w:val="20"/>
                <w:color w:val="auto"/>
              </w:rPr>
            </w:pPr>
            <w:r>
              <w:rPr>
                <w:rFonts w:ascii="Arial" w:cs="Arial" w:eastAsia="Arial" w:hAnsi="Arial"/>
                <w:sz w:val="14"/>
                <w:szCs w:val="14"/>
                <w:color w:val="auto"/>
              </w:rPr>
              <w:t>Amortization of operating right-of-use assets</w:t>
            </w:r>
          </w:p>
        </w:tc>
        <w:tc>
          <w:tcPr>
            <w:tcW w:w="340" w:type="dxa"/>
            <w:vAlign w:val="bottom"/>
          </w:tcPr>
          <w:p>
            <w:pPr>
              <w:spacing w:after="0"/>
              <w:rPr>
                <w:sz w:val="22"/>
                <w:szCs w:val="22"/>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1,482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899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2,854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1,119</w:t>
            </w:r>
          </w:p>
        </w:tc>
      </w:tr>
      <w:tr>
        <w:trPr>
          <w:trHeight w:val="276"/>
        </w:trPr>
        <w:tc>
          <w:tcPr>
            <w:tcW w:w="50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Non-cash interest on finance lease liabilities</w:t>
            </w:r>
          </w:p>
        </w:tc>
        <w:tc>
          <w:tcPr>
            <w:tcW w:w="34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1,823</w:t>
            </w:r>
          </w:p>
        </w:tc>
      </w:tr>
      <w:tr>
        <w:trPr>
          <w:trHeight w:val="264"/>
        </w:trPr>
        <w:tc>
          <w:tcPr>
            <w:tcW w:w="5080" w:type="dxa"/>
            <w:vAlign w:val="bottom"/>
          </w:tcPr>
          <w:p>
            <w:pPr>
              <w:ind w:left="200"/>
              <w:spacing w:after="0"/>
              <w:rPr>
                <w:sz w:val="20"/>
                <w:szCs w:val="20"/>
                <w:color w:val="auto"/>
              </w:rPr>
            </w:pPr>
            <w:r>
              <w:rPr>
                <w:rFonts w:ascii="Arial" w:cs="Arial" w:eastAsia="Arial" w:hAnsi="Arial"/>
                <w:sz w:val="14"/>
                <w:szCs w:val="14"/>
                <w:color w:val="auto"/>
              </w:rPr>
              <w:t>Deferred income taxes</w:t>
            </w:r>
          </w:p>
        </w:tc>
        <w:tc>
          <w:tcPr>
            <w:tcW w:w="340" w:type="dxa"/>
            <w:vAlign w:val="bottom"/>
          </w:tcPr>
          <w:p>
            <w:pPr>
              <w:spacing w:after="0"/>
              <w:rPr>
                <w:sz w:val="22"/>
                <w:szCs w:val="22"/>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(3,675)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(4,232)</w:t>
            </w:r>
          </w:p>
        </w:tc>
      </w:tr>
      <w:tr>
        <w:trPr>
          <w:trHeight w:val="276"/>
        </w:trPr>
        <w:tc>
          <w:tcPr>
            <w:tcW w:w="50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Accretion of discount on short-term investments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(2,751)</w:t>
            </w:r>
          </w:p>
        </w:tc>
      </w:tr>
      <w:tr>
        <w:trPr>
          <w:trHeight w:val="264"/>
        </w:trPr>
        <w:tc>
          <w:tcPr>
            <w:tcW w:w="5080" w:type="dxa"/>
            <w:vAlign w:val="bottom"/>
          </w:tcPr>
          <w:p>
            <w:pPr>
              <w:ind w:left="20"/>
              <w:spacing w:after="0"/>
              <w:rPr>
                <w:sz w:val="20"/>
                <w:szCs w:val="20"/>
                <w:color w:val="auto"/>
              </w:rPr>
            </w:pPr>
            <w:r>
              <w:rPr>
                <w:rFonts w:ascii="Arial" w:cs="Arial" w:eastAsia="Arial" w:hAnsi="Arial"/>
                <w:sz w:val="14"/>
                <w:szCs w:val="14"/>
                <w:color w:val="auto"/>
              </w:rPr>
              <w:t>Change in operating assets and liabilities: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50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Accounts receivable</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(6,045)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6,220</w:t>
            </w:r>
          </w:p>
        </w:tc>
      </w:tr>
      <w:tr>
        <w:trPr>
          <w:trHeight w:val="264"/>
        </w:trPr>
        <w:tc>
          <w:tcPr>
            <w:tcW w:w="5080" w:type="dxa"/>
            <w:vAlign w:val="bottom"/>
          </w:tcPr>
          <w:p>
            <w:pPr>
              <w:ind w:left="200"/>
              <w:spacing w:after="0"/>
              <w:rPr>
                <w:sz w:val="20"/>
                <w:szCs w:val="20"/>
                <w:color w:val="auto"/>
              </w:rPr>
            </w:pPr>
            <w:r>
              <w:rPr>
                <w:rFonts w:ascii="Arial" w:cs="Arial" w:eastAsia="Arial" w:hAnsi="Arial"/>
                <w:sz w:val="14"/>
                <w:szCs w:val="14"/>
                <w:color w:val="auto"/>
              </w:rPr>
              <w:t>Prepaid expenses and other current assets</w:t>
            </w:r>
          </w:p>
        </w:tc>
        <w:tc>
          <w:tcPr>
            <w:tcW w:w="340" w:type="dxa"/>
            <w:vAlign w:val="bottom"/>
          </w:tcPr>
          <w:p>
            <w:pPr>
              <w:spacing w:after="0"/>
              <w:rPr>
                <w:sz w:val="22"/>
                <w:szCs w:val="22"/>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1,612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1,846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(125)</w:t>
            </w:r>
          </w:p>
        </w:tc>
      </w:tr>
      <w:tr>
        <w:trPr>
          <w:trHeight w:val="276"/>
        </w:trPr>
        <w:tc>
          <w:tcPr>
            <w:tcW w:w="50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Deferred commissions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(5,930)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(7,046)</w:t>
            </w:r>
          </w:p>
        </w:tc>
      </w:tr>
      <w:tr>
        <w:trPr>
          <w:trHeight w:val="264"/>
        </w:trPr>
        <w:tc>
          <w:tcPr>
            <w:tcW w:w="5080" w:type="dxa"/>
            <w:vAlign w:val="bottom"/>
          </w:tcPr>
          <w:p>
            <w:pPr>
              <w:ind w:left="200"/>
              <w:spacing w:after="0"/>
              <w:rPr>
                <w:sz w:val="20"/>
                <w:szCs w:val="20"/>
                <w:color w:val="auto"/>
              </w:rPr>
            </w:pPr>
            <w:r>
              <w:rPr>
                <w:rFonts w:ascii="Arial" w:cs="Arial" w:eastAsia="Arial" w:hAnsi="Arial"/>
                <w:sz w:val="14"/>
                <w:szCs w:val="14"/>
                <w:color w:val="auto"/>
              </w:rPr>
              <w:t>Other long-term assets</w:t>
            </w:r>
          </w:p>
        </w:tc>
        <w:tc>
          <w:tcPr>
            <w:tcW w:w="340" w:type="dxa"/>
            <w:vAlign w:val="bottom"/>
          </w:tcPr>
          <w:p>
            <w:pPr>
              <w:spacing w:after="0"/>
              <w:rPr>
                <w:sz w:val="22"/>
                <w:szCs w:val="22"/>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27</w:t>
            </w:r>
          </w:p>
        </w:tc>
      </w:tr>
      <w:tr>
        <w:trPr>
          <w:trHeight w:val="276"/>
        </w:trPr>
        <w:tc>
          <w:tcPr>
            <w:tcW w:w="50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Accounts payable</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(1,629)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440</w:t>
            </w:r>
          </w:p>
        </w:tc>
      </w:tr>
      <w:tr>
        <w:trPr>
          <w:trHeight w:val="264"/>
        </w:trPr>
        <w:tc>
          <w:tcPr>
            <w:tcW w:w="5080" w:type="dxa"/>
            <w:vAlign w:val="bottom"/>
          </w:tcPr>
          <w:p>
            <w:pPr>
              <w:ind w:left="200"/>
              <w:spacing w:after="0"/>
              <w:rPr>
                <w:sz w:val="20"/>
                <w:szCs w:val="20"/>
                <w:color w:val="auto"/>
              </w:rPr>
            </w:pPr>
            <w:r>
              <w:rPr>
                <w:rFonts w:ascii="Arial" w:cs="Arial" w:eastAsia="Arial" w:hAnsi="Arial"/>
                <w:sz w:val="14"/>
                <w:szCs w:val="14"/>
                <w:color w:val="auto"/>
              </w:rPr>
              <w:t>Accrued liabilities</w:t>
            </w:r>
          </w:p>
        </w:tc>
        <w:tc>
          <w:tcPr>
            <w:tcW w:w="340" w:type="dxa"/>
            <w:vAlign w:val="bottom"/>
          </w:tcPr>
          <w:p>
            <w:pPr>
              <w:spacing w:after="0"/>
              <w:rPr>
                <w:sz w:val="22"/>
                <w:szCs w:val="22"/>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6,172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4,961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3,393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8,285</w:t>
            </w:r>
          </w:p>
        </w:tc>
      </w:tr>
      <w:tr>
        <w:trPr>
          <w:trHeight w:val="276"/>
        </w:trPr>
        <w:tc>
          <w:tcPr>
            <w:tcW w:w="50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Operating lease liabilities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1,088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(1,082)</w:t>
            </w:r>
          </w:p>
        </w:tc>
      </w:tr>
      <w:tr>
        <w:trPr>
          <w:trHeight w:val="264"/>
        </w:trPr>
        <w:tc>
          <w:tcPr>
            <w:tcW w:w="5080" w:type="dxa"/>
            <w:vAlign w:val="bottom"/>
          </w:tcPr>
          <w:p>
            <w:pPr>
              <w:ind w:left="200"/>
              <w:spacing w:after="0"/>
              <w:rPr>
                <w:sz w:val="20"/>
                <w:szCs w:val="20"/>
                <w:color w:val="auto"/>
              </w:rPr>
            </w:pPr>
            <w:r>
              <w:rPr>
                <w:rFonts w:ascii="Arial" w:cs="Arial" w:eastAsia="Arial" w:hAnsi="Arial"/>
                <w:sz w:val="14"/>
                <w:szCs w:val="14"/>
                <w:color w:val="auto"/>
              </w:rPr>
              <w:t>Deferred revenue</w:t>
            </w:r>
          </w:p>
        </w:tc>
        <w:tc>
          <w:tcPr>
            <w:tcW w:w="340" w:type="dxa"/>
            <w:vAlign w:val="bottom"/>
          </w:tcPr>
          <w:p>
            <w:pPr>
              <w:spacing w:after="0"/>
              <w:rPr>
                <w:sz w:val="22"/>
                <w:szCs w:val="22"/>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1,607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6,066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4,956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12,333</w:t>
            </w:r>
          </w:p>
        </w:tc>
      </w:tr>
      <w:tr>
        <w:trPr>
          <w:trHeight w:val="270"/>
        </w:trPr>
        <w:tc>
          <w:tcPr>
            <w:tcW w:w="50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liabilities, non-current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2,439</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2,890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508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cash used in operating activities</w:t>
            </w: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(10,030)</w:t>
            </w:r>
          </w:p>
        </w:tc>
        <w:tc>
          <w:tcPr>
            <w:tcW w:w="1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(12,593)</w:t>
            </w:r>
          </w:p>
        </w:tc>
        <w:tc>
          <w:tcPr>
            <w:tcW w:w="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(15,908)</w:t>
            </w:r>
          </w:p>
        </w:tc>
        <w:tc>
          <w:tcPr>
            <w:tcW w:w="1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(9,379)</w:t>
            </w:r>
          </w:p>
        </w:tc>
      </w:tr>
      <w:tr>
        <w:trPr>
          <w:trHeight w:val="270"/>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4"/>
        </w:trPr>
        <w:tc>
          <w:tcPr>
            <w:tcW w:w="5080" w:type="dxa"/>
            <w:vAlign w:val="bottom"/>
          </w:tcPr>
          <w:p>
            <w:pPr>
              <w:ind w:left="200"/>
              <w:spacing w:after="0"/>
              <w:rPr>
                <w:sz w:val="20"/>
                <w:szCs w:val="20"/>
                <w:color w:val="auto"/>
              </w:rPr>
            </w:pPr>
            <w:r>
              <w:rPr>
                <w:rFonts w:ascii="Arial" w:cs="Arial" w:eastAsia="Arial" w:hAnsi="Arial"/>
                <w:sz w:val="14"/>
                <w:szCs w:val="14"/>
                <w:color w:val="auto"/>
              </w:rPr>
              <w:t>Purchases of property and equipment</w:t>
            </w:r>
          </w:p>
        </w:tc>
        <w:tc>
          <w:tcPr>
            <w:tcW w:w="340" w:type="dxa"/>
            <w:vAlign w:val="bottom"/>
          </w:tcPr>
          <w:p>
            <w:pPr>
              <w:spacing w:after="0"/>
              <w:rPr>
                <w:sz w:val="22"/>
                <w:szCs w:val="22"/>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(3,791)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(1,207)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(5,296)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(1,596)</w:t>
            </w:r>
          </w:p>
        </w:tc>
      </w:tr>
      <w:tr>
        <w:trPr>
          <w:trHeight w:val="276"/>
        </w:trPr>
        <w:tc>
          <w:tcPr>
            <w:tcW w:w="50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Acquisition, net of cash acquired</w:t>
            </w:r>
          </w:p>
        </w:tc>
        <w:tc>
          <w:tcPr>
            <w:tcW w:w="34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(38,629)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(38,629)</w:t>
            </w:r>
          </w:p>
        </w:tc>
      </w:tr>
      <w:tr>
        <w:trPr>
          <w:trHeight w:val="264"/>
        </w:trPr>
        <w:tc>
          <w:tcPr>
            <w:tcW w:w="5080" w:type="dxa"/>
            <w:vAlign w:val="bottom"/>
          </w:tcPr>
          <w:p>
            <w:pPr>
              <w:ind w:left="200"/>
              <w:spacing w:after="0"/>
              <w:rPr>
                <w:sz w:val="20"/>
                <w:szCs w:val="20"/>
                <w:color w:val="auto"/>
              </w:rPr>
            </w:pPr>
            <w:r>
              <w:rPr>
                <w:rFonts w:ascii="Arial" w:cs="Arial" w:eastAsia="Arial" w:hAnsi="Arial"/>
                <w:sz w:val="14"/>
                <w:szCs w:val="14"/>
                <w:color w:val="auto"/>
              </w:rPr>
              <w:t>Proceeds from maturities of marketable securities</w:t>
            </w:r>
          </w:p>
        </w:tc>
        <w:tc>
          <w:tcPr>
            <w:tcW w:w="340" w:type="dxa"/>
            <w:vAlign w:val="bottom"/>
          </w:tcPr>
          <w:p>
            <w:pPr>
              <w:spacing w:after="0"/>
              <w:rPr>
                <w:sz w:val="22"/>
                <w:szCs w:val="22"/>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120,000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140,000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285,000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280,000</w:t>
            </w:r>
          </w:p>
        </w:tc>
      </w:tr>
      <w:tr>
        <w:trPr>
          <w:trHeight w:val="270"/>
        </w:trPr>
        <w:tc>
          <w:tcPr>
            <w:tcW w:w="50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Purchases of marketable securities</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(349,723)</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(70,001)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(510,006)</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(209,025)</w:t>
            </w:r>
          </w:p>
        </w:tc>
      </w:tr>
      <w:tr>
        <w:trPr>
          <w:trHeight w:val="250"/>
        </w:trPr>
        <w:tc>
          <w:tcPr>
            <w:tcW w:w="508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cash provided by (used in) investing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(233,514)</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30,163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(230,302)</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30,750</w:t>
            </w:r>
          </w:p>
        </w:tc>
      </w:tr>
      <w:tr>
        <w:trPr>
          <w:trHeight w:val="270"/>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4"/>
        </w:trPr>
        <w:tc>
          <w:tcPr>
            <w:tcW w:w="5080" w:type="dxa"/>
            <w:vAlign w:val="bottom"/>
          </w:tcPr>
          <w:p>
            <w:pPr>
              <w:ind w:left="200"/>
              <w:spacing w:after="0"/>
              <w:rPr>
                <w:sz w:val="20"/>
                <w:szCs w:val="20"/>
                <w:color w:val="auto"/>
              </w:rPr>
            </w:pPr>
            <w:r>
              <w:rPr>
                <w:rFonts w:ascii="Arial" w:cs="Arial" w:eastAsia="Arial" w:hAnsi="Arial"/>
                <w:sz w:val="14"/>
                <w:szCs w:val="14"/>
                <w:color w:val="auto"/>
              </w:rPr>
              <w:t>Payments of issuance costs for convertible senior notes</w:t>
            </w:r>
          </w:p>
        </w:tc>
        <w:tc>
          <w:tcPr>
            <w:tcW w:w="34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(4,154)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508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8"/>
              </w:rPr>
              <w:t>Proceeds from exercise of stock options, including early exercised stock options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4,051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4,913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7,051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11,350</w:t>
            </w:r>
          </w:p>
        </w:tc>
      </w:tr>
      <w:tr>
        <w:trPr>
          <w:trHeight w:val="157"/>
        </w:trPr>
        <w:tc>
          <w:tcPr>
            <w:tcW w:w="5080" w:type="dxa"/>
            <w:vAlign w:val="bottom"/>
          </w:tcPr>
          <w:p>
            <w:pPr>
              <w:ind w:left="200"/>
              <w:spacing w:after="0" w:line="157" w:lineRule="exact"/>
              <w:rPr>
                <w:sz w:val="20"/>
                <w:szCs w:val="20"/>
                <w:color w:val="auto"/>
              </w:rPr>
            </w:pPr>
            <w:r>
              <w:rPr>
                <w:rFonts w:ascii="Arial" w:cs="Arial" w:eastAsia="Arial" w:hAnsi="Arial"/>
                <w:sz w:val="14"/>
                <w:szCs w:val="14"/>
                <w:color w:val="auto"/>
                <w:w w:val="94"/>
              </w:rPr>
              <w:t>Proceeds from the issuance of common stock under the Employee Stock Purchase</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8"/>
        </w:trPr>
        <w:tc>
          <w:tcPr>
            <w:tcW w:w="5080" w:type="dxa"/>
            <w:vAlign w:val="bottom"/>
          </w:tcPr>
          <w:p>
            <w:pPr>
              <w:ind w:left="380"/>
              <w:spacing w:after="0"/>
              <w:rPr>
                <w:sz w:val="20"/>
                <w:szCs w:val="20"/>
                <w:color w:val="auto"/>
              </w:rPr>
            </w:pPr>
            <w:r>
              <w:rPr>
                <w:rFonts w:ascii="Arial" w:cs="Arial" w:eastAsia="Arial" w:hAnsi="Arial"/>
                <w:sz w:val="14"/>
                <w:szCs w:val="14"/>
                <w:color w:val="auto"/>
              </w:rPr>
              <w:t>Plan</w:t>
            </w:r>
          </w:p>
        </w:tc>
        <w:tc>
          <w:tcPr>
            <w:tcW w:w="340" w:type="dxa"/>
            <w:vAlign w:val="bottom"/>
          </w:tcPr>
          <w:p>
            <w:pPr>
              <w:spacing w:after="0"/>
              <w:rPr>
                <w:sz w:val="16"/>
                <w:szCs w:val="16"/>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8,963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6,394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8,963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6,394</w:t>
            </w:r>
          </w:p>
        </w:tc>
      </w:tr>
      <w:tr>
        <w:trPr>
          <w:trHeight w:val="276"/>
        </w:trPr>
        <w:tc>
          <w:tcPr>
            <w:tcW w:w="50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Repurchase of early exercised stock options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r>
      <w:tr>
        <w:trPr>
          <w:trHeight w:val="245"/>
        </w:trPr>
        <w:tc>
          <w:tcPr>
            <w:tcW w:w="5080" w:type="dxa"/>
            <w:vAlign w:val="bottom"/>
          </w:tcPr>
          <w:p>
            <w:pPr>
              <w:ind w:left="200"/>
              <w:spacing w:after="0"/>
              <w:rPr>
                <w:sz w:val="20"/>
                <w:szCs w:val="20"/>
                <w:color w:val="auto"/>
              </w:rPr>
            </w:pPr>
            <w:r>
              <w:rPr>
                <w:rFonts w:ascii="Arial" w:cs="Arial" w:eastAsia="Arial" w:hAnsi="Arial"/>
                <w:sz w:val="14"/>
                <w:szCs w:val="14"/>
                <w:color w:val="auto"/>
              </w:rPr>
              <w:t>Principal repayments of finance leases</w:t>
            </w:r>
          </w:p>
        </w:tc>
        <w:tc>
          <w:tcPr>
            <w:tcW w:w="340" w:type="dxa"/>
            <w:vAlign w:val="bottom"/>
          </w:tcPr>
          <w:p>
            <w:pPr>
              <w:spacing w:after="0"/>
              <w:rPr>
                <w:sz w:val="21"/>
                <w:szCs w:val="21"/>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(1,149)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(2,284)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0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provided by financing activities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11,855</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11,306</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9,565</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17,713</w:t>
            </w:r>
          </w:p>
        </w:tc>
      </w:tr>
      <w:tr>
        <w:trPr>
          <w:trHeight w:val="230"/>
        </w:trPr>
        <w:tc>
          <w:tcPr>
            <w:tcW w:w="5080" w:type="dxa"/>
            <w:vAlign w:val="bottom"/>
          </w:tcPr>
          <w:p>
            <w:pPr>
              <w:ind w:left="2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340" w:type="dxa"/>
            <w:vAlign w:val="bottom"/>
          </w:tcPr>
          <w:p>
            <w:pPr>
              <w:spacing w:after="0"/>
              <w:rPr>
                <w:sz w:val="20"/>
                <w:szCs w:val="20"/>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546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(233)</w:t>
            </w:r>
          </w:p>
        </w:tc>
      </w:tr>
      <w:tr>
        <w:trPr>
          <w:trHeight w:val="25"/>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(231,143)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28,624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(236,692)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38,851</w:t>
            </w:r>
          </w:p>
        </w:tc>
      </w:tr>
      <w:tr>
        <w:trPr>
          <w:trHeight w:val="245"/>
        </w:trPr>
        <w:tc>
          <w:tcPr>
            <w:tcW w:w="508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340" w:type="dxa"/>
            <w:vAlign w:val="bottom"/>
          </w:tcPr>
          <w:p>
            <w:pPr>
              <w:spacing w:after="0"/>
              <w:rPr>
                <w:sz w:val="21"/>
                <w:szCs w:val="21"/>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701,157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158,574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706,706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148,347</w:t>
            </w:r>
          </w:p>
        </w:tc>
      </w:tr>
      <w:tr>
        <w:trPr>
          <w:trHeight w:val="25"/>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1"/>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470,014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187,198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470,014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187,198</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337" w:right="339" w:bottom="1440" w:gutter="0" w:footer="0" w:header="0"/>
        </w:sectPr>
      </w:pPr>
    </w:p>
    <w:bookmarkStart w:id="10" w:name="page11"/>
    <w:bookmarkEnd w:id="10"/>
    <w:p>
      <w:pPr>
        <w:jc w:val="center"/>
        <w:ind w:left="480"/>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RECONCILIATION OF GAAP MEASURES TO NON-GAAP MEASURES</w:t>
      </w:r>
    </w:p>
    <w:p>
      <w:pPr>
        <w:spacing w:after="0" w:line="9" w:lineRule="exact"/>
        <w:rPr>
          <w:sz w:val="20"/>
          <w:szCs w:val="20"/>
          <w:color w:val="auto"/>
        </w:rPr>
      </w:pPr>
    </w:p>
    <w:p>
      <w:pPr>
        <w:jc w:val="center"/>
        <w:ind w:left="480"/>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9" w:lineRule="exact"/>
        <w:rPr>
          <w:sz w:val="20"/>
          <w:szCs w:val="20"/>
          <w:color w:val="auto"/>
        </w:rPr>
      </w:pPr>
    </w:p>
    <w:p>
      <w:pPr>
        <w:jc w:val="center"/>
        <w:ind w:left="480"/>
        <w:spacing w:after="0"/>
        <w:rPr>
          <w:sz w:val="20"/>
          <w:szCs w:val="20"/>
          <w:color w:val="auto"/>
        </w:rPr>
      </w:pPr>
      <w:r>
        <w:rPr>
          <w:rFonts w:ascii="Arial" w:cs="Arial" w:eastAsia="Arial" w:hAnsi="Arial"/>
          <w:sz w:val="18"/>
          <w:szCs w:val="18"/>
          <w:i w:val="1"/>
          <w:i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July 31,</w:t>
            </w:r>
          </w:p>
        </w:tc>
        <w:tc>
          <w:tcPr>
            <w:tcW w:w="340" w:type="dxa"/>
            <w:vAlign w:val="bottom"/>
          </w:tcPr>
          <w:p>
            <w:pPr>
              <w:spacing w:after="0"/>
              <w:rPr>
                <w:sz w:val="16"/>
                <w:szCs w:val="16"/>
                <w:color w:val="auto"/>
              </w:rPr>
            </w:pPr>
          </w:p>
        </w:tc>
        <w:tc>
          <w:tcPr>
            <w:tcW w:w="2540" w:type="dxa"/>
            <w:vAlign w:val="bottom"/>
            <w:gridSpan w:val="4"/>
          </w:tcPr>
          <w:p>
            <w:pPr>
              <w:jc w:val="right"/>
              <w:ind w:right="519"/>
              <w:spacing w:after="0"/>
              <w:rPr>
                <w:sz w:val="20"/>
                <w:szCs w:val="20"/>
                <w:color w:val="auto"/>
              </w:rPr>
            </w:pPr>
            <w:r>
              <w:rPr>
                <w:rFonts w:ascii="Arial" w:cs="Arial" w:eastAsia="Arial" w:hAnsi="Arial"/>
                <w:sz w:val="14"/>
                <w:szCs w:val="14"/>
                <w:b w:val="1"/>
                <w:bCs w:val="1"/>
                <w:color w:val="auto"/>
              </w:rPr>
              <w:t>Six Months Ended July 31,</w:t>
            </w:r>
          </w:p>
        </w:tc>
      </w:tr>
      <w:tr>
        <w:trPr>
          <w:trHeight w:val="26"/>
        </w:trPr>
        <w:tc>
          <w:tcPr>
            <w:tcW w:w="5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8"/>
        </w:trPr>
        <w:tc>
          <w:tcPr>
            <w:tcW w:w="5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8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46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79"/>
              <w:spacing w:after="0"/>
              <w:rPr>
                <w:sz w:val="20"/>
                <w:szCs w:val="20"/>
                <w:color w:val="auto"/>
              </w:rPr>
            </w:pPr>
            <w:r>
              <w:rPr>
                <w:rFonts w:ascii="Arial" w:cs="Arial" w:eastAsia="Arial" w:hAnsi="Arial"/>
                <w:sz w:val="14"/>
                <w:szCs w:val="14"/>
                <w:b w:val="1"/>
                <w:bCs w:val="1"/>
                <w:color w:val="auto"/>
              </w:rPr>
              <w:t>2019</w:t>
            </w:r>
          </w:p>
        </w:tc>
      </w:tr>
      <w:tr>
        <w:trPr>
          <w:trHeight w:val="26"/>
        </w:trPr>
        <w:tc>
          <w:tcPr>
            <w:tcW w:w="5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Reconciliation of GAAP gross profit to non-GAAP 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5400" w:type="dxa"/>
            <w:vAlign w:val="bottom"/>
          </w:tcPr>
          <w:p>
            <w:pPr>
              <w:ind w:left="180"/>
              <w:spacing w:after="0"/>
              <w:rPr>
                <w:sz w:val="20"/>
                <w:szCs w:val="20"/>
                <w:color w:val="auto"/>
              </w:rPr>
            </w:pPr>
            <w:r>
              <w:rPr>
                <w:rFonts w:ascii="Arial" w:cs="Arial" w:eastAsia="Arial" w:hAnsi="Arial"/>
                <w:sz w:val="16"/>
                <w:szCs w:val="16"/>
                <w:color w:val="auto"/>
              </w:rPr>
              <w:t>Gross profit on a GAAP basis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95,977</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69,166</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188,629</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130,382</w:t>
            </w:r>
          </w:p>
        </w:tc>
      </w:tr>
      <w:tr>
        <w:trPr>
          <w:trHeight w:val="33"/>
        </w:trPr>
        <w:tc>
          <w:tcPr>
            <w:tcW w:w="5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i w:val="1"/>
                <w:iCs w:val="1"/>
                <w:color w:val="auto"/>
              </w:rPr>
              <w:t>Gross margin (Gross profit/Total revenue) on a GAAP basis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69%</w:t>
            </w:r>
          </w:p>
        </w:tc>
      </w:tr>
      <w:tr>
        <w:trPr>
          <w:trHeight w:val="237"/>
        </w:trPr>
        <w:tc>
          <w:tcPr>
            <w:tcW w:w="5400" w:type="dxa"/>
            <w:vAlign w:val="bottom"/>
          </w:tcPr>
          <w:p>
            <w:pPr>
              <w:ind w:left="180"/>
              <w:spacing w:after="0"/>
              <w:rPr>
                <w:sz w:val="20"/>
                <w:szCs w:val="20"/>
                <w:color w:val="auto"/>
              </w:rPr>
            </w:pPr>
            <w:r>
              <w:rPr>
                <w:rFonts w:ascii="Arial" w:cs="Arial" w:eastAsia="Arial" w:hAnsi="Arial"/>
                <w:sz w:val="16"/>
                <w:szCs w:val="16"/>
                <w:color w:val="auto"/>
              </w:rPr>
              <w:t>Add back:</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5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Stock-based compensation expense: Cost of Revenue—Subscription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2,235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4,062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2,202</w:t>
            </w:r>
          </w:p>
        </w:tc>
      </w:tr>
      <w:tr>
        <w:trPr>
          <w:trHeight w:val="237"/>
        </w:trPr>
        <w:tc>
          <w:tcPr>
            <w:tcW w:w="5400" w:type="dxa"/>
            <w:vAlign w:val="bottom"/>
          </w:tcPr>
          <w:p>
            <w:pPr>
              <w:ind w:left="280"/>
              <w:spacing w:after="0"/>
              <w:rPr>
                <w:sz w:val="20"/>
                <w:szCs w:val="20"/>
                <w:color w:val="auto"/>
              </w:rPr>
            </w:pPr>
            <w:r>
              <w:rPr>
                <w:rFonts w:ascii="Arial" w:cs="Arial" w:eastAsia="Arial" w:hAnsi="Arial"/>
                <w:sz w:val="16"/>
                <w:szCs w:val="16"/>
                <w:color w:val="auto"/>
              </w:rPr>
              <w:t>Stock-based compensation expense: Cost of Revenue—Services</w:t>
            </w:r>
          </w:p>
        </w:tc>
        <w:tc>
          <w:tcPr>
            <w:tcW w:w="320" w:type="dxa"/>
            <w:vAlign w:val="bottom"/>
          </w:tcPr>
          <w:p>
            <w:pPr>
              <w:spacing w:after="0"/>
              <w:rPr>
                <w:sz w:val="20"/>
                <w:szCs w:val="20"/>
                <w:color w:val="auto"/>
              </w:rPr>
            </w:pP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1,483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721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2,629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1,314</w:t>
            </w:r>
          </w:p>
        </w:tc>
      </w:tr>
      <w:tr>
        <w:trPr>
          <w:trHeight w:val="33"/>
        </w:trPr>
        <w:tc>
          <w:tcPr>
            <w:tcW w:w="5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Non-GAAP gross profit</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99,695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71,101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195,320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133,898</w:t>
            </w:r>
          </w:p>
        </w:tc>
      </w:tr>
      <w:tr>
        <w:trPr>
          <w:trHeight w:val="20"/>
        </w:trPr>
        <w:tc>
          <w:tcPr>
            <w:tcW w:w="5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1"/>
        </w:trPr>
        <w:tc>
          <w:tcPr>
            <w:tcW w:w="5400" w:type="dxa"/>
            <w:vAlign w:val="bottom"/>
          </w:tcPr>
          <w:p>
            <w:pPr>
              <w:ind w:left="280"/>
              <w:spacing w:after="0"/>
              <w:rPr>
                <w:sz w:val="20"/>
                <w:szCs w:val="20"/>
                <w:color w:val="auto"/>
              </w:rPr>
            </w:pPr>
            <w:r>
              <w:rPr>
                <w:rFonts w:ascii="Arial" w:cs="Arial" w:eastAsia="Arial" w:hAnsi="Arial"/>
                <w:sz w:val="16"/>
                <w:szCs w:val="16"/>
                <w:i w:val="1"/>
                <w:iCs w:val="1"/>
                <w:color w:val="auto"/>
              </w:rPr>
              <w:t>Non-GAAP gross margin (Non-GAAP gross profit/Total revenue)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i w:val="1"/>
                <w:iCs w:val="1"/>
                <w:color w:val="auto"/>
              </w:rPr>
              <w:t>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i w:val="1"/>
                <w:iCs w:val="1"/>
                <w:color w:val="auto"/>
              </w:rPr>
              <w:t>71%</w:t>
            </w:r>
          </w:p>
        </w:tc>
      </w:tr>
      <w:tr>
        <w:trPr>
          <w:trHeight w:val="33"/>
        </w:trPr>
        <w:tc>
          <w:tcPr>
            <w:tcW w:w="5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83"/>
        </w:trPr>
        <w:tc>
          <w:tcPr>
            <w:tcW w:w="54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16"/>
        </w:trPr>
        <w:tc>
          <w:tcPr>
            <w:tcW w:w="5400" w:type="dxa"/>
            <w:vAlign w:val="bottom"/>
          </w:tcPr>
          <w:p>
            <w:pPr>
              <w:ind w:left="40"/>
              <w:spacing w:after="0"/>
              <w:rPr>
                <w:sz w:val="20"/>
                <w:szCs w:val="20"/>
                <w:color w:val="auto"/>
              </w:rPr>
            </w:pPr>
            <w:r>
              <w:rPr>
                <w:rFonts w:ascii="Arial" w:cs="Arial" w:eastAsia="Arial" w:hAnsi="Arial"/>
                <w:sz w:val="16"/>
                <w:szCs w:val="16"/>
                <w:b w:val="1"/>
                <w:bCs w:val="1"/>
                <w:color w:val="auto"/>
              </w:rPr>
              <w:t>Reconciliation of GAAP operating expenses to non-GAAP operating</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0"/>
        </w:trPr>
        <w:tc>
          <w:tcPr>
            <w:tcW w:w="540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5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Sales and marketing operating expense on a GAAP basis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75,078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53,524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144,203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99,644</w:t>
            </w:r>
          </w:p>
        </w:tc>
      </w:tr>
      <w:tr>
        <w:trPr>
          <w:trHeight w:val="237"/>
        </w:trPr>
        <w:tc>
          <w:tcPr>
            <w:tcW w:w="5400" w:type="dxa"/>
            <w:vAlign w:val="bottom"/>
          </w:tcPr>
          <w:p>
            <w:pPr>
              <w:ind w:left="180"/>
              <w:spacing w:after="0"/>
              <w:rPr>
                <w:sz w:val="20"/>
                <w:szCs w:val="20"/>
                <w:color w:val="auto"/>
              </w:rPr>
            </w:pPr>
            <w:r>
              <w:rPr>
                <w:rFonts w:ascii="Arial" w:cs="Arial" w:eastAsia="Arial" w:hAnsi="Arial"/>
                <w:sz w:val="16"/>
                <w:szCs w:val="16"/>
                <w:color w:val="auto"/>
              </w:rPr>
              <w:t>Less: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5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13,235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5,944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24,058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10,884</w:t>
            </w:r>
          </w:p>
        </w:tc>
      </w:tr>
      <w:tr>
        <w:trPr>
          <w:trHeight w:val="237"/>
        </w:trPr>
        <w:tc>
          <w:tcPr>
            <w:tcW w:w="5400" w:type="dxa"/>
            <w:vAlign w:val="bottom"/>
          </w:tcPr>
          <w:p>
            <w:pPr>
              <w:ind w:left="280"/>
              <w:spacing w:after="0"/>
              <w:rPr>
                <w:sz w:val="20"/>
                <w:szCs w:val="20"/>
                <w:color w:val="auto"/>
              </w:rPr>
            </w:pPr>
            <w:r>
              <w:rPr>
                <w:rFonts w:ascii="Arial" w:cs="Arial" w:eastAsia="Arial" w:hAnsi="Arial"/>
                <w:sz w:val="16"/>
                <w:szCs w:val="16"/>
                <w:color w:val="auto"/>
              </w:rPr>
              <w:t>Amortization of intangible assets associated with acquisitions</w:t>
            </w:r>
          </w:p>
        </w:tc>
        <w:tc>
          <w:tcPr>
            <w:tcW w:w="320" w:type="dxa"/>
            <w:vAlign w:val="bottom"/>
          </w:tcPr>
          <w:p>
            <w:pPr>
              <w:spacing w:after="0"/>
              <w:rPr>
                <w:sz w:val="20"/>
                <w:szCs w:val="20"/>
                <w:color w:val="auto"/>
              </w:rPr>
            </w:pP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760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766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1,524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1,446</w:t>
            </w:r>
          </w:p>
        </w:tc>
      </w:tr>
      <w:tr>
        <w:trPr>
          <w:trHeight w:val="33"/>
        </w:trPr>
        <w:tc>
          <w:tcPr>
            <w:tcW w:w="5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Non-GAAP sales and marketing operating expense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61,083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46,814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118,621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87,314</w:t>
            </w:r>
          </w:p>
        </w:tc>
      </w:tr>
      <w:tr>
        <w:trPr>
          <w:trHeight w:val="20"/>
        </w:trPr>
        <w:tc>
          <w:tcPr>
            <w:tcW w:w="5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11"/>
        </w:trPr>
        <w:tc>
          <w:tcPr>
            <w:tcW w:w="5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Research and development operating expense on a GAAP basis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49,255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37,140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94,887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68,008</w:t>
            </w:r>
          </w:p>
        </w:tc>
      </w:tr>
      <w:tr>
        <w:trPr>
          <w:trHeight w:val="237"/>
        </w:trPr>
        <w:tc>
          <w:tcPr>
            <w:tcW w:w="5400" w:type="dxa"/>
            <w:vAlign w:val="bottom"/>
          </w:tcPr>
          <w:p>
            <w:pPr>
              <w:ind w:left="180"/>
              <w:spacing w:after="0"/>
              <w:rPr>
                <w:sz w:val="20"/>
                <w:szCs w:val="20"/>
                <w:color w:val="auto"/>
              </w:rPr>
            </w:pPr>
            <w:r>
              <w:rPr>
                <w:rFonts w:ascii="Arial" w:cs="Arial" w:eastAsia="Arial" w:hAnsi="Arial"/>
                <w:sz w:val="16"/>
                <w:szCs w:val="16"/>
                <w:color w:val="auto"/>
              </w:rPr>
              <w:t>Less: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5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14,214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25,973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10,634</w:t>
            </w:r>
          </w:p>
        </w:tc>
      </w:tr>
      <w:tr>
        <w:trPr>
          <w:trHeight w:val="220"/>
        </w:trPr>
        <w:tc>
          <w:tcPr>
            <w:tcW w:w="5400" w:type="dxa"/>
            <w:vAlign w:val="bottom"/>
          </w:tcPr>
          <w:p>
            <w:pPr>
              <w:ind w:left="280"/>
              <w:spacing w:after="0"/>
              <w:rPr>
                <w:sz w:val="20"/>
                <w:szCs w:val="20"/>
                <w:color w:val="auto"/>
              </w:rPr>
            </w:pPr>
            <w:r>
              <w:rPr>
                <w:rFonts w:ascii="Arial" w:cs="Arial" w:eastAsia="Arial" w:hAnsi="Arial"/>
                <w:sz w:val="16"/>
                <w:szCs w:val="16"/>
                <w:color w:val="auto"/>
                <w:w w:val="91"/>
              </w:rPr>
              <w:t>Amortization of intangible assets and time-based founder payments associated</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06"/>
        </w:trPr>
        <w:tc>
          <w:tcPr>
            <w:tcW w:w="5400" w:type="dxa"/>
            <w:vAlign w:val="bottom"/>
          </w:tcPr>
          <w:p>
            <w:pPr>
              <w:ind w:left="280"/>
              <w:spacing w:after="0"/>
              <w:rPr>
                <w:sz w:val="20"/>
                <w:szCs w:val="20"/>
                <w:color w:val="auto"/>
              </w:rPr>
            </w:pPr>
            <w:r>
              <w:rPr>
                <w:rFonts w:ascii="Arial" w:cs="Arial" w:eastAsia="Arial" w:hAnsi="Arial"/>
                <w:sz w:val="16"/>
                <w:szCs w:val="16"/>
                <w:color w:val="auto"/>
              </w:rPr>
              <w:t>with acquisitions</w:t>
            </w:r>
          </w:p>
        </w:tc>
        <w:tc>
          <w:tcPr>
            <w:tcW w:w="320" w:type="dxa"/>
            <w:vAlign w:val="bottom"/>
          </w:tcPr>
          <w:p>
            <w:pPr>
              <w:spacing w:after="0"/>
              <w:rPr>
                <w:sz w:val="17"/>
                <w:szCs w:val="17"/>
                <w:color w:val="auto"/>
              </w:rPr>
            </w:pP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1,328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4,252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4,636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7,152</w:t>
            </w:r>
          </w:p>
        </w:tc>
      </w:tr>
      <w:tr>
        <w:trPr>
          <w:trHeight w:val="33"/>
        </w:trPr>
        <w:tc>
          <w:tcPr>
            <w:tcW w:w="5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Non-GAAP research and development operating expense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33,713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26,774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64,278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50,222</w:t>
            </w:r>
          </w:p>
        </w:tc>
      </w:tr>
      <w:tr>
        <w:trPr>
          <w:trHeight w:val="20"/>
        </w:trPr>
        <w:tc>
          <w:tcPr>
            <w:tcW w:w="5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11"/>
        </w:trPr>
        <w:tc>
          <w:tcPr>
            <w:tcW w:w="5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General and administrative operating expense on a GAAP basis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21,424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16,174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41,359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30,979</w:t>
            </w:r>
          </w:p>
        </w:tc>
      </w:tr>
      <w:tr>
        <w:trPr>
          <w:trHeight w:val="237"/>
        </w:trPr>
        <w:tc>
          <w:tcPr>
            <w:tcW w:w="5400" w:type="dxa"/>
            <w:vAlign w:val="bottom"/>
          </w:tcPr>
          <w:p>
            <w:pPr>
              <w:ind w:left="180"/>
              <w:spacing w:after="0"/>
              <w:rPr>
                <w:sz w:val="20"/>
                <w:szCs w:val="20"/>
                <w:color w:val="auto"/>
              </w:rPr>
            </w:pPr>
            <w:r>
              <w:rPr>
                <w:rFonts w:ascii="Arial" w:cs="Arial" w:eastAsia="Arial" w:hAnsi="Arial"/>
                <w:sz w:val="16"/>
                <w:szCs w:val="16"/>
                <w:color w:val="auto"/>
              </w:rPr>
              <w:t>Less: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5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6,358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11,370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6,637</w:t>
            </w:r>
          </w:p>
        </w:tc>
      </w:tr>
      <w:tr>
        <w:trPr>
          <w:trHeight w:val="237"/>
        </w:trPr>
        <w:tc>
          <w:tcPr>
            <w:tcW w:w="5400" w:type="dxa"/>
            <w:vAlign w:val="bottom"/>
          </w:tcPr>
          <w:p>
            <w:pPr>
              <w:ind w:left="280"/>
              <w:spacing w:after="0"/>
              <w:rPr>
                <w:sz w:val="20"/>
                <w:szCs w:val="20"/>
                <w:color w:val="auto"/>
              </w:rPr>
            </w:pPr>
            <w:r>
              <w:rPr>
                <w:rFonts w:ascii="Arial" w:cs="Arial" w:eastAsia="Arial" w:hAnsi="Arial"/>
                <w:sz w:val="16"/>
                <w:szCs w:val="16"/>
                <w:color w:val="auto"/>
              </w:rPr>
              <w:t>Acquisition costs</w:t>
            </w:r>
          </w:p>
        </w:tc>
        <w:tc>
          <w:tcPr>
            <w:tcW w:w="32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577</w:t>
            </w:r>
          </w:p>
        </w:tc>
      </w:tr>
      <w:tr>
        <w:trPr>
          <w:trHeight w:val="33"/>
        </w:trPr>
        <w:tc>
          <w:tcPr>
            <w:tcW w:w="5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Non-GAAP general and administrative operating expense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15,066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12,274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29,989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23,765</w:t>
            </w:r>
          </w:p>
        </w:tc>
      </w:tr>
      <w:tr>
        <w:trPr>
          <w:trHeight w:val="20"/>
        </w:trPr>
        <w:tc>
          <w:tcPr>
            <w:tcW w:w="5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11"/>
        </w:trPr>
        <w:tc>
          <w:tcPr>
            <w:tcW w:w="5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54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Reconciliation of GAAP loss from operations to non-GAAP loss from</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3"/>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operations:</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37"/>
        </w:trPr>
        <w:tc>
          <w:tcPr>
            <w:tcW w:w="5400" w:type="dxa"/>
            <w:vAlign w:val="bottom"/>
          </w:tcPr>
          <w:p>
            <w:pPr>
              <w:ind w:left="180"/>
              <w:spacing w:after="0"/>
              <w:rPr>
                <w:sz w:val="20"/>
                <w:szCs w:val="20"/>
                <w:color w:val="auto"/>
              </w:rPr>
            </w:pPr>
            <w:r>
              <w:rPr>
                <w:rFonts w:ascii="Arial" w:cs="Arial" w:eastAsia="Arial" w:hAnsi="Arial"/>
                <w:sz w:val="16"/>
                <w:szCs w:val="16"/>
                <w:color w:val="auto"/>
              </w:rPr>
              <w:t>Loss from operations on a GAAP basis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(49,780)</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(37,672)</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(91,820)</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(68,249)</w:t>
            </w:r>
          </w:p>
        </w:tc>
      </w:tr>
      <w:tr>
        <w:trPr>
          <w:trHeight w:val="33"/>
        </w:trPr>
        <w:tc>
          <w:tcPr>
            <w:tcW w:w="5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Add back:</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50"/>
        </w:trPr>
        <w:tc>
          <w:tcPr>
            <w:tcW w:w="5400" w:type="dxa"/>
            <w:vAlign w:val="bottom"/>
          </w:tcPr>
          <w:p>
            <w:pPr>
              <w:ind w:left="280"/>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Pr>
          <w:p>
            <w:pPr>
              <w:spacing w:after="0"/>
              <w:rPr>
                <w:sz w:val="21"/>
                <w:szCs w:val="21"/>
                <w:color w:val="auto"/>
              </w:rPr>
            </w:pPr>
          </w:p>
        </w:tc>
        <w:tc>
          <w:tcPr>
            <w:tcW w:w="1060" w:type="dxa"/>
            <w:vAlign w:val="bottom"/>
          </w:tcPr>
          <w:p>
            <w:pPr>
              <w:jc w:val="right"/>
              <w:ind w:right="100"/>
              <w:spacing w:after="0"/>
              <w:rPr>
                <w:sz w:val="20"/>
                <w:szCs w:val="20"/>
                <w:color w:val="auto"/>
              </w:rPr>
            </w:pPr>
            <w:r>
              <w:rPr>
                <w:rFonts w:ascii="Arial" w:cs="Arial" w:eastAsia="Arial" w:hAnsi="Arial"/>
                <w:sz w:val="16"/>
                <w:szCs w:val="16"/>
                <w:color w:val="auto"/>
              </w:rPr>
              <w:t>37,525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17,662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68,092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31,671</w:t>
            </w:r>
          </w:p>
        </w:tc>
      </w:tr>
      <w:tr>
        <w:trPr>
          <w:trHeight w:val="33"/>
        </w:trPr>
        <w:tc>
          <w:tcPr>
            <w:tcW w:w="5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0"/>
        </w:trPr>
        <w:tc>
          <w:tcPr>
            <w:tcW w:w="540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1"/>
              </w:rPr>
              <w:t>Amortization of intangible assets and time-based founder payments associated</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9"/>
        </w:trPr>
        <w:tc>
          <w:tcPr>
            <w:tcW w:w="5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with acquisitions</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2,088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5,018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6,160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8,598</w:t>
            </w:r>
          </w:p>
        </w:tc>
      </w:tr>
      <w:tr>
        <w:trPr>
          <w:trHeight w:val="237"/>
        </w:trPr>
        <w:tc>
          <w:tcPr>
            <w:tcW w:w="5400" w:type="dxa"/>
            <w:vAlign w:val="bottom"/>
          </w:tcPr>
          <w:p>
            <w:pPr>
              <w:ind w:left="280"/>
              <w:spacing w:after="0"/>
              <w:rPr>
                <w:sz w:val="20"/>
                <w:szCs w:val="20"/>
                <w:color w:val="auto"/>
              </w:rPr>
            </w:pPr>
            <w:r>
              <w:rPr>
                <w:rFonts w:ascii="Arial" w:cs="Arial" w:eastAsia="Arial" w:hAnsi="Arial"/>
                <w:sz w:val="16"/>
                <w:szCs w:val="16"/>
                <w:color w:val="auto"/>
              </w:rPr>
              <w:t>Acquisition costs</w:t>
            </w:r>
          </w:p>
        </w:tc>
        <w:tc>
          <w:tcPr>
            <w:tcW w:w="32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577</w:t>
            </w:r>
          </w:p>
        </w:tc>
      </w:tr>
      <w:tr>
        <w:trPr>
          <w:trHeight w:val="33"/>
        </w:trPr>
        <w:tc>
          <w:tcPr>
            <w:tcW w:w="5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Non-GAAP loss from operations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(10,167)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(14,761)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(17,568)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(27,403)</w:t>
            </w:r>
          </w:p>
        </w:tc>
      </w:tr>
      <w:tr>
        <w:trPr>
          <w:trHeight w:val="20"/>
        </w:trPr>
        <w:tc>
          <w:tcPr>
            <w:tcW w:w="5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337"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July 31,</w:t>
            </w:r>
          </w:p>
        </w:tc>
        <w:tc>
          <w:tcPr>
            <w:tcW w:w="320" w:type="dxa"/>
            <w:vAlign w:val="bottom"/>
          </w:tcPr>
          <w:p>
            <w:pPr>
              <w:spacing w:after="0"/>
              <w:rPr>
                <w:sz w:val="16"/>
                <w:szCs w:val="16"/>
                <w:color w:val="auto"/>
              </w:rPr>
            </w:pPr>
          </w:p>
        </w:tc>
        <w:tc>
          <w:tcPr>
            <w:tcW w:w="246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26"/>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8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6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4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4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6"/>
        </w:trPr>
        <w:tc>
          <w:tcPr>
            <w:tcW w:w="55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Reconciliation of GAAP net loss to non-GAAP net loss:</w:t>
            </w: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52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loss on a GAAP basis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(64,525)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(37,336)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(118,492)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(70,576)</w:t>
            </w:r>
          </w:p>
        </w:tc>
        <w:tc>
          <w:tcPr>
            <w:tcW w:w="0" w:type="dxa"/>
            <w:vAlign w:val="bottom"/>
          </w:tcPr>
          <w:p>
            <w:pPr>
              <w:spacing w:after="0"/>
              <w:rPr>
                <w:sz w:val="1"/>
                <w:szCs w:val="1"/>
                <w:color w:val="auto"/>
              </w:rPr>
            </w:pPr>
          </w:p>
        </w:tc>
      </w:tr>
      <w:tr>
        <w:trPr>
          <w:trHeight w:val="237"/>
        </w:trPr>
        <w:tc>
          <w:tcPr>
            <w:tcW w:w="5520" w:type="dxa"/>
            <w:vAlign w:val="bottom"/>
          </w:tcPr>
          <w:p>
            <w:pPr>
              <w:ind w:left="180"/>
              <w:spacing w:after="0"/>
              <w:rPr>
                <w:sz w:val="20"/>
                <w:szCs w:val="20"/>
                <w:color w:val="auto"/>
              </w:rPr>
            </w:pPr>
            <w:r>
              <w:rPr>
                <w:rFonts w:ascii="Arial" w:cs="Arial" w:eastAsia="Arial" w:hAnsi="Arial"/>
                <w:sz w:val="16"/>
                <w:szCs w:val="16"/>
                <w:color w:val="auto"/>
              </w:rPr>
              <w:t>Add back:</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37,525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17,662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68,092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31,671</w:t>
            </w:r>
          </w:p>
        </w:tc>
        <w:tc>
          <w:tcPr>
            <w:tcW w:w="0" w:type="dxa"/>
            <w:vAlign w:val="bottom"/>
          </w:tcPr>
          <w:p>
            <w:pPr>
              <w:spacing w:after="0"/>
              <w:rPr>
                <w:sz w:val="1"/>
                <w:szCs w:val="1"/>
                <w:color w:val="auto"/>
              </w:rPr>
            </w:pPr>
          </w:p>
        </w:tc>
      </w:tr>
      <w:tr>
        <w:trPr>
          <w:trHeight w:val="220"/>
        </w:trPr>
        <w:tc>
          <w:tcPr>
            <w:tcW w:w="5520" w:type="dxa"/>
            <w:vAlign w:val="bottom"/>
          </w:tcPr>
          <w:p>
            <w:pPr>
              <w:ind w:left="280"/>
              <w:spacing w:after="0"/>
              <w:rPr>
                <w:sz w:val="20"/>
                <w:szCs w:val="20"/>
                <w:color w:val="auto"/>
              </w:rPr>
            </w:pPr>
            <w:r>
              <w:rPr>
                <w:rFonts w:ascii="Arial" w:cs="Arial" w:eastAsia="Arial" w:hAnsi="Arial"/>
                <w:sz w:val="16"/>
                <w:szCs w:val="16"/>
                <w:color w:val="auto"/>
              </w:rPr>
              <w:t>Amortization of intangible assets and Founder Holdback associated with</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520" w:type="dxa"/>
            <w:vAlign w:val="bottom"/>
          </w:tcPr>
          <w:p>
            <w:pPr>
              <w:ind w:left="280"/>
              <w:spacing w:after="0"/>
              <w:rPr>
                <w:sz w:val="20"/>
                <w:szCs w:val="20"/>
                <w:color w:val="auto"/>
              </w:rPr>
            </w:pPr>
            <w:r>
              <w:rPr>
                <w:rFonts w:ascii="Arial" w:cs="Arial" w:eastAsia="Arial" w:hAnsi="Arial"/>
                <w:sz w:val="16"/>
                <w:szCs w:val="16"/>
                <w:color w:val="auto"/>
              </w:rPr>
              <w:t>acquisitions</w:t>
            </w:r>
          </w:p>
        </w:tc>
        <w:tc>
          <w:tcPr>
            <w:tcW w:w="300" w:type="dxa"/>
            <w:vAlign w:val="bottom"/>
          </w:tcPr>
          <w:p>
            <w:pPr>
              <w:spacing w:after="0"/>
              <w:rPr>
                <w:sz w:val="17"/>
                <w:szCs w:val="17"/>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2,088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5,018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6,160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8,598</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Acquisition costs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577</w:t>
            </w:r>
          </w:p>
        </w:tc>
        <w:tc>
          <w:tcPr>
            <w:tcW w:w="0" w:type="dxa"/>
            <w:vAlign w:val="bottom"/>
          </w:tcPr>
          <w:p>
            <w:pPr>
              <w:spacing w:after="0"/>
              <w:rPr>
                <w:sz w:val="1"/>
                <w:szCs w:val="1"/>
                <w:color w:val="auto"/>
              </w:rPr>
            </w:pPr>
          </w:p>
        </w:tc>
      </w:tr>
      <w:tr>
        <w:trPr>
          <w:trHeight w:val="237"/>
        </w:trPr>
        <w:tc>
          <w:tcPr>
            <w:tcW w:w="5520" w:type="dxa"/>
            <w:vAlign w:val="bottom"/>
          </w:tcPr>
          <w:p>
            <w:pPr>
              <w:ind w:left="280"/>
              <w:spacing w:after="0"/>
              <w:rPr>
                <w:sz w:val="20"/>
                <w:szCs w:val="20"/>
                <w:color w:val="auto"/>
              </w:rPr>
            </w:pPr>
            <w:r>
              <w:rPr>
                <w:rFonts w:ascii="Arial" w:cs="Arial" w:eastAsia="Arial" w:hAnsi="Arial"/>
                <w:sz w:val="16"/>
                <w:szCs w:val="16"/>
                <w:color w:val="auto"/>
              </w:rPr>
              <w:t>Non-cash interest expense related to convertible senior notes</w:t>
            </w:r>
          </w:p>
        </w:tc>
        <w:tc>
          <w:tcPr>
            <w:tcW w:w="30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12,194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3,277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24,217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6,498</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5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Non-recurring income tax benefit associated with the acquisition of Realm</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intangible assets</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(3,536)</w:t>
            </w:r>
          </w:p>
        </w:tc>
        <w:tc>
          <w:tcPr>
            <w:tcW w:w="0" w:type="dxa"/>
            <w:vAlign w:val="bottom"/>
          </w:tcPr>
          <w:p>
            <w:pPr>
              <w:spacing w:after="0"/>
              <w:rPr>
                <w:sz w:val="1"/>
                <w:szCs w:val="1"/>
                <w:color w:val="auto"/>
              </w:rPr>
            </w:pPr>
          </w:p>
        </w:tc>
      </w:tr>
      <w:tr>
        <w:trPr>
          <w:trHeight w:val="283"/>
        </w:trPr>
        <w:tc>
          <w:tcPr>
            <w:tcW w:w="55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Non-GAAP net loss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(12,718)</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(14,684)</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(20,023)</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(26,768)</w:t>
            </w:r>
          </w:p>
        </w:tc>
        <w:tc>
          <w:tcPr>
            <w:tcW w:w="0" w:type="dxa"/>
            <w:vAlign w:val="bottom"/>
          </w:tcPr>
          <w:p>
            <w:pPr>
              <w:spacing w:after="0"/>
              <w:rPr>
                <w:sz w:val="1"/>
                <w:szCs w:val="1"/>
                <w:color w:val="auto"/>
              </w:rPr>
            </w:pPr>
          </w:p>
        </w:tc>
      </w:tr>
      <w:tr>
        <w:trPr>
          <w:trHeight w:val="271"/>
        </w:trPr>
        <w:tc>
          <w:tcPr>
            <w:tcW w:w="55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40"/>
              <w:spacing w:after="0"/>
              <w:rPr>
                <w:sz w:val="20"/>
                <w:szCs w:val="20"/>
                <w:color w:val="auto"/>
              </w:rPr>
            </w:pPr>
            <w:r>
              <w:rPr>
                <w:rFonts w:ascii="Arial" w:cs="Arial" w:eastAsia="Arial" w:hAnsi="Arial"/>
                <w:sz w:val="16"/>
                <w:szCs w:val="16"/>
                <w:b w:val="1"/>
                <w:bCs w:val="1"/>
                <w:color w:val="auto"/>
                <w:w w:val="91"/>
              </w:rPr>
              <w:t>Reconciliation of GAAP net loss per share, basic and diluted, to non-GAAP net</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tcPr>
          <w:p>
            <w:pPr>
              <w:ind w:left="40"/>
              <w:spacing w:after="0"/>
              <w:rPr>
                <w:sz w:val="20"/>
                <w:szCs w:val="20"/>
                <w:color w:val="auto"/>
              </w:rPr>
            </w:pPr>
            <w:r>
              <w:rPr>
                <w:rFonts w:ascii="Arial" w:cs="Arial" w:eastAsia="Arial" w:hAnsi="Arial"/>
                <w:sz w:val="16"/>
                <w:szCs w:val="16"/>
                <w:b w:val="1"/>
                <w:bCs w:val="1"/>
                <w:color w:val="auto"/>
              </w:rPr>
              <w:t>loss per share, basic and diluted:</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loss per share, basic and diluted, on a GAAP basis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37"/>
        </w:trPr>
        <w:tc>
          <w:tcPr>
            <w:tcW w:w="5520" w:type="dxa"/>
            <w:vAlign w:val="bottom"/>
          </w:tcPr>
          <w:p>
            <w:pPr>
              <w:ind w:left="180"/>
              <w:spacing w:after="0"/>
              <w:rPr>
                <w:sz w:val="20"/>
                <w:szCs w:val="20"/>
                <w:color w:val="auto"/>
              </w:rPr>
            </w:pPr>
            <w:r>
              <w:rPr>
                <w:rFonts w:ascii="Arial" w:cs="Arial" w:eastAsia="Arial" w:hAnsi="Arial"/>
                <w:sz w:val="16"/>
                <w:szCs w:val="16"/>
                <w:color w:val="auto"/>
              </w:rPr>
              <w:t>Add back:</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0.57</w:t>
            </w:r>
          </w:p>
        </w:tc>
        <w:tc>
          <w:tcPr>
            <w:tcW w:w="0" w:type="dxa"/>
            <w:vAlign w:val="bottom"/>
          </w:tcPr>
          <w:p>
            <w:pPr>
              <w:spacing w:after="0"/>
              <w:rPr>
                <w:sz w:val="1"/>
                <w:szCs w:val="1"/>
                <w:color w:val="auto"/>
              </w:rPr>
            </w:pPr>
          </w:p>
        </w:tc>
      </w:tr>
      <w:tr>
        <w:trPr>
          <w:trHeight w:val="220"/>
        </w:trPr>
        <w:tc>
          <w:tcPr>
            <w:tcW w:w="5520" w:type="dxa"/>
            <w:vAlign w:val="bottom"/>
          </w:tcPr>
          <w:p>
            <w:pPr>
              <w:ind w:left="280"/>
              <w:spacing w:after="0"/>
              <w:rPr>
                <w:sz w:val="20"/>
                <w:szCs w:val="20"/>
                <w:color w:val="auto"/>
              </w:rPr>
            </w:pPr>
            <w:r>
              <w:rPr>
                <w:rFonts w:ascii="Arial" w:cs="Arial" w:eastAsia="Arial" w:hAnsi="Arial"/>
                <w:sz w:val="16"/>
                <w:szCs w:val="16"/>
                <w:color w:val="auto"/>
              </w:rPr>
              <w:t>Amortization of intangible assets and Founder Holdback associated with</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520" w:type="dxa"/>
            <w:vAlign w:val="bottom"/>
          </w:tcPr>
          <w:p>
            <w:pPr>
              <w:ind w:left="280"/>
              <w:spacing w:after="0"/>
              <w:rPr>
                <w:sz w:val="20"/>
                <w:szCs w:val="20"/>
                <w:color w:val="auto"/>
              </w:rPr>
            </w:pPr>
            <w:r>
              <w:rPr>
                <w:rFonts w:ascii="Arial" w:cs="Arial" w:eastAsia="Arial" w:hAnsi="Arial"/>
                <w:sz w:val="16"/>
                <w:szCs w:val="16"/>
                <w:color w:val="auto"/>
              </w:rPr>
              <w:t>acquisitions</w:t>
            </w:r>
          </w:p>
        </w:tc>
        <w:tc>
          <w:tcPr>
            <w:tcW w:w="300" w:type="dxa"/>
            <w:vAlign w:val="bottom"/>
          </w:tcPr>
          <w:p>
            <w:pPr>
              <w:spacing w:after="0"/>
              <w:rPr>
                <w:sz w:val="17"/>
                <w:szCs w:val="17"/>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0.03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0.15</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Acquisition costs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37"/>
        </w:trPr>
        <w:tc>
          <w:tcPr>
            <w:tcW w:w="5520" w:type="dxa"/>
            <w:vAlign w:val="bottom"/>
          </w:tcPr>
          <w:p>
            <w:pPr>
              <w:ind w:left="280"/>
              <w:spacing w:after="0"/>
              <w:rPr>
                <w:sz w:val="20"/>
                <w:szCs w:val="20"/>
                <w:color w:val="auto"/>
              </w:rPr>
            </w:pPr>
            <w:r>
              <w:rPr>
                <w:rFonts w:ascii="Arial" w:cs="Arial" w:eastAsia="Arial" w:hAnsi="Arial"/>
                <w:sz w:val="16"/>
                <w:szCs w:val="16"/>
                <w:color w:val="auto"/>
              </w:rPr>
              <w:t>Non-cash interest expense related to convertible senior notes</w:t>
            </w:r>
          </w:p>
        </w:tc>
        <w:tc>
          <w:tcPr>
            <w:tcW w:w="30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0.21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0.42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5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Non-recurring income tax benefit associated with the acquisition of Realm</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intangible assets</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44"/>
        </w:trPr>
        <w:tc>
          <w:tcPr>
            <w:tcW w:w="5520" w:type="dxa"/>
            <w:vAlign w:val="bottom"/>
          </w:tcPr>
          <w:p>
            <w:pPr>
              <w:ind w:left="180"/>
              <w:spacing w:after="0"/>
              <w:rPr>
                <w:sz w:val="20"/>
                <w:szCs w:val="20"/>
                <w:color w:val="auto"/>
              </w:rPr>
            </w:pPr>
            <w:r>
              <w:rPr>
                <w:rFonts w:ascii="Arial" w:cs="Arial" w:eastAsia="Arial" w:hAnsi="Arial"/>
                <w:sz w:val="16"/>
                <w:szCs w:val="16"/>
                <w:color w:val="auto"/>
              </w:rPr>
              <w:t>Non-GAAP net loss per share, basic and diluted</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(0.22)</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(0.26)</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(0.35)</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(0.49)</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right="80" w:firstLine="486"/>
        <w:spacing w:after="0" w:line="277" w:lineRule="auto"/>
        <w:rPr>
          <w:sz w:val="20"/>
          <w:szCs w:val="20"/>
          <w:color w:val="auto"/>
        </w:rPr>
      </w:pPr>
      <w:r>
        <w:rPr>
          <w:rFonts w:ascii="Arial" w:cs="Arial" w:eastAsia="Arial" w:hAnsi="Arial"/>
          <w:sz w:val="18"/>
          <w:szCs w:val="18"/>
          <w:color w:val="auto"/>
        </w:rPr>
        <w:t>The following table presents a reconciliation of free cash flow to net cash used in operating activities, the most directly comparable GAAP measure, for each of the periods indicated (unaudited,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July 31,</w:t>
            </w:r>
          </w:p>
        </w:tc>
        <w:tc>
          <w:tcPr>
            <w:tcW w:w="320" w:type="dxa"/>
            <w:vAlign w:val="bottom"/>
          </w:tcPr>
          <w:p>
            <w:pPr>
              <w:spacing w:after="0"/>
              <w:rPr>
                <w:sz w:val="16"/>
                <w:szCs w:val="16"/>
                <w:color w:val="auto"/>
              </w:rPr>
            </w:pPr>
          </w:p>
        </w:tc>
        <w:tc>
          <w:tcPr>
            <w:tcW w:w="2460" w:type="dxa"/>
            <w:vAlign w:val="bottom"/>
            <w:gridSpan w:val="4"/>
          </w:tcPr>
          <w:p>
            <w:pPr>
              <w:jc w:val="right"/>
              <w:ind w:right="481"/>
              <w:spacing w:after="0"/>
              <w:rPr>
                <w:sz w:val="20"/>
                <w:szCs w:val="20"/>
                <w:color w:val="auto"/>
              </w:rPr>
            </w:pPr>
            <w:r>
              <w:rPr>
                <w:rFonts w:ascii="Arial" w:cs="Arial" w:eastAsia="Arial" w:hAnsi="Arial"/>
                <w:sz w:val="14"/>
                <w:szCs w:val="14"/>
                <w:b w:val="1"/>
                <w:bCs w:val="1"/>
                <w:color w:val="auto"/>
              </w:rPr>
              <w:t>Six Months Ended July 31,</w:t>
            </w:r>
          </w:p>
        </w:tc>
      </w:tr>
      <w:tr>
        <w:trPr>
          <w:trHeight w:val="25"/>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8"/>
        </w:trPr>
        <w:tc>
          <w:tcPr>
            <w:tcW w:w="5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6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4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41"/>
              <w:spacing w:after="0"/>
              <w:rPr>
                <w:sz w:val="20"/>
                <w:szCs w:val="20"/>
                <w:color w:val="auto"/>
              </w:rPr>
            </w:pPr>
            <w:r>
              <w:rPr>
                <w:rFonts w:ascii="Arial" w:cs="Arial" w:eastAsia="Arial" w:hAnsi="Arial"/>
                <w:sz w:val="14"/>
                <w:szCs w:val="14"/>
                <w:b w:val="1"/>
                <w:bCs w:val="1"/>
                <w:color w:val="auto"/>
              </w:rPr>
              <w:t>2019</w:t>
            </w:r>
          </w:p>
        </w:tc>
      </w:tr>
      <w:tr>
        <w:trPr>
          <w:trHeight w:val="25"/>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operating activities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(10,030)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(12,593)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(15,908)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(9,379)</w:t>
            </w:r>
          </w:p>
        </w:tc>
      </w:tr>
      <w:tr>
        <w:trPr>
          <w:trHeight w:val="237"/>
        </w:trPr>
        <w:tc>
          <w:tcPr>
            <w:tcW w:w="552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spacing w:after="0"/>
              <w:rPr>
                <w:sz w:val="20"/>
                <w:szCs w:val="20"/>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(3,791)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(1,207)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(5,296)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(1,596)</w:t>
            </w:r>
          </w:p>
        </w:tc>
      </w:tr>
      <w:tr>
        <w:trPr>
          <w:trHeight w:val="33"/>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Principal repayments of finance lease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(1,149)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24"/>
        </w:trPr>
        <w:tc>
          <w:tcPr>
            <w:tcW w:w="5520" w:type="dxa"/>
            <w:vAlign w:val="bottom"/>
          </w:tcPr>
          <w:p>
            <w:pPr>
              <w:ind w:left="20"/>
              <w:spacing w:after="0"/>
              <w:rPr>
                <w:sz w:val="20"/>
                <w:szCs w:val="20"/>
                <w:color w:val="auto"/>
              </w:rPr>
            </w:pPr>
            <w:r>
              <w:rPr>
                <w:rFonts w:ascii="Arial" w:cs="Arial" w:eastAsia="Arial" w:hAnsi="Arial"/>
                <w:sz w:val="16"/>
                <w:szCs w:val="16"/>
                <w:color w:val="auto"/>
              </w:rPr>
              <w:t>Capitalized software</w:t>
            </w:r>
          </w:p>
        </w:tc>
        <w:tc>
          <w:tcPr>
            <w:tcW w:w="30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46"/>
        </w:trPr>
        <w:tc>
          <w:tcPr>
            <w:tcW w:w="55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69"/>
        </w:trPr>
        <w:tc>
          <w:tcPr>
            <w:tcW w:w="5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Free cash flow</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(14,970)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(23,488)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(10,975)</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549" w:right="339" w:bottom="1440" w:gutter="0" w:footer="0" w:header="0"/>
        </w:sectPr>
      </w:pPr>
    </w:p>
    <w:bookmarkStart w:id="12" w:name="page13"/>
    <w:bookmarkEnd w:id="12"/>
    <w:p>
      <w:pPr>
        <w:jc w:val="center"/>
        <w:ind w:left="480"/>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CUSTOMER COUNT METRICS</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certain customer count information as of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383540</wp:posOffset>
            </wp:positionV>
            <wp:extent cx="5666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6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240" w:type="dxa"/>
            <w:vAlign w:val="bottom"/>
          </w:tcPr>
          <w:p>
            <w:pPr>
              <w:spacing w:after="0"/>
              <w:rPr>
                <w:sz w:val="14"/>
                <w:szCs w:val="14"/>
                <w:color w:val="auto"/>
              </w:rPr>
            </w:pPr>
          </w:p>
        </w:tc>
        <w:tc>
          <w:tcPr>
            <w:tcW w:w="920" w:type="dxa"/>
            <w:vAlign w:val="bottom"/>
          </w:tcPr>
          <w:p>
            <w:pPr>
              <w:jc w:val="right"/>
              <w:ind w:right="123"/>
              <w:spacing w:after="0"/>
              <w:rPr>
                <w:sz w:val="20"/>
                <w:szCs w:val="20"/>
                <w:color w:val="auto"/>
              </w:rPr>
            </w:pPr>
            <w:r>
              <w:rPr>
                <w:rFonts w:ascii="Arial" w:cs="Arial" w:eastAsia="Arial" w:hAnsi="Arial"/>
                <w:sz w:val="13"/>
                <w:szCs w:val="13"/>
                <w:b w:val="1"/>
                <w:bCs w:val="1"/>
                <w:color w:val="auto"/>
              </w:rPr>
              <w:t>7/31/2018</w:t>
            </w:r>
          </w:p>
        </w:tc>
        <w:tc>
          <w:tcPr>
            <w:tcW w:w="120" w:type="dxa"/>
            <w:vAlign w:val="bottom"/>
          </w:tcPr>
          <w:p>
            <w:pPr>
              <w:spacing w:after="0"/>
              <w:rPr>
                <w:sz w:val="14"/>
                <w:szCs w:val="14"/>
                <w:color w:val="auto"/>
              </w:rPr>
            </w:pPr>
          </w:p>
        </w:tc>
        <w:tc>
          <w:tcPr>
            <w:tcW w:w="900" w:type="dxa"/>
            <w:vAlign w:val="bottom"/>
          </w:tcPr>
          <w:p>
            <w:pPr>
              <w:jc w:val="right"/>
              <w:ind w:right="83"/>
              <w:spacing w:after="0"/>
              <w:rPr>
                <w:sz w:val="20"/>
                <w:szCs w:val="20"/>
                <w:color w:val="auto"/>
              </w:rPr>
            </w:pPr>
            <w:r>
              <w:rPr>
                <w:rFonts w:ascii="Arial" w:cs="Arial" w:eastAsia="Arial" w:hAnsi="Arial"/>
                <w:sz w:val="13"/>
                <w:szCs w:val="13"/>
                <w:b w:val="1"/>
                <w:bCs w:val="1"/>
                <w:color w:val="auto"/>
              </w:rPr>
              <w:t>10/31/2018</w:t>
            </w:r>
          </w:p>
        </w:tc>
        <w:tc>
          <w:tcPr>
            <w:tcW w:w="100" w:type="dxa"/>
            <w:vAlign w:val="bottom"/>
          </w:tcPr>
          <w:p>
            <w:pPr>
              <w:spacing w:after="0"/>
              <w:rPr>
                <w:sz w:val="14"/>
                <w:szCs w:val="14"/>
                <w:color w:val="auto"/>
              </w:rPr>
            </w:pPr>
          </w:p>
        </w:tc>
        <w:tc>
          <w:tcPr>
            <w:tcW w:w="900" w:type="dxa"/>
            <w:vAlign w:val="bottom"/>
          </w:tcPr>
          <w:p>
            <w:pPr>
              <w:jc w:val="right"/>
              <w:ind w:right="123"/>
              <w:spacing w:after="0"/>
              <w:rPr>
                <w:sz w:val="20"/>
                <w:szCs w:val="20"/>
                <w:color w:val="auto"/>
              </w:rPr>
            </w:pPr>
            <w:r>
              <w:rPr>
                <w:rFonts w:ascii="Arial" w:cs="Arial" w:eastAsia="Arial" w:hAnsi="Arial"/>
                <w:sz w:val="13"/>
                <w:szCs w:val="13"/>
                <w:b w:val="1"/>
                <w:bCs w:val="1"/>
                <w:color w:val="auto"/>
              </w:rPr>
              <w:t>1/31/2019</w:t>
            </w:r>
          </w:p>
        </w:tc>
        <w:tc>
          <w:tcPr>
            <w:tcW w:w="100" w:type="dxa"/>
            <w:vAlign w:val="bottom"/>
          </w:tcPr>
          <w:p>
            <w:pPr>
              <w:spacing w:after="0"/>
              <w:rPr>
                <w:sz w:val="14"/>
                <w:szCs w:val="14"/>
                <w:color w:val="auto"/>
              </w:rPr>
            </w:pPr>
          </w:p>
        </w:tc>
        <w:tc>
          <w:tcPr>
            <w:tcW w:w="900" w:type="dxa"/>
            <w:vAlign w:val="bottom"/>
          </w:tcPr>
          <w:p>
            <w:pPr>
              <w:jc w:val="right"/>
              <w:ind w:right="123"/>
              <w:spacing w:after="0"/>
              <w:rPr>
                <w:sz w:val="20"/>
                <w:szCs w:val="20"/>
                <w:color w:val="auto"/>
              </w:rPr>
            </w:pPr>
            <w:r>
              <w:rPr>
                <w:rFonts w:ascii="Arial" w:cs="Arial" w:eastAsia="Arial" w:hAnsi="Arial"/>
                <w:sz w:val="13"/>
                <w:szCs w:val="13"/>
                <w:b w:val="1"/>
                <w:bCs w:val="1"/>
                <w:color w:val="auto"/>
              </w:rPr>
              <w:t>4/30/2019</w:t>
            </w:r>
          </w:p>
        </w:tc>
        <w:tc>
          <w:tcPr>
            <w:tcW w:w="100" w:type="dxa"/>
            <w:vAlign w:val="bottom"/>
          </w:tcPr>
          <w:p>
            <w:pPr>
              <w:spacing w:after="0"/>
              <w:rPr>
                <w:sz w:val="14"/>
                <w:szCs w:val="14"/>
                <w:color w:val="auto"/>
              </w:rPr>
            </w:pPr>
          </w:p>
        </w:tc>
        <w:tc>
          <w:tcPr>
            <w:tcW w:w="900" w:type="dxa"/>
            <w:vAlign w:val="bottom"/>
          </w:tcPr>
          <w:p>
            <w:pPr>
              <w:jc w:val="right"/>
              <w:ind w:right="123"/>
              <w:spacing w:after="0"/>
              <w:rPr>
                <w:sz w:val="20"/>
                <w:szCs w:val="20"/>
                <w:color w:val="auto"/>
              </w:rPr>
            </w:pPr>
            <w:r>
              <w:rPr>
                <w:rFonts w:ascii="Arial" w:cs="Arial" w:eastAsia="Arial" w:hAnsi="Arial"/>
                <w:sz w:val="13"/>
                <w:szCs w:val="13"/>
                <w:b w:val="1"/>
                <w:bCs w:val="1"/>
                <w:color w:val="auto"/>
              </w:rPr>
              <w:t>7/31/2019</w:t>
            </w:r>
          </w:p>
        </w:tc>
        <w:tc>
          <w:tcPr>
            <w:tcW w:w="100" w:type="dxa"/>
            <w:vAlign w:val="bottom"/>
          </w:tcPr>
          <w:p>
            <w:pPr>
              <w:spacing w:after="0"/>
              <w:rPr>
                <w:sz w:val="14"/>
                <w:szCs w:val="14"/>
                <w:color w:val="auto"/>
              </w:rPr>
            </w:pPr>
          </w:p>
        </w:tc>
        <w:tc>
          <w:tcPr>
            <w:tcW w:w="900" w:type="dxa"/>
            <w:vAlign w:val="bottom"/>
          </w:tcPr>
          <w:p>
            <w:pPr>
              <w:jc w:val="right"/>
              <w:ind w:right="83"/>
              <w:spacing w:after="0"/>
              <w:rPr>
                <w:sz w:val="20"/>
                <w:szCs w:val="20"/>
                <w:color w:val="auto"/>
              </w:rPr>
            </w:pPr>
            <w:r>
              <w:rPr>
                <w:rFonts w:ascii="Arial" w:cs="Arial" w:eastAsia="Arial" w:hAnsi="Arial"/>
                <w:sz w:val="13"/>
                <w:szCs w:val="13"/>
                <w:b w:val="1"/>
                <w:bCs w:val="1"/>
                <w:color w:val="auto"/>
              </w:rPr>
              <w:t>10/31/2019</w:t>
            </w:r>
          </w:p>
        </w:tc>
        <w:tc>
          <w:tcPr>
            <w:tcW w:w="100" w:type="dxa"/>
            <w:vAlign w:val="bottom"/>
          </w:tcPr>
          <w:p>
            <w:pPr>
              <w:spacing w:after="0"/>
              <w:rPr>
                <w:sz w:val="14"/>
                <w:szCs w:val="14"/>
                <w:color w:val="auto"/>
              </w:rPr>
            </w:pPr>
          </w:p>
        </w:tc>
        <w:tc>
          <w:tcPr>
            <w:tcW w:w="900" w:type="dxa"/>
            <w:vAlign w:val="bottom"/>
          </w:tcPr>
          <w:p>
            <w:pPr>
              <w:jc w:val="right"/>
              <w:ind w:right="123"/>
              <w:spacing w:after="0"/>
              <w:rPr>
                <w:sz w:val="20"/>
                <w:szCs w:val="20"/>
                <w:color w:val="auto"/>
              </w:rPr>
            </w:pPr>
            <w:r>
              <w:rPr>
                <w:rFonts w:ascii="Arial" w:cs="Arial" w:eastAsia="Arial" w:hAnsi="Arial"/>
                <w:sz w:val="13"/>
                <w:szCs w:val="13"/>
                <w:b w:val="1"/>
                <w:bCs w:val="1"/>
                <w:color w:val="auto"/>
              </w:rPr>
              <w:t>1/31/2020</w:t>
            </w:r>
          </w:p>
        </w:tc>
        <w:tc>
          <w:tcPr>
            <w:tcW w:w="100" w:type="dxa"/>
            <w:vAlign w:val="bottom"/>
          </w:tcPr>
          <w:p>
            <w:pPr>
              <w:spacing w:after="0"/>
              <w:rPr>
                <w:sz w:val="14"/>
                <w:szCs w:val="14"/>
                <w:color w:val="auto"/>
              </w:rPr>
            </w:pPr>
          </w:p>
        </w:tc>
        <w:tc>
          <w:tcPr>
            <w:tcW w:w="900" w:type="dxa"/>
            <w:vAlign w:val="bottom"/>
          </w:tcPr>
          <w:p>
            <w:pPr>
              <w:jc w:val="right"/>
              <w:ind w:right="123"/>
              <w:spacing w:after="0"/>
              <w:rPr>
                <w:sz w:val="20"/>
                <w:szCs w:val="20"/>
                <w:color w:val="auto"/>
              </w:rPr>
            </w:pPr>
            <w:r>
              <w:rPr>
                <w:rFonts w:ascii="Arial" w:cs="Arial" w:eastAsia="Arial" w:hAnsi="Arial"/>
                <w:sz w:val="13"/>
                <w:szCs w:val="13"/>
                <w:b w:val="1"/>
                <w:bCs w:val="1"/>
                <w:color w:val="auto"/>
              </w:rPr>
              <w:t>4/30/2020</w:t>
            </w:r>
          </w:p>
        </w:tc>
        <w:tc>
          <w:tcPr>
            <w:tcW w:w="100" w:type="dxa"/>
            <w:vAlign w:val="bottom"/>
          </w:tcPr>
          <w:p>
            <w:pPr>
              <w:spacing w:after="0"/>
              <w:rPr>
                <w:sz w:val="14"/>
                <w:szCs w:val="14"/>
                <w:color w:val="auto"/>
              </w:rPr>
            </w:pPr>
          </w:p>
        </w:tc>
        <w:tc>
          <w:tcPr>
            <w:tcW w:w="900" w:type="dxa"/>
            <w:vAlign w:val="bottom"/>
          </w:tcPr>
          <w:p>
            <w:pPr>
              <w:jc w:val="right"/>
              <w:ind w:right="123"/>
              <w:spacing w:after="0"/>
              <w:rPr>
                <w:sz w:val="20"/>
                <w:szCs w:val="20"/>
                <w:color w:val="auto"/>
              </w:rPr>
            </w:pPr>
            <w:r>
              <w:rPr>
                <w:rFonts w:ascii="Arial" w:cs="Arial" w:eastAsia="Arial" w:hAnsi="Arial"/>
                <w:sz w:val="13"/>
                <w:szCs w:val="13"/>
                <w:b w:val="1"/>
                <w:bCs w:val="1"/>
                <w:color w:val="auto"/>
              </w:rPr>
              <w:t>7/31/2020</w:t>
            </w:r>
          </w:p>
        </w:tc>
      </w:tr>
      <w:tr>
        <w:trPr>
          <w:trHeight w:val="29"/>
        </w:trPr>
        <w:tc>
          <w:tcPr>
            <w:tcW w:w="22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Customers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7,400+</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8,300+</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13,400+</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14,200+</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15,900+</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17,000+</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18,400+</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20,200+</w:t>
            </w:r>
          </w:p>
        </w:tc>
      </w:tr>
      <w:tr>
        <w:trPr>
          <w:trHeight w:val="270"/>
        </w:trPr>
        <w:tc>
          <w:tcPr>
            <w:tcW w:w="2240" w:type="dxa"/>
            <w:vAlign w:val="bottom"/>
          </w:tcPr>
          <w:p>
            <w:pPr>
              <w:ind w:left="20"/>
              <w:spacing w:after="0"/>
              <w:rPr>
                <w:sz w:val="20"/>
                <w:szCs w:val="20"/>
                <w:color w:val="auto"/>
              </w:rPr>
            </w:pPr>
            <w:r>
              <w:rPr>
                <w:rFonts w:ascii="Arial" w:cs="Arial" w:eastAsia="Arial" w:hAnsi="Arial"/>
                <w:sz w:val="16"/>
                <w:szCs w:val="16"/>
                <w:color w:val="auto"/>
              </w:rPr>
              <w:t>Direct Sales Customers</w:t>
            </w:r>
            <w:r>
              <w:rPr>
                <w:rFonts w:ascii="Arial" w:cs="Arial" w:eastAsia="Arial" w:hAnsi="Arial"/>
                <w:sz w:val="21"/>
                <w:szCs w:val="21"/>
                <w:color w:val="auto"/>
                <w:vertAlign w:val="superscript"/>
              </w:rPr>
              <w:t>(a)</w:t>
            </w:r>
          </w:p>
        </w:tc>
        <w:tc>
          <w:tcPr>
            <w:tcW w:w="920" w:type="dxa"/>
            <w:vAlign w:val="bottom"/>
          </w:tcPr>
          <w:p>
            <w:pPr>
              <w:jc w:val="right"/>
              <w:spacing w:after="0"/>
              <w:rPr>
                <w:sz w:val="20"/>
                <w:szCs w:val="20"/>
                <w:color w:val="auto"/>
              </w:rPr>
            </w:pPr>
            <w:r>
              <w:rPr>
                <w:rFonts w:ascii="Arial" w:cs="Arial" w:eastAsia="Arial" w:hAnsi="Arial"/>
                <w:sz w:val="16"/>
                <w:szCs w:val="16"/>
                <w:color w:val="auto"/>
              </w:rPr>
              <w:t>1,600+</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1,700+</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1,750+</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1,800+</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1,850+</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1,900+</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2,200+</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2,500+</w:t>
            </w:r>
          </w:p>
        </w:tc>
      </w:tr>
      <w:tr>
        <w:trPr>
          <w:trHeight w:val="250"/>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MongoDB Atlas Customers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5,300+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6,200+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11,400+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12,300+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13,200+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14,200+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15,400+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16,800+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18,800+</w:t>
            </w:r>
          </w:p>
        </w:tc>
      </w:tr>
      <w:tr>
        <w:trPr>
          <w:trHeight w:val="298"/>
        </w:trPr>
        <w:tc>
          <w:tcPr>
            <w:tcW w:w="2240" w:type="dxa"/>
            <w:vAlign w:val="bottom"/>
          </w:tcPr>
          <w:p>
            <w:pPr>
              <w:ind w:left="20"/>
              <w:spacing w:after="0"/>
              <w:rPr>
                <w:sz w:val="20"/>
                <w:szCs w:val="20"/>
                <w:color w:val="auto"/>
              </w:rPr>
            </w:pPr>
            <w:r>
              <w:rPr>
                <w:rFonts w:ascii="Arial" w:cs="Arial" w:eastAsia="Arial" w:hAnsi="Arial"/>
                <w:sz w:val="16"/>
                <w:szCs w:val="16"/>
                <w:color w:val="auto"/>
              </w:rPr>
              <w:t>Customers over $100K</w:t>
            </w:r>
            <w:r>
              <w:rPr>
                <w:rFonts w:ascii="Arial" w:cs="Arial" w:eastAsia="Arial" w:hAnsi="Arial"/>
                <w:sz w:val="21"/>
                <w:szCs w:val="21"/>
                <w:color w:val="auto"/>
                <w:vertAlign w:val="superscript"/>
              </w:rPr>
              <w:t>(b)</w:t>
            </w:r>
          </w:p>
        </w:tc>
        <w:tc>
          <w:tcPr>
            <w:tcW w:w="920" w:type="dxa"/>
            <w:vAlign w:val="bottom"/>
          </w:tcPr>
          <w:p>
            <w:pPr>
              <w:jc w:val="right"/>
              <w:spacing w:after="0"/>
              <w:rPr>
                <w:sz w:val="20"/>
                <w:szCs w:val="20"/>
                <w:color w:val="auto"/>
              </w:rPr>
            </w:pPr>
            <w:r>
              <w:rPr>
                <w:rFonts w:ascii="Arial" w:cs="Arial" w:eastAsia="Arial" w:hAnsi="Arial"/>
                <w:sz w:val="16"/>
                <w:szCs w:val="16"/>
                <w:color w:val="auto"/>
              </w:rPr>
              <w:t>438</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557</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598</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622</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688</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751</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780</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819</w:t>
            </w:r>
          </w:p>
        </w:tc>
      </w:tr>
    </w:tbl>
    <w:p>
      <w:pPr>
        <w:spacing w:after="0" w:line="16"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Direct Sales Customers are customers that were sold through our direct sales force and channel partners.</w:t>
      </w:r>
    </w:p>
    <w:p>
      <w:pPr>
        <w:spacing w:after="0" w:line="59" w:lineRule="exact"/>
        <w:rPr>
          <w:rFonts w:ascii="Arial" w:cs="Arial" w:eastAsia="Arial" w:hAnsi="Arial"/>
          <w:sz w:val="16"/>
          <w:szCs w:val="16"/>
          <w:color w:val="auto"/>
        </w:rPr>
      </w:pPr>
    </w:p>
    <w:p>
      <w:pPr>
        <w:ind w:firstLine="8"/>
        <w:spacing w:after="0" w:line="270" w:lineRule="auto"/>
        <w:tabs>
          <w:tab w:leader="none" w:pos="229" w:val="left"/>
        </w:tabs>
        <w:numPr>
          <w:ilvl w:val="0"/>
          <w:numId w:val="7"/>
        </w:numPr>
        <w:rPr>
          <w:rFonts w:ascii="Arial" w:cs="Arial" w:eastAsia="Arial" w:hAnsi="Arial"/>
          <w:sz w:val="15"/>
          <w:szCs w:val="15"/>
          <w:color w:val="auto"/>
        </w:rPr>
      </w:pPr>
      <w:r>
        <w:rPr>
          <w:rFonts w:ascii="Arial" w:cs="Arial" w:eastAsia="Arial" w:hAnsi="Arial"/>
          <w:sz w:val="15"/>
          <w:szCs w:val="15"/>
          <w:color w:val="auto"/>
        </w:rPr>
        <w:t>Represents the number of customers with $100,000 or greater in annualized recurring revenue (“ARR”) and annualized monthly recurring revenue (“MRR”). ARR includes the revenue we expect to receive from our customers over the following 12 months based on contractual commitments and, in the case of Direct Sales Customers of MongoDB Atlas, by annualizing the prior 90 days of their actual consumption of MongoDB Atlas, assuming no increases or reductions in their subscriptions or usage. For all other customers of our self-serve products, we calculate annualized MRR by annualizing the prior 30 days of their actual consumption of such products, assuming no increases or reductions in usage. ARR and annualized MRR exclude professional services. Prior to January 31, 2020, ARR from Direct Sales Customers of MongoDB Atlas was based on their contractual commitments, regardless of their actual consumption. We believe that our new consumption-based ARR calculation better reflects actual customer behavior. The impact of this change on prior reported periods is immaterial.</w:t>
      </w:r>
    </w:p>
    <w:p>
      <w:pPr>
        <w:spacing w:after="0" w:line="338"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337" w:right="359" w:bottom="1440" w:gutter="0" w:footer="0" w:header="0"/>
        </w:sectPr>
      </w:pPr>
    </w:p>
    <w:bookmarkStart w:id="13" w:name="page14"/>
    <w:bookmarkEnd w:id="13"/>
    <w:p>
      <w:pPr>
        <w:jc w:val="center"/>
        <w:ind w:left="480"/>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SUPPLEMENTAL REVENUE INFORMATION</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certain supplemental revenue information as of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383540</wp:posOffset>
            </wp:positionV>
            <wp:extent cx="5812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121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20" w:type="dxa"/>
            <w:vAlign w:val="bottom"/>
          </w:tcPr>
          <w:p>
            <w:pPr>
              <w:spacing w:after="0"/>
              <w:rPr>
                <w:sz w:val="14"/>
                <w:szCs w:val="14"/>
                <w:color w:val="auto"/>
              </w:rPr>
            </w:pPr>
          </w:p>
        </w:tc>
        <w:tc>
          <w:tcPr>
            <w:tcW w:w="920" w:type="dxa"/>
            <w:vAlign w:val="bottom"/>
          </w:tcPr>
          <w:p>
            <w:pPr>
              <w:jc w:val="right"/>
              <w:ind w:right="119"/>
              <w:spacing w:after="0"/>
              <w:rPr>
                <w:sz w:val="20"/>
                <w:szCs w:val="20"/>
                <w:color w:val="auto"/>
              </w:rPr>
            </w:pPr>
            <w:r>
              <w:rPr>
                <w:rFonts w:ascii="Arial" w:cs="Arial" w:eastAsia="Arial" w:hAnsi="Arial"/>
                <w:sz w:val="13"/>
                <w:szCs w:val="13"/>
                <w:b w:val="1"/>
                <w:bCs w:val="1"/>
                <w:color w:val="auto"/>
              </w:rPr>
              <w:t>7/31/2018</w:t>
            </w:r>
          </w:p>
        </w:tc>
        <w:tc>
          <w:tcPr>
            <w:tcW w:w="100" w:type="dxa"/>
            <w:vAlign w:val="bottom"/>
          </w:tcPr>
          <w:p>
            <w:pPr>
              <w:spacing w:after="0"/>
              <w:rPr>
                <w:sz w:val="14"/>
                <w:szCs w:val="14"/>
                <w:color w:val="auto"/>
              </w:rPr>
            </w:pPr>
          </w:p>
        </w:tc>
        <w:tc>
          <w:tcPr>
            <w:tcW w:w="940" w:type="dxa"/>
            <w:vAlign w:val="bottom"/>
          </w:tcPr>
          <w:p>
            <w:pPr>
              <w:jc w:val="right"/>
              <w:ind w:right="99"/>
              <w:spacing w:after="0"/>
              <w:rPr>
                <w:sz w:val="20"/>
                <w:szCs w:val="20"/>
                <w:color w:val="auto"/>
              </w:rPr>
            </w:pPr>
            <w:r>
              <w:rPr>
                <w:rFonts w:ascii="Arial" w:cs="Arial" w:eastAsia="Arial" w:hAnsi="Arial"/>
                <w:sz w:val="13"/>
                <w:szCs w:val="13"/>
                <w:b w:val="1"/>
                <w:bCs w:val="1"/>
                <w:color w:val="auto"/>
              </w:rPr>
              <w:t>10/31/2018</w:t>
            </w:r>
          </w:p>
        </w:tc>
        <w:tc>
          <w:tcPr>
            <w:tcW w:w="100" w:type="dxa"/>
            <w:vAlign w:val="bottom"/>
          </w:tcPr>
          <w:p>
            <w:pPr>
              <w:spacing w:after="0"/>
              <w:rPr>
                <w:sz w:val="14"/>
                <w:szCs w:val="14"/>
                <w:color w:val="auto"/>
              </w:rPr>
            </w:pPr>
          </w:p>
        </w:tc>
        <w:tc>
          <w:tcPr>
            <w:tcW w:w="920" w:type="dxa"/>
            <w:vAlign w:val="bottom"/>
          </w:tcPr>
          <w:p>
            <w:pPr>
              <w:jc w:val="right"/>
              <w:ind w:right="119"/>
              <w:spacing w:after="0"/>
              <w:rPr>
                <w:sz w:val="20"/>
                <w:szCs w:val="20"/>
                <w:color w:val="auto"/>
              </w:rPr>
            </w:pPr>
            <w:r>
              <w:rPr>
                <w:rFonts w:ascii="Arial" w:cs="Arial" w:eastAsia="Arial" w:hAnsi="Arial"/>
                <w:sz w:val="13"/>
                <w:szCs w:val="13"/>
                <w:b w:val="1"/>
                <w:bCs w:val="1"/>
                <w:color w:val="auto"/>
              </w:rPr>
              <w:t>1/31/2019</w:t>
            </w:r>
          </w:p>
        </w:tc>
        <w:tc>
          <w:tcPr>
            <w:tcW w:w="120" w:type="dxa"/>
            <w:vAlign w:val="bottom"/>
          </w:tcPr>
          <w:p>
            <w:pPr>
              <w:spacing w:after="0"/>
              <w:rPr>
                <w:sz w:val="14"/>
                <w:szCs w:val="14"/>
                <w:color w:val="auto"/>
              </w:rPr>
            </w:pPr>
          </w:p>
        </w:tc>
        <w:tc>
          <w:tcPr>
            <w:tcW w:w="900" w:type="dxa"/>
            <w:vAlign w:val="bottom"/>
          </w:tcPr>
          <w:p>
            <w:pPr>
              <w:jc w:val="right"/>
              <w:ind w:right="119"/>
              <w:spacing w:after="0"/>
              <w:rPr>
                <w:sz w:val="20"/>
                <w:szCs w:val="20"/>
                <w:color w:val="auto"/>
              </w:rPr>
            </w:pPr>
            <w:r>
              <w:rPr>
                <w:rFonts w:ascii="Arial" w:cs="Arial" w:eastAsia="Arial" w:hAnsi="Arial"/>
                <w:sz w:val="13"/>
                <w:szCs w:val="13"/>
                <w:b w:val="1"/>
                <w:bCs w:val="1"/>
                <w:color w:val="auto"/>
              </w:rPr>
              <w:t>4/30/2019</w:t>
            </w:r>
          </w:p>
        </w:tc>
        <w:tc>
          <w:tcPr>
            <w:tcW w:w="120" w:type="dxa"/>
            <w:vAlign w:val="bottom"/>
          </w:tcPr>
          <w:p>
            <w:pPr>
              <w:spacing w:after="0"/>
              <w:rPr>
                <w:sz w:val="14"/>
                <w:szCs w:val="14"/>
                <w:color w:val="auto"/>
              </w:rPr>
            </w:pPr>
          </w:p>
        </w:tc>
        <w:tc>
          <w:tcPr>
            <w:tcW w:w="920" w:type="dxa"/>
            <w:vAlign w:val="bottom"/>
          </w:tcPr>
          <w:p>
            <w:pPr>
              <w:jc w:val="right"/>
              <w:ind w:right="119"/>
              <w:spacing w:after="0"/>
              <w:rPr>
                <w:sz w:val="20"/>
                <w:szCs w:val="20"/>
                <w:color w:val="auto"/>
              </w:rPr>
            </w:pPr>
            <w:r>
              <w:rPr>
                <w:rFonts w:ascii="Arial" w:cs="Arial" w:eastAsia="Arial" w:hAnsi="Arial"/>
                <w:sz w:val="13"/>
                <w:szCs w:val="13"/>
                <w:b w:val="1"/>
                <w:bCs w:val="1"/>
                <w:color w:val="auto"/>
              </w:rPr>
              <w:t>7/31/2019</w:t>
            </w:r>
          </w:p>
        </w:tc>
        <w:tc>
          <w:tcPr>
            <w:tcW w:w="100" w:type="dxa"/>
            <w:vAlign w:val="bottom"/>
          </w:tcPr>
          <w:p>
            <w:pPr>
              <w:spacing w:after="0"/>
              <w:rPr>
                <w:sz w:val="14"/>
                <w:szCs w:val="14"/>
                <w:color w:val="auto"/>
              </w:rPr>
            </w:pPr>
          </w:p>
        </w:tc>
        <w:tc>
          <w:tcPr>
            <w:tcW w:w="940" w:type="dxa"/>
            <w:vAlign w:val="bottom"/>
          </w:tcPr>
          <w:p>
            <w:pPr>
              <w:jc w:val="right"/>
              <w:ind w:right="99"/>
              <w:spacing w:after="0"/>
              <w:rPr>
                <w:sz w:val="20"/>
                <w:szCs w:val="20"/>
                <w:color w:val="auto"/>
              </w:rPr>
            </w:pPr>
            <w:r>
              <w:rPr>
                <w:rFonts w:ascii="Arial" w:cs="Arial" w:eastAsia="Arial" w:hAnsi="Arial"/>
                <w:sz w:val="13"/>
                <w:szCs w:val="13"/>
                <w:b w:val="1"/>
                <w:bCs w:val="1"/>
                <w:color w:val="auto"/>
              </w:rPr>
              <w:t>10/31/2019</w:t>
            </w:r>
          </w:p>
        </w:tc>
        <w:tc>
          <w:tcPr>
            <w:tcW w:w="100" w:type="dxa"/>
            <w:vAlign w:val="bottom"/>
          </w:tcPr>
          <w:p>
            <w:pPr>
              <w:spacing w:after="0"/>
              <w:rPr>
                <w:sz w:val="14"/>
                <w:szCs w:val="14"/>
                <w:color w:val="auto"/>
              </w:rPr>
            </w:pPr>
          </w:p>
        </w:tc>
        <w:tc>
          <w:tcPr>
            <w:tcW w:w="920" w:type="dxa"/>
            <w:vAlign w:val="bottom"/>
          </w:tcPr>
          <w:p>
            <w:pPr>
              <w:jc w:val="right"/>
              <w:ind w:right="119"/>
              <w:spacing w:after="0"/>
              <w:rPr>
                <w:sz w:val="20"/>
                <w:szCs w:val="20"/>
                <w:color w:val="auto"/>
              </w:rPr>
            </w:pPr>
            <w:r>
              <w:rPr>
                <w:rFonts w:ascii="Arial" w:cs="Arial" w:eastAsia="Arial" w:hAnsi="Arial"/>
                <w:sz w:val="13"/>
                <w:szCs w:val="13"/>
                <w:b w:val="1"/>
                <w:bCs w:val="1"/>
                <w:color w:val="auto"/>
              </w:rPr>
              <w:t>1/31/2020</w:t>
            </w:r>
          </w:p>
        </w:tc>
        <w:tc>
          <w:tcPr>
            <w:tcW w:w="100" w:type="dxa"/>
            <w:vAlign w:val="bottom"/>
          </w:tcPr>
          <w:p>
            <w:pPr>
              <w:spacing w:after="0"/>
              <w:rPr>
                <w:sz w:val="14"/>
                <w:szCs w:val="14"/>
                <w:color w:val="auto"/>
              </w:rPr>
            </w:pPr>
          </w:p>
        </w:tc>
        <w:tc>
          <w:tcPr>
            <w:tcW w:w="920" w:type="dxa"/>
            <w:vAlign w:val="bottom"/>
          </w:tcPr>
          <w:p>
            <w:pPr>
              <w:jc w:val="right"/>
              <w:ind w:right="119"/>
              <w:spacing w:after="0"/>
              <w:rPr>
                <w:sz w:val="20"/>
                <w:szCs w:val="20"/>
                <w:color w:val="auto"/>
              </w:rPr>
            </w:pPr>
            <w:r>
              <w:rPr>
                <w:rFonts w:ascii="Arial" w:cs="Arial" w:eastAsia="Arial" w:hAnsi="Arial"/>
                <w:sz w:val="13"/>
                <w:szCs w:val="13"/>
                <w:b w:val="1"/>
                <w:bCs w:val="1"/>
                <w:color w:val="auto"/>
              </w:rPr>
              <w:t>4/30/2020</w:t>
            </w:r>
          </w:p>
        </w:tc>
        <w:tc>
          <w:tcPr>
            <w:tcW w:w="120" w:type="dxa"/>
            <w:vAlign w:val="bottom"/>
          </w:tcPr>
          <w:p>
            <w:pPr>
              <w:spacing w:after="0"/>
              <w:rPr>
                <w:sz w:val="14"/>
                <w:szCs w:val="14"/>
                <w:color w:val="auto"/>
              </w:rPr>
            </w:pPr>
          </w:p>
        </w:tc>
        <w:tc>
          <w:tcPr>
            <w:tcW w:w="920" w:type="dxa"/>
            <w:vAlign w:val="bottom"/>
          </w:tcPr>
          <w:p>
            <w:pPr>
              <w:jc w:val="right"/>
              <w:ind w:right="139"/>
              <w:spacing w:after="0"/>
              <w:rPr>
                <w:sz w:val="20"/>
                <w:szCs w:val="20"/>
                <w:color w:val="auto"/>
              </w:rPr>
            </w:pPr>
            <w:r>
              <w:rPr>
                <w:rFonts w:ascii="Arial" w:cs="Arial" w:eastAsia="Arial" w:hAnsi="Arial"/>
                <w:sz w:val="13"/>
                <w:szCs w:val="13"/>
                <w:b w:val="1"/>
                <w:bCs w:val="1"/>
                <w:color w:val="auto"/>
              </w:rPr>
              <w:t>7/31/2020</w:t>
            </w:r>
          </w:p>
        </w:tc>
        <w:tc>
          <w:tcPr>
            <w:tcW w:w="0" w:type="dxa"/>
            <w:vAlign w:val="bottom"/>
          </w:tcPr>
          <w:p>
            <w:pPr>
              <w:spacing w:after="0"/>
              <w:rPr>
                <w:sz w:val="1"/>
                <w:szCs w:val="1"/>
                <w:color w:val="auto"/>
              </w:rPr>
            </w:pPr>
          </w:p>
        </w:tc>
      </w:tr>
      <w:tr>
        <w:trPr>
          <w:trHeight w:val="29"/>
        </w:trPr>
        <w:tc>
          <w:tcPr>
            <w:tcW w:w="20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MongoDB Enterprise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Advanced: % of</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7"/>
        </w:trPr>
        <w:tc>
          <w:tcPr>
            <w:tcW w:w="2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Subscription Revenue</w:t>
            </w: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20" w:type="dxa"/>
            <w:vAlign w:val="bottom"/>
          </w:tcPr>
          <w:p>
            <w:pPr>
              <w:ind w:left="20"/>
              <w:spacing w:after="0" w:line="228" w:lineRule="exact"/>
              <w:rPr>
                <w:sz w:val="20"/>
                <w:szCs w:val="20"/>
                <w:color w:val="auto"/>
              </w:rPr>
            </w:pPr>
            <w:r>
              <w:rPr>
                <w:rFonts w:ascii="Arial" w:cs="Arial" w:eastAsia="Arial" w:hAnsi="Arial"/>
                <w:sz w:val="18"/>
                <w:szCs w:val="18"/>
                <w:color w:val="auto"/>
                <w:w w:val="94"/>
              </w:rPr>
              <w:t>Direct Sales Customers</w:t>
            </w:r>
            <w:r>
              <w:rPr>
                <w:rFonts w:ascii="Arial" w:cs="Arial" w:eastAsia="Arial" w:hAnsi="Arial"/>
                <w:sz w:val="25"/>
                <w:szCs w:val="25"/>
                <w:color w:val="auto"/>
                <w:w w:val="94"/>
                <w:vertAlign w:val="superscript"/>
              </w:rPr>
              <w:t>(a)</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20" w:type="dxa"/>
            <w:vAlign w:val="bottom"/>
          </w:tcPr>
          <w:p>
            <w:pPr>
              <w:ind w:left="60"/>
              <w:spacing w:after="0"/>
              <w:rPr>
                <w:sz w:val="20"/>
                <w:szCs w:val="20"/>
                <w:color w:val="auto"/>
              </w:rPr>
            </w:pPr>
            <w:r>
              <w:rPr>
                <w:rFonts w:ascii="Arial" w:cs="Arial" w:eastAsia="Arial" w:hAnsi="Arial"/>
                <w:sz w:val="18"/>
                <w:szCs w:val="18"/>
                <w:color w:val="auto"/>
              </w:rPr>
              <w:t>Revenue: % of</w:t>
            </w: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20" w:type="dxa"/>
            <w:vAlign w:val="bottom"/>
          </w:tcPr>
          <w:p>
            <w:pPr>
              <w:ind w:left="220"/>
              <w:spacing w:after="0"/>
              <w:rPr>
                <w:sz w:val="20"/>
                <w:szCs w:val="20"/>
                <w:color w:val="auto"/>
              </w:rPr>
            </w:pPr>
            <w:r>
              <w:rPr>
                <w:rFonts w:ascii="Arial" w:cs="Arial" w:eastAsia="Arial" w:hAnsi="Arial"/>
                <w:sz w:val="18"/>
                <w:szCs w:val="18"/>
                <w:color w:val="auto"/>
              </w:rPr>
              <w:t>Subscription Revenue</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20" w:hanging="212"/>
        <w:spacing w:after="0"/>
        <w:tabs>
          <w:tab w:leader="none" w:pos="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Direct Sales Customers are customers that were sold through our direct sales force and channel partners.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ind w:left="5780"/>
        <w:spacing w:after="0"/>
        <w:rPr>
          <w:rFonts w:ascii="Arial" w:cs="Arial" w:eastAsia="Arial" w:hAnsi="Arial"/>
          <w:sz w:val="16"/>
          <w:szCs w:val="16"/>
          <w:color w:val="auto"/>
        </w:rPr>
      </w:pPr>
      <w:r>
        <w:rPr>
          <w:rFonts w:ascii="Arial" w:cs="Arial" w:eastAsia="Arial" w:hAnsi="Arial"/>
          <w:sz w:val="18"/>
          <w:szCs w:val="18"/>
          <w:color w:val="auto"/>
        </w:rPr>
        <w:t>11</w:t>
      </w:r>
    </w:p>
    <w:sectPr>
      <w:pgSz w:w="11900" w:h="16838" w:orient="portrait"/>
      <w:cols w:equalWidth="0" w:num="1">
        <w:col w:w="11180"/>
      </w:cols>
      <w:pgMar w:left="320" w:top="337"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2020-09-02T15:29:28Z</dcterms:created>
  <dcterms:modified xsi:type="dcterms:W3CDTF">2020-09-02T15:29:28Z</dcterms:modified>
</cp:coreProperties>
</file>