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602615</wp:posOffset>
            </wp:positionH>
            <wp:positionV relativeFrom="page">
              <wp:posOffset>603250</wp:posOffset>
            </wp:positionV>
            <wp:extent cx="66522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page">
              <wp:posOffset>602615</wp:posOffset>
            </wp:positionH>
            <wp:positionV relativeFrom="page">
              <wp:posOffset>629285</wp:posOffset>
            </wp:positionV>
            <wp:extent cx="6652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2260" cy="8255"/>
                    </a:xfrm>
                    <a:prstGeom prst="rect">
                      <a:avLst/>
                    </a:prstGeom>
                    <a:noFill/>
                  </pic:spPr>
                </pic:pic>
              </a:graphicData>
            </a:graphic>
          </wp:anchor>
        </w:drawing>
        <w:t>UNITED STATES</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49"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9"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70" w:lineRule="exact"/>
        <w:rPr>
          <w:rFonts w:ascii="MS PGothic" w:cs="MS PGothic" w:eastAsia="MS PGothic" w:hAnsi="MS PGothic"/>
          <w:sz w:val="22"/>
          <w:szCs w:val="22"/>
          <w:color w:val="auto"/>
        </w:rPr>
      </w:pPr>
    </w:p>
    <w:p>
      <w:pPr>
        <w:ind w:left="388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April 30, 2023</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8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5"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-12700</wp:posOffset>
            </wp:positionV>
            <wp:extent cx="609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8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001-38240</w:t>
      </w:r>
    </w:p>
    <w:p>
      <w:pPr>
        <w:spacing w:after="0" w:line="63"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MONGODB, INC.</w:t>
      </w: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151" w:lineRule="exact"/>
        <w:rPr>
          <w:sz w:val="24"/>
          <w:szCs w:val="24"/>
          <w:color w:val="auto"/>
        </w:rPr>
      </w:pPr>
    </w:p>
    <w:tbl>
      <w:tblPr>
        <w:tblLayout w:type="fixed"/>
        <w:tblInd w:w="2100" w:type="dxa"/>
        <w:tblCellMar>
          <w:top w:w="0" w:type="dxa"/>
          <w:left w:w="0" w:type="dxa"/>
          <w:bottom w:w="0" w:type="dxa"/>
          <w:right w:w="0" w:type="dxa"/>
        </w:tblCellMar>
      </w:tblPr>
      <w:tr>
        <w:trPr>
          <w:trHeight w:val="225"/>
        </w:trPr>
        <w:tc>
          <w:tcPr>
            <w:tcW w:w="3860" w:type="dxa"/>
            <w:vAlign w:val="bottom"/>
          </w:tcPr>
          <w:p>
            <w:pPr>
              <w:jc w:val="center"/>
              <w:ind w:right="1339"/>
              <w:spacing w:after="0"/>
              <w:rPr>
                <w:sz w:val="20"/>
                <w:szCs w:val="20"/>
                <w:color w:val="auto"/>
              </w:rPr>
            </w:pPr>
            <w:r>
              <w:rPr>
                <w:rFonts w:ascii="Arial" w:cs="Arial" w:eastAsia="Arial" w:hAnsi="Arial"/>
                <w:sz w:val="18"/>
                <w:szCs w:val="18"/>
                <w:b w:val="1"/>
                <w:bCs w:val="1"/>
                <w:color w:val="auto"/>
                <w:w w:val="91"/>
              </w:rPr>
              <w:t>Delaware</w:t>
            </w:r>
          </w:p>
        </w:tc>
        <w:tc>
          <w:tcPr>
            <w:tcW w:w="2580" w:type="dxa"/>
            <w:vAlign w:val="bottom"/>
          </w:tcPr>
          <w:p>
            <w:pPr>
              <w:jc w:val="right"/>
              <w:ind w:right="61"/>
              <w:spacing w:after="0"/>
              <w:rPr>
                <w:sz w:val="20"/>
                <w:szCs w:val="20"/>
                <w:color w:val="auto"/>
              </w:rPr>
            </w:pPr>
            <w:r>
              <w:rPr>
                <w:rFonts w:ascii="Arial" w:cs="Arial" w:eastAsia="Arial" w:hAnsi="Arial"/>
                <w:sz w:val="18"/>
                <w:szCs w:val="18"/>
                <w:b w:val="1"/>
                <w:bCs w:val="1"/>
                <w:color w:val="auto"/>
              </w:rPr>
              <w:t>26-1463205</w:t>
            </w:r>
          </w:p>
        </w:tc>
      </w:tr>
      <w:tr>
        <w:trPr>
          <w:trHeight w:val="148"/>
        </w:trPr>
        <w:tc>
          <w:tcPr>
            <w:tcW w:w="3860" w:type="dxa"/>
            <w:vAlign w:val="bottom"/>
          </w:tcPr>
          <w:p>
            <w:pPr>
              <w:jc w:val="center"/>
              <w:ind w:right="13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580" w:type="dxa"/>
            <w:vAlign w:val="bottom"/>
          </w:tcPr>
          <w:p>
            <w:pPr>
              <w:jc w:val="center"/>
              <w:ind w:left="13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60" w:type="dxa"/>
            <w:vAlign w:val="bottom"/>
          </w:tcPr>
          <w:p>
            <w:pPr>
              <w:jc w:val="center"/>
              <w:ind w:right="1339"/>
              <w:spacing w:after="0"/>
              <w:rPr>
                <w:sz w:val="20"/>
                <w:szCs w:val="20"/>
                <w:color w:val="auto"/>
              </w:rPr>
            </w:pPr>
            <w:r>
              <w:rPr>
                <w:rFonts w:ascii="Arial" w:cs="Arial" w:eastAsia="Arial" w:hAnsi="Arial"/>
                <w:sz w:val="14"/>
                <w:szCs w:val="14"/>
                <w:b w:val="1"/>
                <w:bCs w:val="1"/>
                <w:color w:val="auto"/>
                <w:w w:val="94"/>
              </w:rPr>
              <w:t>incorporation or organization)</w:t>
            </w:r>
          </w:p>
        </w:tc>
        <w:tc>
          <w:tcPr>
            <w:tcW w:w="2580" w:type="dxa"/>
            <w:vAlign w:val="bottom"/>
          </w:tcPr>
          <w:p>
            <w:pPr>
              <w:jc w:val="center"/>
              <w:ind w:left="1381"/>
              <w:spacing w:after="0"/>
              <w:rPr>
                <w:sz w:val="20"/>
                <w:szCs w:val="20"/>
                <w:color w:val="auto"/>
              </w:rPr>
            </w:pPr>
            <w:r>
              <w:rPr>
                <w:rFonts w:ascii="Arial" w:cs="Arial" w:eastAsia="Arial" w:hAnsi="Arial"/>
                <w:sz w:val="14"/>
                <w:szCs w:val="14"/>
                <w:b w:val="1"/>
                <w:bCs w:val="1"/>
                <w:color w:val="auto"/>
                <w:w w:val="94"/>
              </w:rPr>
              <w:t>Identification No.)</w:t>
            </w:r>
          </w:p>
        </w:tc>
      </w:tr>
      <w:tr>
        <w:trPr>
          <w:trHeight w:val="296"/>
        </w:trPr>
        <w:tc>
          <w:tcPr>
            <w:tcW w:w="3860" w:type="dxa"/>
            <w:vAlign w:val="bottom"/>
          </w:tcPr>
          <w:p>
            <w:pPr>
              <w:spacing w:after="0"/>
              <w:rPr>
                <w:sz w:val="20"/>
                <w:szCs w:val="20"/>
                <w:color w:val="auto"/>
              </w:rPr>
            </w:pPr>
            <w:r>
              <w:rPr>
                <w:rFonts w:ascii="Arial" w:cs="Arial" w:eastAsia="Arial" w:hAnsi="Arial"/>
                <w:sz w:val="18"/>
                <w:szCs w:val="18"/>
                <w:b w:val="1"/>
                <w:bCs w:val="1"/>
                <w:color w:val="auto"/>
              </w:rPr>
              <w:t>1633 Broadway, 38th Floor</w:t>
            </w:r>
          </w:p>
        </w:tc>
        <w:tc>
          <w:tcPr>
            <w:tcW w:w="2580" w:type="dxa"/>
            <w:vAlign w:val="bottom"/>
          </w:tcPr>
          <w:p>
            <w:pPr>
              <w:spacing w:after="0"/>
              <w:rPr>
                <w:sz w:val="24"/>
                <w:szCs w:val="24"/>
                <w:color w:val="auto"/>
              </w:rPr>
            </w:pPr>
          </w:p>
        </w:tc>
      </w:tr>
      <w:tr>
        <w:trPr>
          <w:trHeight w:val="288"/>
        </w:trPr>
        <w:tc>
          <w:tcPr>
            <w:tcW w:w="3860" w:type="dxa"/>
            <w:vAlign w:val="bottom"/>
          </w:tcPr>
          <w:p>
            <w:pPr>
              <w:ind w:left="420"/>
              <w:spacing w:after="0"/>
              <w:rPr>
                <w:sz w:val="20"/>
                <w:szCs w:val="20"/>
                <w:color w:val="auto"/>
              </w:rPr>
            </w:pPr>
            <w:r>
              <w:rPr>
                <w:rFonts w:ascii="Arial" w:cs="Arial" w:eastAsia="Arial" w:hAnsi="Arial"/>
                <w:sz w:val="18"/>
                <w:szCs w:val="18"/>
                <w:b w:val="1"/>
                <w:bCs w:val="1"/>
                <w:color w:val="auto"/>
              </w:rPr>
              <w:t>New York, NY</w:t>
            </w:r>
          </w:p>
        </w:tc>
        <w:tc>
          <w:tcPr>
            <w:tcW w:w="258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10019</w:t>
            </w:r>
          </w:p>
        </w:tc>
      </w:tr>
      <w:tr>
        <w:trPr>
          <w:trHeight w:val="186"/>
        </w:trPr>
        <w:tc>
          <w:tcPr>
            <w:tcW w:w="3860" w:type="dxa"/>
            <w:vAlign w:val="bottom"/>
          </w:tcPr>
          <w:p>
            <w:pPr>
              <w:jc w:val="center"/>
              <w:ind w:right="13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80" w:type="dxa"/>
            <w:vAlign w:val="bottom"/>
          </w:tcPr>
          <w:p>
            <w:pPr>
              <w:jc w:val="center"/>
              <w:ind w:left="1361"/>
              <w:spacing w:after="0"/>
              <w:rPr>
                <w:sz w:val="20"/>
                <w:szCs w:val="20"/>
                <w:color w:val="auto"/>
              </w:rPr>
            </w:pPr>
            <w:r>
              <w:rPr>
                <w:rFonts w:ascii="Arial" w:cs="Arial" w:eastAsia="Arial" w:hAnsi="Arial"/>
                <w:sz w:val="14"/>
                <w:szCs w:val="14"/>
                <w:b w:val="1"/>
                <w:bCs w:val="1"/>
                <w:color w:val="auto"/>
                <w:w w:val="95"/>
              </w:rPr>
              <w:t>(Zip Code)</w:t>
            </w:r>
          </w:p>
        </w:tc>
      </w:tr>
    </w:tbl>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646-727-4092</w:t>
      </w:r>
    </w:p>
    <w:p>
      <w:pPr>
        <w:spacing w:after="0" w:line="6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6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82"/>
        </w:trPr>
        <w:tc>
          <w:tcPr>
            <w:tcW w:w="3020" w:type="dxa"/>
            <w:vAlign w:val="bottom"/>
          </w:tcPr>
          <w:p>
            <w:pPr>
              <w:jc w:val="center"/>
              <w:spacing w:after="0" w:line="182" w:lineRule="exact"/>
              <w:rPr>
                <w:sz w:val="20"/>
                <w:szCs w:val="20"/>
                <w:color w:val="auto"/>
              </w:rPr>
            </w:pPr>
            <w:r>
              <w:rPr>
                <w:rFonts w:ascii="Arial" w:cs="Arial" w:eastAsia="Arial" w:hAnsi="Arial"/>
                <w:sz w:val="18"/>
                <w:szCs w:val="18"/>
                <w:color w:val="auto"/>
                <w:w w:val="90"/>
              </w:rPr>
              <w:t>Common Stock, par value $0.001 per</w:t>
            </w:r>
          </w:p>
        </w:tc>
        <w:tc>
          <w:tcPr>
            <w:tcW w:w="140" w:type="dxa"/>
            <w:vAlign w:val="bottom"/>
          </w:tcPr>
          <w:p>
            <w:pPr>
              <w:spacing w:after="0"/>
              <w:rPr>
                <w:sz w:val="15"/>
                <w:szCs w:val="15"/>
                <w:color w:val="auto"/>
              </w:rPr>
            </w:pPr>
          </w:p>
        </w:tc>
        <w:tc>
          <w:tcPr>
            <w:tcW w:w="3020" w:type="dxa"/>
            <w:vAlign w:val="bottom"/>
          </w:tcPr>
          <w:p>
            <w:pPr>
              <w:jc w:val="center"/>
              <w:spacing w:after="0" w:line="182" w:lineRule="exact"/>
              <w:rPr>
                <w:sz w:val="20"/>
                <w:szCs w:val="20"/>
                <w:color w:val="auto"/>
              </w:rPr>
            </w:pPr>
            <w:r>
              <w:rPr>
                <w:rFonts w:ascii="Arial" w:cs="Arial" w:eastAsia="Arial" w:hAnsi="Arial"/>
                <w:sz w:val="18"/>
                <w:szCs w:val="18"/>
                <w:color w:val="auto"/>
                <w:w w:val="99"/>
              </w:rPr>
              <w:t>MDB</w:t>
            </w:r>
          </w:p>
        </w:tc>
        <w:tc>
          <w:tcPr>
            <w:tcW w:w="160" w:type="dxa"/>
            <w:vAlign w:val="bottom"/>
          </w:tcPr>
          <w:p>
            <w:pPr>
              <w:spacing w:after="0"/>
              <w:rPr>
                <w:sz w:val="15"/>
                <w:szCs w:val="15"/>
                <w:color w:val="auto"/>
              </w:rPr>
            </w:pPr>
          </w:p>
        </w:tc>
        <w:tc>
          <w:tcPr>
            <w:tcW w:w="3380" w:type="dxa"/>
            <w:vAlign w:val="bottom"/>
          </w:tcPr>
          <w:p>
            <w:pPr>
              <w:jc w:val="center"/>
              <w:spacing w:after="0" w:line="182" w:lineRule="exact"/>
              <w:rPr>
                <w:sz w:val="20"/>
                <w:szCs w:val="20"/>
                <w:color w:val="auto"/>
              </w:rPr>
            </w:pPr>
            <w:r>
              <w:rPr>
                <w:rFonts w:ascii="Arial" w:cs="Arial" w:eastAsia="Arial" w:hAnsi="Arial"/>
                <w:sz w:val="18"/>
                <w:szCs w:val="18"/>
                <w:color w:val="auto"/>
                <w:w w:val="91"/>
              </w:rPr>
              <w:t>The Nasdaq Stock Market LLC</w:t>
            </w:r>
          </w:p>
        </w:tc>
      </w:tr>
      <w:tr>
        <w:trPr>
          <w:trHeight w:val="284"/>
        </w:trPr>
        <w:tc>
          <w:tcPr>
            <w:tcW w:w="302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31" w:lineRule="exact"/>
        <w:rPr>
          <w:sz w:val="24"/>
          <w:szCs w:val="24"/>
          <w:color w:val="auto"/>
        </w:rPr>
      </w:pPr>
    </w:p>
    <w:p>
      <w:pPr>
        <w:ind w:firstLine="446"/>
        <w:spacing w:after="0" w:line="29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242" w:lineRule="exact"/>
        <w:rPr>
          <w:sz w:val="20"/>
          <w:szCs w:val="20"/>
          <w:color w:val="auto"/>
        </w:rPr>
      </w:pPr>
      <w:r>
        <w:rPr>
          <w:rFonts w:ascii="Arial" w:cs="Arial" w:eastAsia="Arial" w:hAnsi="Arial"/>
          <w:sz w:val="17"/>
          <w:szCs w:val="17"/>
          <w:color w:val="auto"/>
        </w:rPr>
        <w:t xml:space="preserve">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21"/>
          <w:szCs w:val="21"/>
          <w:color w:val="auto"/>
        </w:rPr>
        <w:t>☐</w:t>
      </w:r>
    </w:p>
    <w:p>
      <w:pPr>
        <w:spacing w:after="0" w:line="63" w:lineRule="exact"/>
        <w:rPr>
          <w:sz w:val="24"/>
          <w:szCs w:val="24"/>
          <w:color w:val="auto"/>
        </w:rPr>
      </w:pPr>
    </w:p>
    <w:p>
      <w:pPr>
        <w:ind w:right="20" w:firstLine="446"/>
        <w:spacing w:after="0" w:line="24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ind w:right="220" w:firstLine="446"/>
        <w:spacing w:after="0" w:line="25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480" w:type="dxa"/>
        <w:tblCellMar>
          <w:top w:w="0" w:type="dxa"/>
          <w:left w:w="0" w:type="dxa"/>
          <w:bottom w:w="0" w:type="dxa"/>
          <w:right w:w="0" w:type="dxa"/>
        </w:tblCellMar>
      </w:tblPr>
      <w:tr>
        <w:trPr>
          <w:trHeight w:val="228"/>
        </w:trPr>
        <w:tc>
          <w:tcPr>
            <w:tcW w:w="20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9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2280"/>
              <w:spacing w:after="0"/>
              <w:rPr>
                <w:sz w:val="20"/>
                <w:szCs w:val="20"/>
                <w:color w:val="auto"/>
              </w:rPr>
            </w:pPr>
            <w:r>
              <w:rPr>
                <w:rFonts w:ascii="Arial" w:cs="Arial" w:eastAsia="Arial" w:hAnsi="Arial"/>
                <w:sz w:val="17"/>
                <w:szCs w:val="17"/>
                <w:color w:val="auto"/>
              </w:rPr>
              <w:t>Accelerated filer</w:t>
            </w:r>
          </w:p>
        </w:tc>
        <w:tc>
          <w:tcPr>
            <w:tcW w:w="54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30"/>
        </w:trPr>
        <w:tc>
          <w:tcPr>
            <w:tcW w:w="2060" w:type="dxa"/>
            <w:vAlign w:val="bottom"/>
          </w:tcPr>
          <w:p>
            <w:pPr>
              <w:spacing w:after="0"/>
              <w:rPr>
                <w:sz w:val="20"/>
                <w:szCs w:val="20"/>
                <w:color w:val="auto"/>
              </w:rPr>
            </w:pPr>
            <w:r>
              <w:rPr>
                <w:rFonts w:ascii="Arial" w:cs="Arial" w:eastAsia="Arial" w:hAnsi="Arial"/>
                <w:sz w:val="17"/>
                <w:szCs w:val="17"/>
                <w:color w:val="auto"/>
              </w:rPr>
              <w:t>Non-accelerated filer</w:t>
            </w:r>
          </w:p>
        </w:tc>
        <w:tc>
          <w:tcPr>
            <w:tcW w:w="298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4520" w:type="dxa"/>
            <w:vAlign w:val="bottom"/>
          </w:tcPr>
          <w:p>
            <w:pPr>
              <w:ind w:left="2280"/>
              <w:spacing w:after="0"/>
              <w:rPr>
                <w:sz w:val="20"/>
                <w:szCs w:val="20"/>
                <w:color w:val="auto"/>
              </w:rPr>
            </w:pPr>
            <w:r>
              <w:rPr>
                <w:rFonts w:ascii="Arial" w:cs="Arial" w:eastAsia="Arial" w:hAnsi="Arial"/>
                <w:sz w:val="17"/>
                <w:szCs w:val="17"/>
                <w:color w:val="auto"/>
              </w:rPr>
              <w:t>Smaller reporting company</w:t>
            </w:r>
          </w:p>
        </w:tc>
        <w:tc>
          <w:tcPr>
            <w:tcW w:w="54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0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520" w:type="dxa"/>
            <w:vAlign w:val="bottom"/>
          </w:tcPr>
          <w:p>
            <w:pPr>
              <w:ind w:left="2280"/>
              <w:spacing w:after="0"/>
              <w:rPr>
                <w:sz w:val="20"/>
                <w:szCs w:val="20"/>
                <w:color w:val="auto"/>
              </w:rPr>
            </w:pPr>
            <w:r>
              <w:rPr>
                <w:rFonts w:ascii="Arial" w:cs="Arial" w:eastAsia="Arial" w:hAnsi="Arial"/>
                <w:sz w:val="17"/>
                <w:szCs w:val="17"/>
                <w:color w:val="auto"/>
              </w:rPr>
              <w:t>Emerging growth company</w:t>
            </w:r>
          </w:p>
        </w:tc>
        <w:tc>
          <w:tcPr>
            <w:tcW w:w="540" w:type="dxa"/>
            <w:vAlign w:val="bottom"/>
          </w:tcPr>
          <w:p>
            <w:pPr>
              <w:ind w:left="3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07" w:lineRule="exact"/>
        <w:rPr>
          <w:sz w:val="24"/>
          <w:szCs w:val="24"/>
          <w:color w:val="auto"/>
        </w:rPr>
      </w:pPr>
    </w:p>
    <w:p>
      <w:pPr>
        <w:ind w:right="20" w:firstLine="446"/>
        <w:spacing w:after="0" w:line="26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ind w:left="460" w:right="1760"/>
        <w:spacing w:after="0" w:line="26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31, 2023, there were 70,581,376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97790</wp:posOffset>
            </wp:positionV>
            <wp:extent cx="6660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123190</wp:posOffset>
            </wp:positionV>
            <wp:extent cx="66605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0515" cy="8890"/>
                    </a:xfrm>
                    <a:prstGeom prst="rect">
                      <a:avLst/>
                    </a:prstGeom>
                    <a:noFill/>
                  </pic:spPr>
                </pic:pic>
              </a:graphicData>
            </a:graphic>
          </wp:anchor>
        </w:drawing>
      </w:r>
    </w:p>
    <w:p>
      <w:pPr>
        <w:sectPr>
          <w:pgSz w:w="11900" w:h="16838" w:orient="portrait"/>
          <w:cols w:equalWidth="0" w:num="1">
            <w:col w:w="11160"/>
          </w:cols>
          <w:pgMar w:left="320" w:top="1079" w:right="419" w:bottom="1440" w:gutter="0" w:footer="0" w:header="0"/>
        </w:sectPr>
      </w:pPr>
    </w:p>
    <w:bookmarkStart w:id="1" w:name="page2"/>
    <w:bookmarkEnd w:id="1"/>
    <w:p>
      <w:pPr>
        <w:jc w:val="center"/>
        <w:ind w:right="-479"/>
        <w:spacing w:after="0"/>
        <w:rPr>
          <w:sz w:val="20"/>
          <w:szCs w:val="20"/>
          <w:color w:val="auto"/>
        </w:rPr>
      </w:pPr>
      <w:r>
        <w:rPr>
          <w:rFonts w:ascii="Arial" w:cs="Arial" w:eastAsia="Arial" w:hAnsi="Arial"/>
          <w:sz w:val="19"/>
          <w:szCs w:val="19"/>
          <w:b w:val="1"/>
          <w:bCs w:val="1"/>
          <w:color w:val="auto"/>
        </w:rPr>
        <w:t>Table of Contents</w:t>
      </w:r>
    </w:p>
    <w:p>
      <w:pPr>
        <w:sectPr>
          <w:pgSz w:w="11900" w:h="16838" w:orient="portrait"/>
          <w:cols w:equalWidth="0" w:num="1">
            <w:col w:w="10860"/>
          </w:cols>
          <w:pgMar w:left="520" w:top="1098"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Item 2.</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Item 3.</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Item 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1"/>
        <w:spacing w:after="0" w:line="462" w:lineRule="auto"/>
        <w:rPr>
          <w:sz w:val="20"/>
          <w:szCs w:val="20"/>
          <w:color w:val="auto"/>
        </w:rPr>
      </w:pPr>
      <w:r>
        <w:rPr>
          <w:rFonts w:ascii="Arial" w:cs="Arial" w:eastAsia="Arial" w:hAnsi="Arial"/>
          <w:sz w:val="15"/>
          <w:szCs w:val="15"/>
          <w:u w:val="single" w:color="auto"/>
          <w:color w:val="0000FF"/>
        </w:rPr>
        <w:t>Item 1. Item 1A. Item 2. Item 3. Item 4. Item 5. Item 6. 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gridSpan w:val="4"/>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980" w:type="dxa"/>
            <w:vAlign w:val="bottom"/>
            <w:gridSpan w:val="13"/>
            <w:vMerge w:val="restart"/>
          </w:tcPr>
          <w:p>
            <w:pPr>
              <w:jc w:val="center"/>
              <w:ind w:right="2800"/>
              <w:spacing w:after="0"/>
              <w:rPr>
                <w:sz w:val="20"/>
                <w:szCs w:val="20"/>
                <w:color w:val="auto"/>
              </w:rPr>
            </w:pPr>
            <w:r>
              <w:rPr>
                <w:rFonts w:ascii="Arial" w:cs="Arial" w:eastAsia="Arial" w:hAnsi="Arial"/>
                <w:sz w:val="18"/>
                <w:szCs w:val="18"/>
                <w:b w:val="1"/>
                <w:bCs w:val="1"/>
                <w:color w:val="0000FF"/>
              </w:rPr>
              <w:t>PART I. FINANCIAL INFORMATION</w:t>
            </w: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980" w:type="dxa"/>
            <w:vAlign w:val="bottom"/>
            <w:gridSpan w:val="13"/>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5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Financial Statements</w:t>
            </w:r>
          </w:p>
        </w:tc>
        <w:tc>
          <w:tcPr>
            <w:tcW w:w="1380" w:type="dxa"/>
            <w:vAlign w:val="bottom"/>
            <w:gridSpan w:val="3"/>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360" w:type="dxa"/>
            <w:vAlign w:val="bottom"/>
            <w:gridSpan w:val="6"/>
          </w:tcPr>
          <w:p>
            <w:pPr>
              <w:spacing w:after="0"/>
              <w:rPr>
                <w:sz w:val="24"/>
                <w:szCs w:val="24"/>
                <w:color w:val="auto"/>
              </w:rPr>
            </w:pPr>
          </w:p>
        </w:tc>
        <w:tc>
          <w:tcPr>
            <w:tcW w:w="4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9140" w:type="dxa"/>
            <w:vAlign w:val="bottom"/>
            <w:gridSpan w:val="19"/>
          </w:tcPr>
          <w:p>
            <w:pPr>
              <w:spacing w:after="0"/>
              <w:rPr>
                <w:sz w:val="20"/>
                <w:szCs w:val="20"/>
                <w:color w:val="auto"/>
              </w:rPr>
            </w:pPr>
            <w:r>
              <w:rPr>
                <w:rFonts w:ascii="Arial" w:cs="Arial" w:eastAsia="Arial" w:hAnsi="Arial"/>
                <w:sz w:val="18"/>
                <w:szCs w:val="18"/>
                <w:color w:val="0000FF"/>
              </w:rPr>
              <w:t>Unaudited Condensed Consolidated Balance Sheets as of April 30, 2023 and January 31, 2023</w:t>
            </w: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82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Unaudited Condensed Consolidated Statements of Operations for the three months ended April 30, 2023 and 2022</w:t>
            </w:r>
          </w:p>
        </w:tc>
        <w:tc>
          <w:tcPr>
            <w:tcW w:w="920" w:type="dxa"/>
            <w:vAlign w:val="bottom"/>
            <w:gridSpan w:val="3"/>
          </w:tcPr>
          <w:p>
            <w:pPr>
              <w:spacing w:after="0"/>
              <w:rPr>
                <w:sz w:val="20"/>
                <w:szCs w:val="20"/>
                <w:color w:val="auto"/>
              </w:rPr>
            </w:pPr>
          </w:p>
        </w:tc>
        <w:tc>
          <w:tcPr>
            <w:tcW w:w="420" w:type="dxa"/>
            <w:vAlign w:val="bottom"/>
            <w:gridSpan w:val="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9140" w:type="dxa"/>
            <w:vAlign w:val="bottom"/>
            <w:gridSpan w:val="19"/>
          </w:tcPr>
          <w:p>
            <w:pPr>
              <w:spacing w:after="0"/>
              <w:rPr>
                <w:sz w:val="20"/>
                <w:szCs w:val="20"/>
                <w:color w:val="auto"/>
              </w:rPr>
            </w:pPr>
            <w:r>
              <w:rPr>
                <w:rFonts w:ascii="Arial" w:cs="Arial" w:eastAsia="Arial" w:hAnsi="Arial"/>
                <w:sz w:val="18"/>
                <w:szCs w:val="18"/>
                <w:color w:val="0000FF"/>
                <w:w w:val="91"/>
              </w:rPr>
              <w:t>Unaudited Condensed Consolidated Statements of Comprehensive Loss for the three months ended April 30, 2023 and 2022</w:t>
            </w: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894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Unaudited Condensed Consolidated Statements of Stockholders’ Equity</w:t>
            </w:r>
          </w:p>
        </w:tc>
        <w:tc>
          <w:tcPr>
            <w:tcW w:w="20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82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Unaudited Condensed Consolidated Statements of Cash Flows for the three months ended April 30, 2023 and 2022</w:t>
            </w:r>
          </w:p>
        </w:tc>
        <w:tc>
          <w:tcPr>
            <w:tcW w:w="86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914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40" w:type="dxa"/>
            <w:vAlign w:val="bottom"/>
            <w:gridSpan w:val="1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60" w:type="dxa"/>
            <w:vAlign w:val="bottom"/>
            <w:gridSpan w:val="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0"/>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00" w:type="dxa"/>
            <w:vAlign w:val="bottom"/>
            <w:gridSpan w:val="5"/>
          </w:tcPr>
          <w:p>
            <w:pPr>
              <w:spacing w:after="0"/>
              <w:rPr>
                <w:sz w:val="24"/>
                <w:szCs w:val="24"/>
                <w:color w:val="auto"/>
              </w:rPr>
            </w:pPr>
          </w:p>
        </w:tc>
        <w:tc>
          <w:tcPr>
            <w:tcW w:w="2860" w:type="dxa"/>
            <w:vAlign w:val="bottom"/>
            <w:gridSpan w:val="5"/>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0"/>
          </w:tcPr>
          <w:p>
            <w:pPr>
              <w:spacing w:after="0"/>
              <w:rPr>
                <w:sz w:val="20"/>
                <w:szCs w:val="20"/>
                <w:color w:val="auto"/>
              </w:rPr>
            </w:pPr>
            <w:r>
              <w:rPr>
                <w:rFonts w:ascii="Arial" w:cs="Arial" w:eastAsia="Arial" w:hAnsi="Arial"/>
                <w:sz w:val="18"/>
                <w:szCs w:val="18"/>
                <w:color w:val="0000FF"/>
              </w:rPr>
              <w:t>Controls and Procedures</w:t>
            </w:r>
          </w:p>
        </w:tc>
        <w:tc>
          <w:tcPr>
            <w:tcW w:w="4960" w:type="dxa"/>
            <w:vAlign w:val="bottom"/>
            <w:gridSpan w:val="10"/>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gridSpan w:val="11"/>
          </w:tcPr>
          <w:p>
            <w:pPr>
              <w:jc w:val="center"/>
              <w:ind w:right="3520"/>
              <w:spacing w:after="0"/>
              <w:rPr>
                <w:sz w:val="20"/>
                <w:szCs w:val="20"/>
                <w:color w:val="auto"/>
              </w:rPr>
            </w:pPr>
            <w:r>
              <w:rPr>
                <w:rFonts w:ascii="Arial" w:cs="Arial" w:eastAsia="Arial" w:hAnsi="Arial"/>
                <w:sz w:val="18"/>
                <w:szCs w:val="18"/>
                <w:b w:val="1"/>
                <w:bCs w:val="1"/>
                <w:color w:val="0000FF"/>
              </w:rPr>
              <w:t>PART II. OTHER INFORMATION</w:t>
            </w: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020" w:type="dxa"/>
            <w:vAlign w:val="bottom"/>
            <w:gridSpan w:val="9"/>
          </w:tcPr>
          <w:p>
            <w:pPr>
              <w:spacing w:after="0"/>
              <w:rPr>
                <w:sz w:val="20"/>
                <w:szCs w:val="20"/>
                <w:color w:val="auto"/>
              </w:rPr>
            </w:pPr>
            <w:r>
              <w:rPr>
                <w:rFonts w:ascii="Arial" w:cs="Arial" w:eastAsia="Arial" w:hAnsi="Arial"/>
                <w:sz w:val="18"/>
                <w:szCs w:val="18"/>
                <w:color w:val="0000FF"/>
              </w:rPr>
              <w:t>Legal Proceedings</w:t>
            </w:r>
          </w:p>
        </w:tc>
        <w:tc>
          <w:tcPr>
            <w:tcW w:w="2760" w:type="dxa"/>
            <w:vAlign w:val="bottom"/>
            <w:tcBorders>
              <w:top w:val="single" w:sz="8" w:color="0000FF"/>
            </w:tcBorders>
            <w:gridSpan w:val="4"/>
          </w:tcPr>
          <w:p>
            <w:pPr>
              <w:spacing w:after="0"/>
              <w:rPr>
                <w:sz w:val="24"/>
                <w:szCs w:val="24"/>
                <w:color w:val="auto"/>
              </w:rPr>
            </w:pPr>
          </w:p>
        </w:tc>
        <w:tc>
          <w:tcPr>
            <w:tcW w:w="3520" w:type="dxa"/>
            <w:vAlign w:val="bottom"/>
            <w:gridSpan w:val="7"/>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3"/>
          </w:tcPr>
          <w:p>
            <w:pPr>
              <w:spacing w:after="0"/>
              <w:rPr>
                <w:sz w:val="20"/>
                <w:szCs w:val="20"/>
                <w:color w:val="auto"/>
              </w:rPr>
            </w:pPr>
            <w:r>
              <w:rPr>
                <w:rFonts w:ascii="Arial" w:cs="Arial" w:eastAsia="Arial" w:hAnsi="Arial"/>
                <w:sz w:val="18"/>
                <w:szCs w:val="18"/>
                <w:color w:val="0000FF"/>
                <w:w w:val="87"/>
              </w:rPr>
              <w:t>Risk Factors</w:t>
            </w:r>
          </w:p>
        </w:tc>
        <w:tc>
          <w:tcPr>
            <w:tcW w:w="400" w:type="dxa"/>
            <w:vAlign w:val="bottom"/>
          </w:tcPr>
          <w:p>
            <w:pPr>
              <w:spacing w:after="0"/>
              <w:rPr>
                <w:sz w:val="24"/>
                <w:szCs w:val="24"/>
                <w:color w:val="auto"/>
              </w:rPr>
            </w:pPr>
          </w:p>
        </w:tc>
        <w:tc>
          <w:tcPr>
            <w:tcW w:w="8000" w:type="dxa"/>
            <w:vAlign w:val="bottom"/>
            <w:gridSpan w:val="16"/>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340" w:type="dxa"/>
            <w:vAlign w:val="bottom"/>
            <w:gridSpan w:val="10"/>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60" w:type="dxa"/>
            <w:vAlign w:val="bottom"/>
            <w:gridSpan w:val="10"/>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20" w:type="dxa"/>
            <w:vAlign w:val="bottom"/>
            <w:gridSpan w:val="7"/>
          </w:tcPr>
          <w:p>
            <w:pPr>
              <w:spacing w:after="0"/>
              <w:rPr>
                <w:sz w:val="20"/>
                <w:szCs w:val="20"/>
                <w:color w:val="auto"/>
              </w:rPr>
            </w:pPr>
            <w:r>
              <w:rPr>
                <w:rFonts w:ascii="Arial" w:cs="Arial" w:eastAsia="Arial" w:hAnsi="Arial"/>
                <w:sz w:val="18"/>
                <w:szCs w:val="18"/>
                <w:color w:val="0000FF"/>
                <w:w w:val="90"/>
              </w:rPr>
              <w:t>Defaults Upon Senior Securities</w:t>
            </w:r>
          </w:p>
        </w:tc>
        <w:tc>
          <w:tcPr>
            <w:tcW w:w="2020" w:type="dxa"/>
            <w:vAlign w:val="bottom"/>
            <w:gridSpan w:val="3"/>
          </w:tcPr>
          <w:p>
            <w:pPr>
              <w:spacing w:after="0"/>
              <w:rPr>
                <w:sz w:val="24"/>
                <w:szCs w:val="24"/>
                <w:color w:val="auto"/>
              </w:rPr>
            </w:pPr>
          </w:p>
        </w:tc>
        <w:tc>
          <w:tcPr>
            <w:tcW w:w="4960" w:type="dxa"/>
            <w:vAlign w:val="bottom"/>
            <w:gridSpan w:val="10"/>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980" w:type="dxa"/>
            <w:vAlign w:val="bottom"/>
            <w:gridSpan w:val="1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320" w:type="dxa"/>
            <w:vAlign w:val="bottom"/>
            <w:gridSpan w:val="7"/>
          </w:tcPr>
          <w:p>
            <w:pPr>
              <w:spacing w:after="0"/>
              <w:rPr>
                <w:sz w:val="20"/>
                <w:szCs w:val="20"/>
                <w:color w:val="auto"/>
              </w:rPr>
            </w:pPr>
            <w:r>
              <w:rPr>
                <w:rFonts w:ascii="Arial" w:cs="Arial" w:eastAsia="Arial" w:hAnsi="Arial"/>
                <w:sz w:val="18"/>
                <w:szCs w:val="18"/>
                <w:color w:val="0000FF"/>
              </w:rPr>
              <w:t>Mine Safety Disclosures</w:t>
            </w:r>
          </w:p>
        </w:tc>
        <w:tc>
          <w:tcPr>
            <w:tcW w:w="6980" w:type="dxa"/>
            <w:vAlign w:val="bottom"/>
            <w:gridSpan w:val="13"/>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60" w:type="dxa"/>
            <w:vAlign w:val="bottom"/>
            <w:gridSpan w:val="6"/>
          </w:tcPr>
          <w:p>
            <w:pPr>
              <w:spacing w:after="0"/>
              <w:rPr>
                <w:sz w:val="20"/>
                <w:szCs w:val="20"/>
                <w:color w:val="auto"/>
              </w:rPr>
            </w:pPr>
            <w:r>
              <w:rPr>
                <w:rFonts w:ascii="Arial" w:cs="Arial" w:eastAsia="Arial" w:hAnsi="Arial"/>
                <w:sz w:val="18"/>
                <w:szCs w:val="18"/>
                <w:color w:val="0000FF"/>
              </w:rPr>
              <w:t>Other Information</w:t>
            </w:r>
          </w:p>
        </w:tc>
        <w:tc>
          <w:tcPr>
            <w:tcW w:w="7540" w:type="dxa"/>
            <w:vAlign w:val="bottom"/>
            <w:gridSpan w:val="14"/>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gridSpan w:val="2"/>
          </w:tcPr>
          <w:p>
            <w:pPr>
              <w:spacing w:after="0"/>
              <w:rPr>
                <w:sz w:val="24"/>
                <w:szCs w:val="24"/>
                <w:color w:val="auto"/>
              </w:rPr>
            </w:pPr>
          </w:p>
        </w:tc>
        <w:tc>
          <w:tcPr>
            <w:tcW w:w="8000" w:type="dxa"/>
            <w:vAlign w:val="bottom"/>
            <w:gridSpan w:val="16"/>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64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0000FF"/>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1264285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-3616960</wp:posOffset>
            </wp:positionV>
            <wp:extent cx="689229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-3239770</wp:posOffset>
            </wp:positionV>
            <wp:extent cx="689229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-2939415</wp:posOffset>
            </wp:positionV>
            <wp:extent cx="689229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-2647950</wp:posOffset>
            </wp:positionV>
            <wp:extent cx="689229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15430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-2288540</wp:posOffset>
            </wp:positionV>
            <wp:extent cx="689229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-1876425</wp:posOffset>
            </wp:positionV>
            <wp:extent cx="689229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2290" cy="15430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-1567815</wp:posOffset>
            </wp:positionV>
            <wp:extent cx="689229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-1156335</wp:posOffset>
            </wp:positionV>
            <wp:extent cx="689229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-745490</wp:posOffset>
            </wp:positionV>
            <wp:extent cx="689229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92290" cy="20574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-334010</wp:posOffset>
            </wp:positionV>
            <wp:extent cx="689229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92290" cy="205740"/>
                    </a:xfrm>
                    <a:prstGeom prst="rect">
                      <a:avLst/>
                    </a:prstGeom>
                    <a:noFill/>
                  </pic:spPr>
                </pic:pic>
              </a:graphicData>
            </a:graphic>
          </wp:anchor>
        </w:drawing>
      </w:r>
    </w:p>
    <w:p>
      <w:pPr>
        <w:sectPr>
          <w:pgSz w:w="11900" w:h="16838" w:orient="portrait"/>
          <w:cols w:equalWidth="0" w:num="2">
            <w:col w:w="760" w:space="260"/>
            <w:col w:w="9840"/>
          </w:cols>
          <w:pgMar w:left="520" w:top="1098" w:right="5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PART I—FINANCIAL INFORMATION</w:t>
      </w:r>
    </w:p>
    <w:p>
      <w:pPr>
        <w:spacing w:after="0" w:line="112"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FINANCIAL STATEMENTS.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26" w:lineRule="exact"/>
        <w:rPr>
          <w:sz w:val="20"/>
          <w:szCs w:val="20"/>
          <w:color w:val="auto"/>
        </w:rPr>
      </w:pPr>
    </w:p>
    <w:p>
      <w:pPr>
        <w:jc w:val="right"/>
        <w:ind w:right="280"/>
        <w:spacing w:after="0"/>
        <w:tabs>
          <w:tab w:leader="none" w:pos="900" w:val="left"/>
        </w:tabs>
        <w:rPr>
          <w:sz w:val="20"/>
          <w:szCs w:val="20"/>
          <w:color w:val="auto"/>
        </w:rPr>
      </w:pPr>
      <w:r>
        <w:rPr>
          <w:rFonts w:ascii="Arial" w:cs="Arial" w:eastAsia="Arial" w:hAnsi="Arial"/>
          <w:sz w:val="13"/>
          <w:szCs w:val="13"/>
          <w:b w:val="1"/>
          <w:bCs w:val="1"/>
          <w:color w:val="auto"/>
        </w:rPr>
        <w:t>April 30, 2023</w:t>
      </w:r>
      <w:r>
        <w:rPr>
          <w:sz w:val="20"/>
          <w:szCs w:val="20"/>
          <w:color w:val="auto"/>
        </w:rPr>
        <w:tab/>
      </w:r>
      <w:r>
        <w:rPr>
          <w:rFonts w:ascii="Arial" w:cs="Arial" w:eastAsia="Arial" w:hAnsi="Arial"/>
          <w:sz w:val="10"/>
          <w:szCs w:val="10"/>
          <w:b w:val="1"/>
          <w:bCs w:val="1"/>
          <w:color w:val="auto"/>
        </w:rPr>
        <w:t>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19685</wp:posOffset>
            </wp:positionV>
            <wp:extent cx="19291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48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49" w:lineRule="exact"/>
        <w:rPr>
          <w:sz w:val="20"/>
          <w:szCs w:val="20"/>
          <w:color w:val="auto"/>
        </w:rPr>
      </w:pPr>
    </w:p>
    <w:p>
      <w:pPr>
        <w:ind w:left="400" w:right="460"/>
        <w:spacing w:after="0" w:line="291" w:lineRule="auto"/>
        <w:rPr>
          <w:sz w:val="20"/>
          <w:szCs w:val="20"/>
          <w:color w:val="auto"/>
        </w:rPr>
      </w:pPr>
      <w:r>
        <w:rPr>
          <w:rFonts w:ascii="Arial" w:cs="Arial" w:eastAsia="Arial" w:hAnsi="Arial"/>
          <w:sz w:val="14"/>
          <w:szCs w:val="14"/>
          <w:color w:val="auto"/>
        </w:rPr>
        <w:t>Accounts receivable, net of allowance for doubtful accounts of $6,512 and $6,362 as of April 30, 2023 and January 31, 2023, respectively</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Deferred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Prepaid expenses and other current assets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Property and equipment, net</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Goodwill</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Acquired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Deferred tax assets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assets</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Liabilities and Stockholders’ Equity</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Accrued compensation and benefits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Other accrued liabilities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Total current liabilities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Deferred tax liability,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lease liabilities, non-current</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Deferred revenue,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Convertible senior notes, net</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liabilities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Commitments and contingencies (Note 7)</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jc w:val="both"/>
        <w:ind w:left="400" w:hanging="120"/>
        <w:spacing w:after="0" w:line="267" w:lineRule="auto"/>
        <w:rPr>
          <w:sz w:val="20"/>
          <w:szCs w:val="20"/>
          <w:color w:val="auto"/>
        </w:rPr>
      </w:pPr>
      <w:r>
        <w:rPr>
          <w:rFonts w:ascii="Arial" w:cs="Arial" w:eastAsia="Arial" w:hAnsi="Arial"/>
          <w:sz w:val="14"/>
          <w:szCs w:val="14"/>
          <w:color w:val="auto"/>
        </w:rPr>
        <w:t>Common stock, par value of $0.001 per share; 1,000,000,000 shares authorized as of April 30, 2023 and January 31, 2023; 70,630,678 shares issued and 70,531,307 shares outstanding as of April 30, 2023; 70,005,957 shares issued and 69,906,586 shares outstanding as of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Additional paid-in capital</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Treasury stock, 99,371 shares (repurchased at an average of $13.27 per share) as of April 30, 2023 and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Accumulated other comprehensive income (loss)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stockholders’ equity</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82"/>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721,787</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455,826</w:t>
            </w:r>
          </w:p>
        </w:tc>
      </w:tr>
      <w:tr>
        <w:trPr>
          <w:trHeight w:val="230"/>
        </w:trPr>
        <w:tc>
          <w:tcPr>
            <w:tcW w:w="760" w:type="dxa"/>
            <w:vAlign w:val="bottom"/>
          </w:tcPr>
          <w:p>
            <w:pPr>
              <w:jc w:val="right"/>
              <w:ind w:right="108"/>
              <w:spacing w:after="0"/>
              <w:rPr>
                <w:sz w:val="20"/>
                <w:szCs w:val="20"/>
                <w:color w:val="auto"/>
              </w:rPr>
            </w:pPr>
            <w:r>
              <w:rPr>
                <w:rFonts w:ascii="Arial" w:cs="Arial" w:eastAsia="Arial" w:hAnsi="Arial"/>
                <w:sz w:val="14"/>
                <w:szCs w:val="14"/>
                <w:color w:val="auto"/>
                <w:w w:val="89"/>
              </w:rPr>
              <w:t>1,181,641</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1,380,804</w:t>
            </w:r>
          </w:p>
        </w:tc>
      </w:tr>
      <w:tr>
        <w:trPr>
          <w:trHeight w:val="405"/>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211,575</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285,192</w:t>
            </w:r>
          </w:p>
        </w:tc>
      </w:tr>
      <w:tr>
        <w:trPr>
          <w:trHeight w:val="229"/>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82,867</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83,550</w:t>
            </w:r>
          </w:p>
        </w:tc>
      </w:tr>
      <w:tr>
        <w:trPr>
          <w:trHeight w:val="229"/>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34,424</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31,212</w:t>
            </w:r>
          </w:p>
        </w:tc>
      </w:tr>
      <w:tr>
        <w:trPr>
          <w:trHeight w:val="26"/>
        </w:trPr>
        <w:tc>
          <w:tcPr>
            <w:tcW w:w="7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760" w:type="dxa"/>
            <w:vAlign w:val="bottom"/>
          </w:tcPr>
          <w:p>
            <w:pPr>
              <w:jc w:val="right"/>
              <w:ind w:right="108"/>
              <w:spacing w:after="0"/>
              <w:rPr>
                <w:sz w:val="20"/>
                <w:szCs w:val="20"/>
                <w:color w:val="auto"/>
              </w:rPr>
            </w:pPr>
            <w:r>
              <w:rPr>
                <w:rFonts w:ascii="Arial" w:cs="Arial" w:eastAsia="Arial" w:hAnsi="Arial"/>
                <w:sz w:val="14"/>
                <w:szCs w:val="14"/>
                <w:color w:val="auto"/>
                <w:w w:val="89"/>
              </w:rPr>
              <w:t>2,232,294</w:t>
            </w: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2,236,584</w:t>
            </w:r>
          </w:p>
        </w:tc>
      </w:tr>
      <w:tr>
        <w:trPr>
          <w:trHeight w:val="229"/>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55,212</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57,841</w:t>
            </w:r>
          </w:p>
        </w:tc>
      </w:tr>
      <w:tr>
        <w:trPr>
          <w:trHeight w:val="230"/>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40,072</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41,194</w:t>
            </w:r>
          </w:p>
        </w:tc>
      </w:tr>
      <w:tr>
        <w:trPr>
          <w:trHeight w:val="229"/>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57,779</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57,779</w:t>
            </w:r>
          </w:p>
        </w:tc>
      </w:tr>
      <w:tr>
        <w:trPr>
          <w:trHeight w:val="229"/>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9,133</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11,428</w:t>
            </w:r>
          </w:p>
        </w:tc>
      </w:tr>
      <w:tr>
        <w:trPr>
          <w:trHeight w:val="216"/>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3,041</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2,564</w:t>
            </w:r>
          </w:p>
        </w:tc>
      </w:tr>
      <w:tr>
        <w:trPr>
          <w:trHeight w:val="243"/>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182,994</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181,503</w:t>
            </w:r>
          </w:p>
        </w:tc>
      </w:tr>
      <w:tr>
        <w:trPr>
          <w:trHeight w:val="26"/>
        </w:trPr>
        <w:tc>
          <w:tcPr>
            <w:tcW w:w="7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8"/>
        </w:trPr>
        <w:tc>
          <w:tcPr>
            <w:tcW w:w="760" w:type="dxa"/>
            <w:vAlign w:val="bottom"/>
          </w:tcPr>
          <w:p>
            <w:pPr>
              <w:jc w:val="right"/>
              <w:ind w:right="108"/>
              <w:spacing w:after="0"/>
              <w:rPr>
                <w:sz w:val="20"/>
                <w:szCs w:val="20"/>
                <w:color w:val="auto"/>
              </w:rPr>
            </w:pPr>
            <w:r>
              <w:rPr>
                <w:rFonts w:ascii="Arial" w:cs="Arial" w:eastAsia="Arial" w:hAnsi="Arial"/>
                <w:sz w:val="14"/>
                <w:szCs w:val="14"/>
                <w:color w:val="auto"/>
                <w:w w:val="89"/>
              </w:rPr>
              <w:t>2,580,525</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2,588,893</w:t>
            </w:r>
          </w:p>
        </w:tc>
      </w:tr>
      <w:tr>
        <w:trPr>
          <w:trHeight w:val="26"/>
        </w:trPr>
        <w:tc>
          <w:tcPr>
            <w:tcW w:w="7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62"/>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7,986</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8,295</w:t>
            </w:r>
          </w:p>
        </w:tc>
      </w:tr>
      <w:tr>
        <w:trPr>
          <w:trHeight w:val="229"/>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78,300</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90,112</w:t>
            </w:r>
          </w:p>
        </w:tc>
      </w:tr>
      <w:tr>
        <w:trPr>
          <w:trHeight w:val="230"/>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8,605</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8,686</w:t>
            </w:r>
          </w:p>
        </w:tc>
      </w:tr>
      <w:tr>
        <w:trPr>
          <w:trHeight w:val="216"/>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50,470</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52,672</w:t>
            </w:r>
          </w:p>
        </w:tc>
      </w:tr>
      <w:tr>
        <w:trPr>
          <w:trHeight w:val="243"/>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387,206</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428,747</w:t>
            </w:r>
          </w:p>
        </w:tc>
      </w:tr>
      <w:tr>
        <w:trPr>
          <w:trHeight w:val="25"/>
        </w:trPr>
        <w:tc>
          <w:tcPr>
            <w:tcW w:w="7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532,567</w:t>
            </w: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588,512</w:t>
            </w:r>
          </w:p>
        </w:tc>
      </w:tr>
      <w:tr>
        <w:trPr>
          <w:trHeight w:val="229"/>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598</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243"/>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35,611</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36,264</w:t>
            </w:r>
          </w:p>
        </w:tc>
      </w:tr>
      <w:tr>
        <w:trPr>
          <w:trHeight w:val="243"/>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25,547</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31,524</w:t>
            </w:r>
          </w:p>
        </w:tc>
      </w:tr>
      <w:tr>
        <w:trPr>
          <w:trHeight w:val="256"/>
        </w:trPr>
        <w:tc>
          <w:tcPr>
            <w:tcW w:w="760" w:type="dxa"/>
            <w:vAlign w:val="bottom"/>
          </w:tcPr>
          <w:p>
            <w:pPr>
              <w:jc w:val="right"/>
              <w:ind w:right="108"/>
              <w:spacing w:after="0"/>
              <w:rPr>
                <w:sz w:val="20"/>
                <w:szCs w:val="20"/>
                <w:color w:val="auto"/>
              </w:rPr>
            </w:pPr>
            <w:r>
              <w:rPr>
                <w:rFonts w:ascii="Arial" w:cs="Arial" w:eastAsia="Arial" w:hAnsi="Arial"/>
                <w:sz w:val="14"/>
                <w:szCs w:val="14"/>
                <w:color w:val="auto"/>
                <w:w w:val="89"/>
              </w:rPr>
              <w:t>1,140,727</w:t>
            </w:r>
          </w:p>
        </w:tc>
        <w:tc>
          <w:tcPr>
            <w:tcW w:w="4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1,139,880</w:t>
            </w:r>
          </w:p>
        </w:tc>
      </w:tr>
      <w:tr>
        <w:trPr>
          <w:trHeight w:val="230"/>
        </w:trPr>
        <w:tc>
          <w:tcPr>
            <w:tcW w:w="760" w:type="dxa"/>
            <w:vAlign w:val="bottom"/>
          </w:tcPr>
          <w:p>
            <w:pPr>
              <w:jc w:val="right"/>
              <w:ind w:right="108"/>
              <w:spacing w:after="0"/>
              <w:rPr>
                <w:sz w:val="20"/>
                <w:szCs w:val="20"/>
                <w:color w:val="auto"/>
              </w:rPr>
            </w:pPr>
            <w:r>
              <w:rPr>
                <w:rFonts w:ascii="Arial" w:cs="Arial" w:eastAsia="Arial" w:hAnsi="Arial"/>
                <w:sz w:val="14"/>
                <w:szCs w:val="14"/>
                <w:color w:val="auto"/>
              </w:rPr>
              <w:t>53,046</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52,980</w:t>
            </w:r>
          </w:p>
        </w:tc>
      </w:tr>
      <w:tr>
        <w:trPr>
          <w:trHeight w:val="25"/>
        </w:trPr>
        <w:tc>
          <w:tcPr>
            <w:tcW w:w="7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8"/>
        </w:trPr>
        <w:tc>
          <w:tcPr>
            <w:tcW w:w="760" w:type="dxa"/>
            <w:vAlign w:val="bottom"/>
          </w:tcPr>
          <w:p>
            <w:pPr>
              <w:jc w:val="right"/>
              <w:ind w:right="108"/>
              <w:spacing w:after="0"/>
              <w:rPr>
                <w:sz w:val="20"/>
                <w:szCs w:val="20"/>
                <w:color w:val="auto"/>
              </w:rPr>
            </w:pPr>
            <w:r>
              <w:rPr>
                <w:rFonts w:ascii="Arial" w:cs="Arial" w:eastAsia="Arial" w:hAnsi="Arial"/>
                <w:sz w:val="14"/>
                <w:szCs w:val="14"/>
                <w:color w:val="auto"/>
                <w:w w:val="89"/>
              </w:rPr>
              <w:t>1,788,096</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1,849,385</w:t>
            </w:r>
          </w:p>
        </w:tc>
      </w:tr>
      <w:tr>
        <w:trPr>
          <w:trHeight w:val="25"/>
        </w:trPr>
        <w:tc>
          <w:tcPr>
            <w:tcW w:w="7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-3239770</wp:posOffset>
            </wp:positionV>
            <wp:extent cx="9258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-2039620</wp:posOffset>
            </wp:positionV>
            <wp:extent cx="9258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-8255</wp:posOffset>
            </wp:positionV>
            <wp:extent cx="9258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 w:type="dxa"/>
            <w:vAlign w:val="bottom"/>
          </w:tcPr>
          <w:p>
            <w:pPr>
              <w:jc w:val="right"/>
              <w:ind w:right="108"/>
              <w:spacing w:after="0"/>
              <w:rPr>
                <w:sz w:val="20"/>
                <w:szCs w:val="20"/>
                <w:color w:val="auto"/>
              </w:rPr>
            </w:pPr>
            <w:r>
              <w:rPr>
                <w:rFonts w:ascii="Arial" w:cs="Arial" w:eastAsia="Arial" w:hAnsi="Arial"/>
                <w:sz w:val="14"/>
                <w:szCs w:val="14"/>
                <w:color w:val="auto"/>
              </w:rPr>
              <w:t>71</w:t>
            </w:r>
          </w:p>
        </w:tc>
        <w:tc>
          <w:tcPr>
            <w:tcW w:w="4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16"/>
        </w:trPr>
        <w:tc>
          <w:tcPr>
            <w:tcW w:w="820" w:type="dxa"/>
            <w:vAlign w:val="bottom"/>
          </w:tcPr>
          <w:p>
            <w:pPr>
              <w:jc w:val="right"/>
              <w:ind w:right="108"/>
              <w:spacing w:after="0"/>
              <w:rPr>
                <w:sz w:val="20"/>
                <w:szCs w:val="20"/>
                <w:color w:val="auto"/>
              </w:rPr>
            </w:pPr>
            <w:r>
              <w:rPr>
                <w:rFonts w:ascii="Arial" w:cs="Arial" w:eastAsia="Arial" w:hAnsi="Arial"/>
                <w:sz w:val="14"/>
                <w:szCs w:val="14"/>
                <w:color w:val="auto"/>
                <w:w w:val="99"/>
              </w:rPr>
              <w:t>2,382,121</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2,276,694</w:t>
            </w:r>
          </w:p>
        </w:tc>
      </w:tr>
      <w:tr>
        <w:trPr>
          <w:trHeight w:val="230"/>
        </w:trPr>
        <w:tc>
          <w:tcPr>
            <w:tcW w:w="820" w:type="dxa"/>
            <w:vAlign w:val="bottom"/>
          </w:tcPr>
          <w:p>
            <w:pPr>
              <w:jc w:val="right"/>
              <w:ind w:right="68"/>
              <w:spacing w:after="0"/>
              <w:rPr>
                <w:sz w:val="20"/>
                <w:szCs w:val="20"/>
                <w:color w:val="auto"/>
              </w:rPr>
            </w:pPr>
            <w:r>
              <w:rPr>
                <w:rFonts w:ascii="Arial" w:cs="Arial" w:eastAsia="Arial" w:hAnsi="Arial"/>
                <w:sz w:val="14"/>
                <w:szCs w:val="14"/>
                <w:color w:val="auto"/>
              </w:rPr>
              <w:t>(1,319)</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(1,319)</w:t>
            </w:r>
          </w:p>
        </w:tc>
      </w:tr>
      <w:tr>
        <w:trPr>
          <w:trHeight w:val="229"/>
        </w:trPr>
        <w:tc>
          <w:tcPr>
            <w:tcW w:w="820" w:type="dxa"/>
            <w:vAlign w:val="bottom"/>
          </w:tcPr>
          <w:p>
            <w:pPr>
              <w:jc w:val="right"/>
              <w:ind w:right="108"/>
              <w:spacing w:after="0"/>
              <w:rPr>
                <w:sz w:val="20"/>
                <w:szCs w:val="20"/>
                <w:color w:val="auto"/>
              </w:rPr>
            </w:pPr>
            <w:r>
              <w:rPr>
                <w:rFonts w:ascii="Arial" w:cs="Arial" w:eastAsia="Arial" w:hAnsi="Arial"/>
                <w:sz w:val="14"/>
                <w:szCs w:val="14"/>
                <w:color w:val="auto"/>
              </w:rPr>
              <w:t>834</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(905)</w:t>
            </w:r>
          </w:p>
        </w:tc>
      </w:tr>
      <w:tr>
        <w:trPr>
          <w:trHeight w:val="249"/>
        </w:trPr>
        <w:tc>
          <w:tcPr>
            <w:tcW w:w="820" w:type="dxa"/>
            <w:vAlign w:val="bottom"/>
          </w:tcPr>
          <w:p>
            <w:pPr>
              <w:jc w:val="right"/>
              <w:ind w:right="68"/>
              <w:spacing w:after="0"/>
              <w:rPr>
                <w:sz w:val="20"/>
                <w:szCs w:val="20"/>
                <w:color w:val="auto"/>
              </w:rPr>
            </w:pPr>
            <w:r>
              <w:rPr>
                <w:rFonts w:ascii="Arial" w:cs="Arial" w:eastAsia="Arial" w:hAnsi="Arial"/>
                <w:sz w:val="14"/>
                <w:szCs w:val="14"/>
                <w:color w:val="auto"/>
                <w:w w:val="92"/>
              </w:rPr>
              <w:t>(1,589,278)</w:t>
            </w: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(1,535,032)</w:t>
            </w:r>
          </w:p>
        </w:tc>
      </w:tr>
      <w:tr>
        <w:trPr>
          <w:trHeight w:val="230"/>
        </w:trPr>
        <w:tc>
          <w:tcPr>
            <w:tcW w:w="820" w:type="dxa"/>
            <w:vAlign w:val="bottom"/>
          </w:tcPr>
          <w:p>
            <w:pPr>
              <w:jc w:val="right"/>
              <w:ind w:right="108"/>
              <w:spacing w:after="0"/>
              <w:rPr>
                <w:sz w:val="20"/>
                <w:szCs w:val="20"/>
                <w:color w:val="auto"/>
              </w:rPr>
            </w:pPr>
            <w:r>
              <w:rPr>
                <w:rFonts w:ascii="Arial" w:cs="Arial" w:eastAsia="Arial" w:hAnsi="Arial"/>
                <w:sz w:val="14"/>
                <w:szCs w:val="14"/>
                <w:color w:val="auto"/>
              </w:rPr>
              <w:t>792,429</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739,508</w:t>
            </w:r>
          </w:p>
        </w:tc>
      </w:tr>
      <w:tr>
        <w:trPr>
          <w:trHeight w:val="25"/>
        </w:trPr>
        <w:tc>
          <w:tcPr>
            <w:tcW w:w="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8"/>
        </w:trPr>
        <w:tc>
          <w:tcPr>
            <w:tcW w:w="820" w:type="dxa"/>
            <w:vAlign w:val="bottom"/>
          </w:tcPr>
          <w:p>
            <w:pPr>
              <w:jc w:val="right"/>
              <w:ind w:right="108"/>
              <w:spacing w:after="0"/>
              <w:rPr>
                <w:sz w:val="20"/>
                <w:szCs w:val="20"/>
                <w:color w:val="auto"/>
              </w:rPr>
            </w:pPr>
            <w:r>
              <w:rPr>
                <w:rFonts w:ascii="Arial" w:cs="Arial" w:eastAsia="Arial" w:hAnsi="Arial"/>
                <w:sz w:val="14"/>
                <w:szCs w:val="14"/>
                <w:color w:val="auto"/>
                <w:w w:val="99"/>
              </w:rPr>
              <w:t>2,580,525</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2,588,893</w:t>
            </w:r>
          </w:p>
        </w:tc>
      </w:tr>
      <w:tr>
        <w:trPr>
          <w:trHeight w:val="25"/>
        </w:trPr>
        <w:tc>
          <w:tcPr>
            <w:tcW w:w="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-359410</wp:posOffset>
            </wp:positionV>
            <wp:extent cx="9258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-187960</wp:posOffset>
            </wp:positionV>
            <wp:extent cx="9258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-33655</wp:posOffset>
            </wp:positionV>
            <wp:extent cx="9258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-8255</wp:posOffset>
            </wp:positionV>
            <wp:extent cx="9258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060" w:space="160"/>
            <w:col w:w="60" w:space="680"/>
            <w:col w:w="2280"/>
          </w:cols>
          <w:pgMar w:left="320" w:top="134" w:right="339" w:bottom="1440" w:gutter="0" w:footer="0" w:header="0"/>
          <w:type w:val="continuous"/>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ectPr>
          <w:pgSz w:w="11900" w:h="16838" w:orient="portrait"/>
          <w:cols w:equalWidth="0" w:num="1">
            <w:col w:w="11240"/>
          </w:cols>
          <w:pgMar w:left="320" w:top="1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4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 thousands of U.S. dollars, except share and per share data)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(unaudited)</w:t>
      </w:r>
    </w:p>
    <w:p>
      <w:pPr>
        <w:spacing w:after="0" w:line="378" w:lineRule="exact"/>
        <w:rPr>
          <w:sz w:val="20"/>
          <w:szCs w:val="20"/>
          <w:color w:val="auto"/>
        </w:rPr>
      </w:pPr>
    </w:p>
    <w:p>
      <w:pPr>
        <w:jc w:val="right"/>
        <w:ind w:right="60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32385</wp:posOffset>
            </wp:positionV>
            <wp:extent cx="19373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35" w:lineRule="exact"/>
        <w:rPr>
          <w:sz w:val="20"/>
          <w:szCs w:val="20"/>
          <w:color w:val="auto"/>
        </w:rPr>
      </w:pPr>
    </w:p>
    <w:p>
      <w:pPr>
        <w:ind w:left="8640"/>
        <w:spacing w:after="0"/>
        <w:tabs>
          <w:tab w:leader="none" w:pos="10200" w:val="left"/>
        </w:tabs>
        <w:rPr>
          <w:sz w:val="20"/>
          <w:szCs w:val="20"/>
          <w:color w:val="auto"/>
        </w:rPr>
      </w:pPr>
      <w:r>
        <w:rPr>
          <w:rFonts w:ascii="Arial" w:cs="Arial" w:eastAsia="Arial" w:hAnsi="Arial"/>
          <w:sz w:val="12"/>
          <w:szCs w:val="12"/>
          <w:b w:val="1"/>
          <w:bCs w:val="1"/>
          <w:color w:val="auto"/>
        </w:rPr>
        <w:t>2023</w:t>
      </w:r>
      <w:r>
        <w:rPr>
          <w:sz w:val="20"/>
          <w:szCs w:val="20"/>
          <w:color w:val="auto"/>
        </w:rPr>
        <w:tab/>
      </w:r>
      <w:r>
        <w:rPr>
          <w:rFonts w:ascii="Arial" w:cs="Arial" w:eastAsia="Arial" w:hAnsi="Arial"/>
          <w:sz w:val="12"/>
          <w:szCs w:val="12"/>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46990</wp:posOffset>
            </wp:positionV>
            <wp:extent cx="19373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ectPr>
          <w:pgSz w:w="11900" w:h="16838" w:orient="portrait"/>
          <w:cols w:equalWidth="0" w:num="1">
            <w:col w:w="11100"/>
          </w:cols>
          <w:pgMar w:left="320" w:top="134" w:right="479" w:bottom="1440" w:gutter="0" w:footer="0" w:header="0"/>
        </w:sectPr>
      </w:pP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Subscription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Services</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revenue</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Cost of revenue:</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Subscription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Services</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cost of revenue</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Gross profit</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 expenses:</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Research and development</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General and administrative</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operating expenses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Loss from operations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income (expense):</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net</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Loss before provision for income taxes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354,714</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274,581</w:t>
            </w:r>
          </w:p>
        </w:tc>
      </w:tr>
      <w:tr>
        <w:trPr>
          <w:trHeight w:val="277"/>
        </w:trPr>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w:t>
            </w:r>
          </w:p>
        </w:tc>
      </w:tr>
      <w:tr>
        <w:trPr>
          <w:trHeight w:val="270"/>
        </w:trPr>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368,280</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285,447</w:t>
            </w:r>
          </w:p>
        </w:tc>
      </w:tr>
      <w:tr>
        <w:trPr>
          <w:trHeight w:val="493"/>
        </w:trPr>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78,173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64,569</w:t>
            </w:r>
          </w:p>
        </w:tc>
      </w:tr>
      <w:tr>
        <w:trPr>
          <w:trHeight w:val="277"/>
        </w:trPr>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19,276</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13,646</w:t>
            </w:r>
          </w:p>
        </w:tc>
      </w:tr>
      <w:tr>
        <w:trPr>
          <w:trHeight w:val="270"/>
        </w:trPr>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97,449</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78,215</w:t>
            </w:r>
          </w:p>
        </w:tc>
      </w:tr>
      <w:tr>
        <w:trPr>
          <w:trHeight w:val="250"/>
        </w:trPr>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270,831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207,232</w:t>
            </w:r>
          </w:p>
        </w:tc>
      </w:tr>
      <w:tr>
        <w:trPr>
          <w:trHeight w:val="513"/>
        </w:trPr>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182,733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150,268</w:t>
            </w:r>
          </w:p>
        </w:tc>
      </w:tr>
      <w:tr>
        <w:trPr>
          <w:trHeight w:val="270"/>
        </w:trPr>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116,817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96,372</w:t>
            </w:r>
          </w:p>
        </w:tc>
      </w:tr>
      <w:tr>
        <w:trPr>
          <w:trHeight w:val="277"/>
        </w:trPr>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39,828</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36,532</w:t>
            </w:r>
          </w:p>
        </w:tc>
      </w:tr>
      <w:tr>
        <w:trPr>
          <w:trHeight w:val="270"/>
        </w:trPr>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339,378</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283,172</w:t>
            </w:r>
          </w:p>
        </w:tc>
      </w:tr>
      <w:tr>
        <w:trPr>
          <w:trHeight w:val="250"/>
        </w:trPr>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(75,940)</w:t>
            </w:r>
          </w:p>
        </w:tc>
      </w:tr>
      <w:tr>
        <w:trPr>
          <w:trHeight w:val="513"/>
        </w:trPr>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18,037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83"/>
        </w:trPr>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(2,453)</w:t>
            </w:r>
          </w:p>
        </w:tc>
      </w:tr>
      <w:tr>
        <w:trPr>
          <w:trHeight w:val="283"/>
        </w:trPr>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r>
      <w:tr>
        <w:trPr>
          <w:trHeight w:val="250"/>
        </w:trPr>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-3420110</wp:posOffset>
            </wp:positionV>
            <wp:extent cx="694372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3725" cy="14605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-3102610</wp:posOffset>
            </wp:positionV>
            <wp:extent cx="6943725"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43725" cy="17970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-2734310</wp:posOffset>
            </wp:positionV>
            <wp:extent cx="694372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43725" cy="14605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-2416810</wp:posOffset>
            </wp:positionV>
            <wp:extent cx="6943725"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43725" cy="17970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-2048510</wp:posOffset>
            </wp:positionV>
            <wp:extent cx="694372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43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-1731010</wp:posOffset>
            </wp:positionV>
            <wp:extent cx="694372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43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-1388110</wp:posOffset>
            </wp:positionV>
            <wp:extent cx="6943725"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3725" cy="17970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-1019810</wp:posOffset>
            </wp:positionV>
            <wp:extent cx="694372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3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-702310</wp:posOffset>
            </wp:positionV>
            <wp:extent cx="694372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43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-351155</wp:posOffset>
            </wp:positionV>
            <wp:extent cx="694372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43725" cy="1885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320" w:space="720"/>
            <w:col w:w="3060"/>
          </w:cols>
          <w:pgMar w:left="320" w:top="134" w:right="479" w:bottom="1440" w:gutter="0" w:footer="0" w:header="0"/>
          <w:type w:val="continuous"/>
        </w:sectPr>
      </w:pPr>
    </w:p>
    <w:tbl>
      <w:tblPr>
        <w:tblLayout w:type="fixed"/>
        <w:tblInd w:w="160" w:type="dxa"/>
        <w:tblCellMar>
          <w:top w:w="0" w:type="dxa"/>
          <w:left w:w="0" w:type="dxa"/>
          <w:bottom w:w="0" w:type="dxa"/>
          <w:right w:w="0" w:type="dxa"/>
        </w:tblCellMar>
      </w:tblPr>
      <w:tr>
        <w:trPr>
          <w:trHeight w:val="263"/>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0"/>
        </w:trPr>
        <w:tc>
          <w:tcPr>
            <w:tcW w:w="78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(54,246)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(77,294)</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80" w:type="dxa"/>
            <w:vAlign w:val="bottom"/>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70,177,499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67,706,502</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4" w:right="4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(in thousands of U.S. dollars)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(unaudited)</w:t>
      </w:r>
    </w:p>
    <w:p>
      <w:pPr>
        <w:spacing w:after="0" w:line="36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 April 30,</w:t>
            </w:r>
          </w:p>
        </w:tc>
      </w:tr>
      <w:tr>
        <w:trPr>
          <w:trHeight w:val="195"/>
        </w:trPr>
        <w:tc>
          <w:tcPr>
            <w:tcW w:w="80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57"/>
        </w:trPr>
        <w:tc>
          <w:tcPr>
            <w:tcW w:w="8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(77,294)</w:t>
            </w:r>
          </w:p>
        </w:tc>
      </w:tr>
      <w:tr>
        <w:trPr>
          <w:trHeight w:val="237"/>
        </w:trPr>
        <w:tc>
          <w:tcPr>
            <w:tcW w:w="8040" w:type="dxa"/>
            <w:vAlign w:val="bottom"/>
          </w:tcPr>
          <w:p>
            <w:pPr>
              <w:ind w:left="8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6"/>
        </w:trPr>
        <w:tc>
          <w:tcPr>
            <w:tcW w:w="8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income (loss) on available-for-sale securities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r>
      <w:tr>
        <w:trPr>
          <w:trHeight w:val="277"/>
        </w:trPr>
        <w:tc>
          <w:tcPr>
            <w:tcW w:w="80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270"/>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r>
      <w:tr>
        <w:trPr>
          <w:trHeight w:val="263"/>
        </w:trPr>
        <w:tc>
          <w:tcPr>
            <w:tcW w:w="8040" w:type="dxa"/>
            <w:vAlign w:val="bottom"/>
          </w:tcPr>
          <w:p>
            <w:pPr>
              <w:ind w:left="80"/>
              <w:spacing w:after="0"/>
              <w:rPr>
                <w:sz w:val="20"/>
                <w:szCs w:val="20"/>
                <w:color w:val="auto"/>
              </w:rPr>
            </w:pPr>
            <w:r>
              <w:rPr>
                <w:rFonts w:ascii="Arial" w:cs="Arial" w:eastAsia="Arial" w:hAnsi="Arial"/>
                <w:sz w:val="18"/>
                <w:szCs w:val="18"/>
                <w:color w:val="auto"/>
              </w:rPr>
              <w:t>Total comprehensive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(52,507)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(79,045)</w:t>
            </w:r>
          </w:p>
        </w:tc>
      </w:tr>
      <w:tr>
        <w:trPr>
          <w:trHeight w:val="21"/>
        </w:trPr>
        <w:tc>
          <w:tcPr>
            <w:tcW w:w="8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4" w:right="4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1900" w:type="dxa"/>
            <w:vAlign w:val="bottom"/>
            <w:gridSpan w:val="4"/>
          </w:tcPr>
          <w:p>
            <w:pPr>
              <w:jc w:val="right"/>
              <w:ind w:right="354"/>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ind w:right="30"/>
              <w:spacing w:after="0"/>
              <w:rPr>
                <w:sz w:val="20"/>
                <w:szCs w:val="20"/>
                <w:color w:val="auto"/>
              </w:rPr>
            </w:pPr>
            <w:r>
              <w:rPr>
                <w:rFonts w:ascii="Arial" w:cs="Arial" w:eastAsia="Arial" w:hAnsi="Arial"/>
                <w:sz w:val="13"/>
                <w:szCs w:val="13"/>
                <w:b w:val="1"/>
                <w:bCs w:val="1"/>
                <w:color w:val="auto"/>
                <w:w w:val="90"/>
              </w:rPr>
              <w:t>Accumulated Other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3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960" w:type="dxa"/>
            <w:vAlign w:val="bottom"/>
            <w:gridSpan w:val="2"/>
            <w:vMerge w:val="restart"/>
          </w:tcPr>
          <w:p>
            <w:pPr>
              <w:jc w:val="center"/>
              <w:spacing w:after="0" w:line="131" w:lineRule="exact"/>
              <w:rPr>
                <w:sz w:val="20"/>
                <w:szCs w:val="20"/>
                <w:color w:val="auto"/>
              </w:rPr>
            </w:pPr>
            <w:r>
              <w:rPr>
                <w:rFonts w:ascii="Arial" w:cs="Arial" w:eastAsia="Arial" w:hAnsi="Arial"/>
                <w:sz w:val="13"/>
                <w:szCs w:val="13"/>
                <w:b w:val="1"/>
                <w:bCs w:val="1"/>
                <w:color w:val="auto"/>
                <w:w w:val="88"/>
              </w:rPr>
              <w:t>Additional Paid-</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jc w:val="center"/>
              <w:ind w:right="50"/>
              <w:spacing w:after="0" w:line="131" w:lineRule="exact"/>
              <w:rPr>
                <w:sz w:val="20"/>
                <w:szCs w:val="20"/>
                <w:color w:val="auto"/>
              </w:rPr>
            </w:pPr>
            <w:r>
              <w:rPr>
                <w:rFonts w:ascii="Arial" w:cs="Arial" w:eastAsia="Arial" w:hAnsi="Arial"/>
                <w:sz w:val="13"/>
                <w:szCs w:val="13"/>
                <w:b w:val="1"/>
                <w:bCs w:val="1"/>
                <w:color w:val="auto"/>
                <w:w w:val="87"/>
              </w:rPr>
              <w:t>Treasury</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vMerge w:val="restart"/>
          </w:tcPr>
          <w:p>
            <w:pPr>
              <w:jc w:val="center"/>
              <w:ind w:right="30"/>
              <w:spacing w:after="0" w:line="131"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vMerge w:val="restart"/>
          </w:tcPr>
          <w:p>
            <w:pPr>
              <w:jc w:val="center"/>
              <w:ind w:right="7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vMerge w:val="restart"/>
          </w:tcPr>
          <w:p>
            <w:pPr>
              <w:spacing w:after="0"/>
              <w:rPr>
                <w:sz w:val="4"/>
                <w:szCs w:val="4"/>
                <w:color w:val="auto"/>
              </w:rPr>
            </w:pPr>
          </w:p>
        </w:tc>
        <w:tc>
          <w:tcPr>
            <w:tcW w:w="1120" w:type="dxa"/>
            <w:vAlign w:val="bottom"/>
            <w:gridSpan w:val="2"/>
            <w:vMerge w:val="restart"/>
          </w:tcPr>
          <w:p>
            <w:pPr>
              <w:ind w:left="40"/>
              <w:spacing w:after="0" w:line="131" w:lineRule="exact"/>
              <w:rPr>
                <w:sz w:val="20"/>
                <w:szCs w:val="20"/>
                <w:color w:val="auto"/>
              </w:rPr>
            </w:pPr>
            <w:r>
              <w:rPr>
                <w:rFonts w:ascii="Arial" w:cs="Arial" w:eastAsia="Arial" w:hAnsi="Arial"/>
                <w:sz w:val="13"/>
                <w:szCs w:val="13"/>
                <w:b w:val="1"/>
                <w:bCs w:val="1"/>
                <w:color w:val="auto"/>
                <w:w w:val="87"/>
              </w:rPr>
              <w:t>Total Stockholders’</w:t>
            </w:r>
          </w:p>
        </w:tc>
        <w:tc>
          <w:tcPr>
            <w:tcW w:w="0" w:type="dxa"/>
            <w:vAlign w:val="bottom"/>
          </w:tcPr>
          <w:p>
            <w:pPr>
              <w:spacing w:after="0"/>
              <w:rPr>
                <w:sz w:val="1"/>
                <w:szCs w:val="1"/>
                <w:color w:val="auto"/>
              </w:rPr>
            </w:pPr>
          </w:p>
        </w:tc>
      </w:tr>
      <w:tr>
        <w:trPr>
          <w:trHeight w:val="56"/>
        </w:trPr>
        <w:tc>
          <w:tcPr>
            <w:tcW w:w="3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3320" w:type="dxa"/>
            <w:vAlign w:val="bottom"/>
          </w:tcPr>
          <w:p>
            <w:pPr>
              <w:spacing w:after="0"/>
              <w:rPr>
                <w:sz w:val="14"/>
                <w:szCs w:val="14"/>
                <w:color w:val="auto"/>
              </w:rPr>
            </w:pPr>
          </w:p>
        </w:tc>
        <w:tc>
          <w:tcPr>
            <w:tcW w:w="1020" w:type="dxa"/>
            <w:vAlign w:val="bottom"/>
          </w:tcPr>
          <w:p>
            <w:pPr>
              <w:jc w:val="right"/>
              <w:ind w:right="25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69"/>
              <w:spacing w:after="0"/>
              <w:rPr>
                <w:sz w:val="20"/>
                <w:szCs w:val="20"/>
                <w:color w:val="auto"/>
              </w:rPr>
            </w:pPr>
            <w:r>
              <w:rPr>
                <w:rFonts w:ascii="Arial" w:cs="Arial" w:eastAsia="Arial" w:hAnsi="Arial"/>
                <w:sz w:val="13"/>
                <w:szCs w:val="13"/>
                <w:b w:val="1"/>
                <w:bCs w:val="1"/>
                <w:color w:val="auto"/>
                <w:w w:val="95"/>
              </w:rPr>
              <w:t>In 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0"/>
              <w:spacing w:after="0"/>
              <w:rPr>
                <w:sz w:val="20"/>
                <w:szCs w:val="20"/>
                <w:color w:val="auto"/>
              </w:rPr>
            </w:pPr>
            <w:r>
              <w:rPr>
                <w:rFonts w:ascii="Arial" w:cs="Arial" w:eastAsia="Arial" w:hAnsi="Arial"/>
                <w:sz w:val="13"/>
                <w:szCs w:val="13"/>
                <w:b w:val="1"/>
                <w:bCs w:val="1"/>
                <w:color w:val="auto"/>
                <w:w w:val="90"/>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right="3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9"/>
        </w:trPr>
        <w:tc>
          <w:tcPr>
            <w:tcW w:w="3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January 31, 2023</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69,906,586</w:t>
            </w:r>
          </w:p>
        </w:tc>
        <w:tc>
          <w:tcPr>
            <w:tcW w:w="880" w:type="dxa"/>
            <w:vAlign w:val="bottom"/>
            <w:gridSpan w:val="3"/>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70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2,276,694</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(1,535,032)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739,508</w:t>
            </w:r>
          </w:p>
        </w:tc>
        <w:tc>
          <w:tcPr>
            <w:tcW w:w="0" w:type="dxa"/>
            <w:vAlign w:val="bottom"/>
          </w:tcPr>
          <w:p>
            <w:pPr>
              <w:spacing w:after="0"/>
              <w:rPr>
                <w:sz w:val="1"/>
                <w:szCs w:val="1"/>
                <w:color w:val="auto"/>
              </w:rPr>
            </w:pPr>
          </w:p>
        </w:tc>
      </w:tr>
      <w:tr>
        <w:trPr>
          <w:trHeight w:val="223"/>
        </w:trPr>
        <w:tc>
          <w:tcPr>
            <w:tcW w:w="3320" w:type="dxa"/>
            <w:vAlign w:val="bottom"/>
          </w:tcPr>
          <w:p>
            <w:pPr>
              <w:ind w:left="180"/>
              <w:spacing w:after="0"/>
              <w:rPr>
                <w:sz w:val="20"/>
                <w:szCs w:val="20"/>
                <w:color w:val="auto"/>
              </w:rPr>
            </w:pPr>
            <w:r>
              <w:rPr>
                <w:rFonts w:ascii="Arial" w:cs="Arial" w:eastAsia="Arial" w:hAnsi="Arial"/>
                <w:sz w:val="14"/>
                <w:szCs w:val="14"/>
                <w:color w:val="auto"/>
              </w:rPr>
              <w:t>Stock option exercises</w:t>
            </w:r>
          </w:p>
        </w:tc>
        <w:tc>
          <w:tcPr>
            <w:tcW w:w="1020" w:type="dxa"/>
            <w:vAlign w:val="bottom"/>
          </w:tcPr>
          <w:p>
            <w:pPr>
              <w:jc w:val="right"/>
              <w:spacing w:after="0"/>
              <w:rPr>
                <w:sz w:val="20"/>
                <w:szCs w:val="20"/>
                <w:color w:val="auto"/>
              </w:rPr>
            </w:pPr>
            <w:r>
              <w:rPr>
                <w:rFonts w:ascii="Arial" w:cs="Arial" w:eastAsia="Arial" w:hAnsi="Arial"/>
                <w:sz w:val="14"/>
                <w:szCs w:val="14"/>
                <w:color w:val="auto"/>
              </w:rPr>
              <w:t>213,713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1,472</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Vesting of restricted stock 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388,017</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4"/>
        </w:trPr>
        <w:tc>
          <w:tcPr>
            <w:tcW w:w="3320" w:type="dxa"/>
            <w:vAlign w:val="bottom"/>
          </w:tcPr>
          <w:p>
            <w:pPr>
              <w:ind w:left="180"/>
              <w:spacing w:after="0"/>
              <w:rPr>
                <w:sz w:val="20"/>
                <w:szCs w:val="20"/>
                <w:color w:val="auto"/>
              </w:rPr>
            </w:pPr>
            <w:r>
              <w:rPr>
                <w:rFonts w:ascii="Arial" w:cs="Arial" w:eastAsia="Arial" w:hAnsi="Arial"/>
                <w:sz w:val="14"/>
                <w:szCs w:val="14"/>
                <w:color w:val="auto"/>
              </w:rPr>
              <w:t>Vesting of performance stock units</w:t>
            </w:r>
          </w:p>
        </w:tc>
        <w:tc>
          <w:tcPr>
            <w:tcW w:w="1020" w:type="dxa"/>
            <w:vAlign w:val="bottom"/>
          </w:tcPr>
          <w:p>
            <w:pPr>
              <w:jc w:val="right"/>
              <w:spacing w:after="0"/>
              <w:rPr>
                <w:sz w:val="20"/>
                <w:szCs w:val="20"/>
                <w:color w:val="auto"/>
              </w:rPr>
            </w:pPr>
            <w:r>
              <w:rPr>
                <w:rFonts w:ascii="Arial" w:cs="Arial" w:eastAsia="Arial" w:hAnsi="Arial"/>
                <w:sz w:val="14"/>
                <w:szCs w:val="14"/>
                <w:color w:val="auto"/>
              </w:rPr>
              <w:t>22,991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103,955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103,955</w:t>
            </w:r>
          </w:p>
        </w:tc>
        <w:tc>
          <w:tcPr>
            <w:tcW w:w="0" w:type="dxa"/>
            <w:vAlign w:val="bottom"/>
          </w:tcPr>
          <w:p>
            <w:pPr>
              <w:spacing w:after="0"/>
              <w:rPr>
                <w:sz w:val="1"/>
                <w:szCs w:val="1"/>
                <w:color w:val="auto"/>
              </w:rPr>
            </w:pPr>
          </w:p>
        </w:tc>
      </w:tr>
      <w:tr>
        <w:trPr>
          <w:trHeight w:val="210"/>
        </w:trPr>
        <w:tc>
          <w:tcPr>
            <w:tcW w:w="3320" w:type="dxa"/>
            <w:vAlign w:val="bottom"/>
          </w:tcPr>
          <w:p>
            <w:pPr>
              <w:ind w:left="180"/>
              <w:spacing w:after="0"/>
              <w:rPr>
                <w:sz w:val="20"/>
                <w:szCs w:val="20"/>
                <w:color w:val="auto"/>
              </w:rPr>
            </w:pPr>
            <w:r>
              <w:rPr>
                <w:rFonts w:ascii="Arial" w:cs="Arial" w:eastAsia="Arial" w:hAnsi="Arial"/>
                <w:sz w:val="14"/>
                <w:szCs w:val="14"/>
                <w:color w:val="auto"/>
              </w:rPr>
              <w:t>Conversion of convertible senior notes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3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gain on available-for-sale securities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204"/>
        </w:trPr>
        <w:tc>
          <w:tcPr>
            <w:tcW w:w="332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(54,246)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(54,246)</w:t>
            </w: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Balances as of April 30, 2023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70,531,307</w:t>
            </w:r>
          </w:p>
        </w:tc>
        <w:tc>
          <w:tcPr>
            <w:tcW w:w="100" w:type="dxa"/>
            <w:vAlign w:val="bottom"/>
          </w:tcPr>
          <w:p>
            <w:pPr>
              <w:spacing w:after="0"/>
              <w:rPr>
                <w:sz w:val="17"/>
                <w:szCs w:val="17"/>
                <w:color w:val="auto"/>
              </w:rPr>
            </w:pPr>
          </w:p>
        </w:tc>
        <w:tc>
          <w:tcPr>
            <w:tcW w:w="78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71</w:t>
            </w:r>
          </w:p>
        </w:tc>
        <w:tc>
          <w:tcPr>
            <w:tcW w:w="140" w:type="dxa"/>
            <w:vAlign w:val="bottom"/>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2,382,121</w:t>
            </w:r>
          </w:p>
        </w:tc>
        <w:tc>
          <w:tcPr>
            <w:tcW w:w="12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(1,319)</w:t>
            </w:r>
          </w:p>
        </w:tc>
        <w:tc>
          <w:tcPr>
            <w:tcW w:w="100" w:type="dxa"/>
            <w:vAlign w:val="bottom"/>
            <w:gridSpan w:val="2"/>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(1,589,278)</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792,429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8"/>
        </w:trPr>
        <w:tc>
          <w:tcPr>
            <w:tcW w:w="3320" w:type="dxa"/>
            <w:vAlign w:val="bottom"/>
          </w:tcPr>
          <w:p>
            <w:pPr>
              <w:spacing w:after="0"/>
              <w:rPr>
                <w:sz w:val="24"/>
                <w:szCs w:val="24"/>
                <w:color w:val="auto"/>
              </w:rPr>
            </w:pPr>
          </w:p>
        </w:tc>
        <w:tc>
          <w:tcPr>
            <w:tcW w:w="1900" w:type="dxa"/>
            <w:vAlign w:val="bottom"/>
            <w:gridSpan w:val="4"/>
          </w:tcPr>
          <w:p>
            <w:pPr>
              <w:jc w:val="right"/>
              <w:ind w:right="354"/>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Additional Paid-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vMerge w:val="restart"/>
          </w:tcPr>
          <w:p>
            <w:pPr>
              <w:jc w:val="center"/>
              <w:ind w:right="30"/>
              <w:spacing w:after="0"/>
              <w:rPr>
                <w:sz w:val="20"/>
                <w:szCs w:val="20"/>
                <w:color w:val="auto"/>
              </w:rPr>
            </w:pPr>
            <w:r>
              <w:rPr>
                <w:rFonts w:ascii="Arial" w:cs="Arial" w:eastAsia="Arial" w:hAnsi="Arial"/>
                <w:sz w:val="13"/>
                <w:szCs w:val="13"/>
                <w:b w:val="1"/>
                <w:bCs w:val="1"/>
                <w:color w:val="auto"/>
                <w:w w:val="90"/>
              </w:rPr>
              <w:t>Treasury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vMerge w:val="restart"/>
          </w:tcPr>
          <w:p>
            <w:pPr>
              <w:jc w:val="center"/>
              <w:ind w:right="10"/>
              <w:spacing w:after="0"/>
              <w:rPr>
                <w:sz w:val="20"/>
                <w:szCs w:val="20"/>
                <w:color w:val="auto"/>
              </w:rPr>
            </w:pPr>
            <w:r>
              <w:rPr>
                <w:rFonts w:ascii="Arial" w:cs="Arial" w:eastAsia="Arial" w:hAnsi="Arial"/>
                <w:sz w:val="13"/>
                <w:szCs w:val="13"/>
                <w:b w:val="1"/>
                <w:bCs w:val="1"/>
                <w:color w:val="auto"/>
                <w:w w:val="88"/>
              </w:rPr>
              <w:t>Accumulated Other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24"/>
                <w:szCs w:val="2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87"/>
              </w:rPr>
              <w:t>Total Stockholders’</w:t>
            </w:r>
          </w:p>
        </w:tc>
        <w:tc>
          <w:tcPr>
            <w:tcW w:w="0" w:type="dxa"/>
            <w:vAlign w:val="bottom"/>
          </w:tcPr>
          <w:p>
            <w:pPr>
              <w:spacing w:after="0"/>
              <w:rPr>
                <w:sz w:val="1"/>
                <w:szCs w:val="1"/>
                <w:color w:val="auto"/>
              </w:rPr>
            </w:pPr>
          </w:p>
        </w:tc>
      </w:tr>
      <w:tr>
        <w:trPr>
          <w:trHeight w:val="43"/>
        </w:trPr>
        <w:tc>
          <w:tcPr>
            <w:tcW w:w="33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1020" w:type="dxa"/>
            <w:vAlign w:val="bottom"/>
          </w:tcPr>
          <w:p>
            <w:pPr>
              <w:jc w:val="right"/>
              <w:ind w:right="25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69"/>
              <w:spacing w:after="0"/>
              <w:rPr>
                <w:sz w:val="20"/>
                <w:szCs w:val="20"/>
                <w:color w:val="auto"/>
              </w:rPr>
            </w:pPr>
            <w:r>
              <w:rPr>
                <w:rFonts w:ascii="Arial" w:cs="Arial" w:eastAsia="Arial" w:hAnsi="Arial"/>
                <w:sz w:val="13"/>
                <w:szCs w:val="13"/>
                <w:b w:val="1"/>
                <w:bCs w:val="1"/>
                <w:color w:val="auto"/>
                <w:w w:val="95"/>
              </w:rPr>
              <w:t>In Capital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30"/>
              <w:spacing w:after="0"/>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Comprehensive 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7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January 31,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67,444,360</w:t>
            </w:r>
          </w:p>
        </w:tc>
        <w:tc>
          <w:tcPr>
            <w:tcW w:w="880" w:type="dxa"/>
            <w:vAlign w:val="bottom"/>
            <w:tcBorders>
              <w:bottom w:val="single" w:sz="8" w:color="CCEEFF"/>
            </w:tcBorders>
            <w:gridSpan w:val="3"/>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1,860,514</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(1,189,634)</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666,700</w:t>
            </w:r>
          </w:p>
        </w:tc>
        <w:tc>
          <w:tcPr>
            <w:tcW w:w="0" w:type="dxa"/>
            <w:vAlign w:val="bottom"/>
          </w:tcPr>
          <w:p>
            <w:pPr>
              <w:spacing w:after="0"/>
              <w:rPr>
                <w:sz w:val="1"/>
                <w:szCs w:val="1"/>
                <w:color w:val="auto"/>
              </w:rPr>
            </w:pPr>
          </w:p>
        </w:tc>
      </w:tr>
      <w:tr>
        <w:trPr>
          <w:trHeight w:val="204"/>
        </w:trPr>
        <w:tc>
          <w:tcPr>
            <w:tcW w:w="3320" w:type="dxa"/>
            <w:vAlign w:val="bottom"/>
          </w:tcPr>
          <w:p>
            <w:pPr>
              <w:ind w:left="180"/>
              <w:spacing w:after="0"/>
              <w:rPr>
                <w:sz w:val="20"/>
                <w:szCs w:val="20"/>
                <w:color w:val="auto"/>
              </w:rPr>
            </w:pPr>
            <w:r>
              <w:rPr>
                <w:rFonts w:ascii="Arial" w:cs="Arial" w:eastAsia="Arial" w:hAnsi="Arial"/>
                <w:sz w:val="14"/>
                <w:szCs w:val="14"/>
                <w:color w:val="auto"/>
              </w:rPr>
              <w:t>Stock option exercises</w:t>
            </w:r>
          </w:p>
        </w:tc>
        <w:tc>
          <w:tcPr>
            <w:tcW w:w="1020" w:type="dxa"/>
            <w:vAlign w:val="bottom"/>
          </w:tcPr>
          <w:p>
            <w:pPr>
              <w:jc w:val="right"/>
              <w:spacing w:after="0"/>
              <w:rPr>
                <w:sz w:val="20"/>
                <w:szCs w:val="20"/>
                <w:color w:val="auto"/>
              </w:rPr>
            </w:pPr>
            <w:r>
              <w:rPr>
                <w:rFonts w:ascii="Arial" w:cs="Arial" w:eastAsia="Arial" w:hAnsi="Arial"/>
                <w:sz w:val="14"/>
                <w:szCs w:val="14"/>
                <w:color w:val="auto"/>
              </w:rPr>
              <w:t>235,517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1,656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Vesting of restricted stock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4"/>
        </w:trPr>
        <w:tc>
          <w:tcPr>
            <w:tcW w:w="332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83,566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83,566</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Conversion of convertible senior notes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4"/>
        </w:trPr>
        <w:tc>
          <w:tcPr>
            <w:tcW w:w="3320" w:type="dxa"/>
            <w:vAlign w:val="bottom"/>
          </w:tcPr>
          <w:p>
            <w:pPr>
              <w:ind w:left="180"/>
              <w:spacing w:after="0"/>
              <w:rPr>
                <w:sz w:val="20"/>
                <w:szCs w:val="20"/>
                <w:color w:val="auto"/>
              </w:rPr>
            </w:pPr>
            <w:r>
              <w:rPr>
                <w:rFonts w:ascii="Arial" w:cs="Arial" w:eastAsia="Arial" w:hAnsi="Arial"/>
                <w:sz w:val="14"/>
                <w:szCs w:val="14"/>
                <w:color w:val="auto"/>
              </w:rPr>
              <w:t>Unrealized loss on available-for-sale securities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(2,364)</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613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90"/>
        </w:trPr>
        <w:tc>
          <w:tcPr>
            <w:tcW w:w="332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(77,294)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(77,294)</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April 30, 2022</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68,061,063</w:t>
            </w:r>
          </w:p>
        </w:tc>
        <w:tc>
          <w:tcPr>
            <w:tcW w:w="1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1,945,737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(1,266,928)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672,879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3"/>
                <w:szCs w:val="13"/>
                <w:b w:val="1"/>
                <w:bCs w:val="1"/>
                <w:color w:val="auto"/>
              </w:rPr>
              <w:t>Three Months Ended April 30,</w:t>
            </w:r>
          </w:p>
        </w:tc>
        <w:tc>
          <w:tcPr>
            <w:tcW w:w="0" w:type="dxa"/>
            <w:vAlign w:val="bottom"/>
          </w:tcPr>
          <w:p>
            <w:pPr>
              <w:spacing w:after="0"/>
              <w:rPr>
                <w:sz w:val="1"/>
                <w:szCs w:val="1"/>
                <w:color w:val="auto"/>
              </w:rPr>
            </w:pPr>
          </w:p>
        </w:tc>
      </w:tr>
      <w:tr>
        <w:trPr>
          <w:trHeight w:val="164"/>
        </w:trPr>
        <w:tc>
          <w:tcPr>
            <w:tcW w:w="7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637"/>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5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5"/>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780" w:type="dxa"/>
            <w:vAlign w:val="bottom"/>
            <w:shd w:val="clear" w:color="auto" w:fill="CCEEFF"/>
          </w:tcPr>
          <w:p>
            <w:pPr>
              <w:ind w:left="60"/>
              <w:spacing w:after="0" w:line="144" w:lineRule="exact"/>
              <w:rPr>
                <w:sz w:val="20"/>
                <w:szCs w:val="20"/>
                <w:color w:val="auto"/>
              </w:rPr>
            </w:pPr>
            <w:r>
              <w:rPr>
                <w:rFonts w:ascii="Arial" w:cs="Arial" w:eastAsia="Arial" w:hAnsi="Arial"/>
                <w:sz w:val="13"/>
                <w:szCs w:val="13"/>
                <w:b w:val="1"/>
                <w:bCs w:val="1"/>
                <w:color w:val="auto"/>
              </w:rPr>
              <w:t>Cash flows from operating activities</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80" w:type="dxa"/>
            <w:vAlign w:val="bottom"/>
          </w:tcPr>
          <w:p>
            <w:pPr>
              <w:ind w:left="60"/>
              <w:spacing w:after="0"/>
              <w:rPr>
                <w:sz w:val="20"/>
                <w:szCs w:val="20"/>
                <w:color w:val="auto"/>
              </w:rPr>
            </w:pPr>
            <w:r>
              <w:rPr>
                <w:rFonts w:ascii="Arial" w:cs="Arial" w:eastAsia="Arial" w:hAnsi="Arial"/>
                <w:sz w:val="13"/>
                <w:szCs w:val="13"/>
                <w:color w:val="auto"/>
              </w:rPr>
              <w:t>Net loss</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(54,246)</w:t>
            </w:r>
          </w:p>
        </w:tc>
        <w:tc>
          <w:tcPr>
            <w:tcW w:w="5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(77,294)</w:t>
            </w: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shd w:val="clear" w:color="auto" w:fill="CCEEFF"/>
          </w:tcPr>
          <w:p>
            <w:pPr>
              <w:ind w:left="6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4,373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3,787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Stock-based compensation</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103,955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83,566</w:t>
            </w:r>
          </w:p>
        </w:tc>
        <w:tc>
          <w:tcPr>
            <w:tcW w:w="0" w:type="dxa"/>
            <w:vAlign w:val="bottom"/>
          </w:tcPr>
          <w:p>
            <w:pPr>
              <w:spacing w:after="0"/>
              <w:rPr>
                <w:sz w:val="1"/>
                <w:szCs w:val="1"/>
                <w:color w:val="auto"/>
              </w:rPr>
            </w:pPr>
          </w:p>
        </w:tc>
      </w:tr>
      <w:tr>
        <w:trPr>
          <w:trHeight w:val="187"/>
        </w:trPr>
        <w:tc>
          <w:tcPr>
            <w:tcW w:w="7780" w:type="dxa"/>
            <w:vAlign w:val="bottom"/>
          </w:tcPr>
          <w:p>
            <w:pPr>
              <w:ind w:left="260"/>
              <w:spacing w:after="0"/>
              <w:rPr>
                <w:sz w:val="20"/>
                <w:szCs w:val="20"/>
                <w:color w:val="auto"/>
              </w:rPr>
            </w:pPr>
            <w:r>
              <w:rPr>
                <w:rFonts w:ascii="Arial" w:cs="Arial" w:eastAsia="Arial" w:hAnsi="Arial"/>
                <w:sz w:val="13"/>
                <w:szCs w:val="13"/>
                <w:color w:val="auto"/>
              </w:rPr>
              <w:t>Amortization of debt discount and issuance costs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847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840</w:t>
            </w: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Amortization of finance right-of-use assets</w:t>
            </w: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994</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994</w:t>
            </w:r>
          </w:p>
        </w:tc>
        <w:tc>
          <w:tcPr>
            <w:tcW w:w="0" w:type="dxa"/>
            <w:vAlign w:val="bottom"/>
          </w:tcPr>
          <w:p>
            <w:pPr>
              <w:spacing w:after="0"/>
              <w:rPr>
                <w:sz w:val="1"/>
                <w:szCs w:val="1"/>
                <w:color w:val="auto"/>
              </w:rPr>
            </w:pPr>
          </w:p>
        </w:tc>
      </w:tr>
      <w:tr>
        <w:trPr>
          <w:trHeight w:val="194"/>
        </w:trPr>
        <w:tc>
          <w:tcPr>
            <w:tcW w:w="7780" w:type="dxa"/>
            <w:vAlign w:val="bottom"/>
          </w:tcPr>
          <w:p>
            <w:pPr>
              <w:ind w:left="260"/>
              <w:spacing w:after="0"/>
              <w:rPr>
                <w:sz w:val="20"/>
                <w:szCs w:val="20"/>
                <w:color w:val="auto"/>
              </w:rPr>
            </w:pPr>
            <w:r>
              <w:rPr>
                <w:rFonts w:ascii="Arial" w:cs="Arial" w:eastAsia="Arial" w:hAnsi="Arial"/>
                <w:sz w:val="13"/>
                <w:szCs w:val="13"/>
                <w:color w:val="auto"/>
              </w:rPr>
              <w:t>Amortization of operating right-of-use assets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2,225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income taxes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94"/>
        </w:trPr>
        <w:tc>
          <w:tcPr>
            <w:tcW w:w="7780" w:type="dxa"/>
            <w:vAlign w:val="bottom"/>
          </w:tcPr>
          <w:p>
            <w:pPr>
              <w:ind w:left="260"/>
              <w:spacing w:after="0"/>
              <w:rPr>
                <w:sz w:val="20"/>
                <w:szCs w:val="20"/>
                <w:color w:val="auto"/>
              </w:rPr>
            </w:pPr>
            <w:r>
              <w:rPr>
                <w:rFonts w:ascii="Arial" w:cs="Arial" w:eastAsia="Arial" w:hAnsi="Arial"/>
                <w:sz w:val="13"/>
                <w:szCs w:val="13"/>
                <w:color w:val="auto"/>
              </w:rPr>
              <w:t>Amortization of premium and accretion of discount on short-term investments, net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(13,230)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2,231</w:t>
            </w:r>
          </w:p>
        </w:tc>
        <w:tc>
          <w:tcPr>
            <w:tcW w:w="0" w:type="dxa"/>
            <w:vAlign w:val="bottom"/>
          </w:tcPr>
          <w:p>
            <w:pPr>
              <w:spacing w:after="0"/>
              <w:rPr>
                <w:sz w:val="1"/>
                <w:szCs w:val="1"/>
                <w:color w:val="auto"/>
              </w:rPr>
            </w:pPr>
          </w:p>
        </w:tc>
      </w:tr>
      <w:tr>
        <w:trPr>
          <w:trHeight w:val="20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Unrealized gain on non-marketable securities</w:t>
            </w: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(2,226)</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(1,751)</w:t>
            </w:r>
          </w:p>
        </w:tc>
        <w:tc>
          <w:tcPr>
            <w:tcW w:w="0" w:type="dxa"/>
            <w:vAlign w:val="bottom"/>
          </w:tcPr>
          <w:p>
            <w:pPr>
              <w:spacing w:after="0"/>
              <w:rPr>
                <w:sz w:val="1"/>
                <w:szCs w:val="1"/>
                <w:color w:val="auto"/>
              </w:rPr>
            </w:pPr>
          </w:p>
        </w:tc>
      </w:tr>
      <w:tr>
        <w:trPr>
          <w:trHeight w:val="173"/>
        </w:trPr>
        <w:tc>
          <w:tcPr>
            <w:tcW w:w="7780" w:type="dxa"/>
            <w:vAlign w:val="bottom"/>
          </w:tcPr>
          <w:p>
            <w:pPr>
              <w:ind w:left="280"/>
              <w:spacing w:after="0"/>
              <w:rPr>
                <w:sz w:val="20"/>
                <w:szCs w:val="20"/>
                <w:color w:val="auto"/>
              </w:rPr>
            </w:pPr>
            <w:r>
              <w:rPr>
                <w:rFonts w:ascii="Arial" w:cs="Arial" w:eastAsia="Arial" w:hAnsi="Arial"/>
                <w:sz w:val="13"/>
                <w:szCs w:val="13"/>
                <w:color w:val="auto"/>
              </w:rPr>
              <w:t>Unrealized foreign exchange loss</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429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shd w:val="clear" w:color="auto" w:fill="CCEEFF"/>
          </w:tcPr>
          <w:p>
            <w:pPr>
              <w:ind w:left="60"/>
              <w:spacing w:after="0"/>
              <w:rPr>
                <w:sz w:val="20"/>
                <w:szCs w:val="20"/>
                <w:color w:val="auto"/>
              </w:rPr>
            </w:pPr>
            <w:r>
              <w:rPr>
                <w:rFonts w:ascii="Arial" w:cs="Arial" w:eastAsia="Arial" w:hAnsi="Arial"/>
                <w:sz w:val="13"/>
                <w:szCs w:val="13"/>
                <w:color w:val="auto"/>
              </w:rPr>
              <w:t>Change in operating assets and liabilities:</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80" w:type="dxa"/>
            <w:vAlign w:val="bottom"/>
          </w:tcPr>
          <w:p>
            <w:pPr>
              <w:ind w:left="260"/>
              <w:spacing w:after="0"/>
              <w:rPr>
                <w:sz w:val="20"/>
                <w:szCs w:val="20"/>
                <w:color w:val="auto"/>
              </w:rPr>
            </w:pPr>
            <w:r>
              <w:rPr>
                <w:rFonts w:ascii="Arial" w:cs="Arial" w:eastAsia="Arial" w:hAnsi="Arial"/>
                <w:sz w:val="13"/>
                <w:szCs w:val="13"/>
                <w:color w:val="auto"/>
              </w:rPr>
              <w:t>Accounts receivable</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73,364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28,740</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(3,293)</w:t>
            </w:r>
          </w:p>
        </w:tc>
        <w:tc>
          <w:tcPr>
            <w:tcW w:w="0" w:type="dxa"/>
            <w:vAlign w:val="bottom"/>
          </w:tcPr>
          <w:p>
            <w:pPr>
              <w:spacing w:after="0"/>
              <w:rPr>
                <w:sz w:val="1"/>
                <w:szCs w:val="1"/>
                <w:color w:val="auto"/>
              </w:rPr>
            </w:pPr>
          </w:p>
        </w:tc>
      </w:tr>
      <w:tr>
        <w:trPr>
          <w:trHeight w:val="187"/>
        </w:trPr>
        <w:tc>
          <w:tcPr>
            <w:tcW w:w="7780" w:type="dxa"/>
            <w:vAlign w:val="bottom"/>
          </w:tcPr>
          <w:p>
            <w:pPr>
              <w:ind w:left="260"/>
              <w:spacing w:after="0"/>
              <w:rPr>
                <w:sz w:val="20"/>
                <w:szCs w:val="20"/>
                <w:color w:val="auto"/>
              </w:rPr>
            </w:pPr>
            <w:r>
              <w:rPr>
                <w:rFonts w:ascii="Arial" w:cs="Arial" w:eastAsia="Arial" w:hAnsi="Arial"/>
                <w:sz w:val="13"/>
                <w:szCs w:val="13"/>
                <w:color w:val="auto"/>
              </w:rPr>
              <w:t>Deferred commissions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2,664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(4,722)</w:t>
            </w: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Other long-term assets</w:t>
            </w: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94"/>
        </w:trPr>
        <w:tc>
          <w:tcPr>
            <w:tcW w:w="7780" w:type="dxa"/>
            <w:vAlign w:val="bottom"/>
          </w:tcPr>
          <w:p>
            <w:pPr>
              <w:ind w:left="260"/>
              <w:spacing w:after="0"/>
              <w:rPr>
                <w:sz w:val="20"/>
                <w:szCs w:val="20"/>
                <w:color w:val="auto"/>
              </w:rPr>
            </w:pPr>
            <w:r>
              <w:rPr>
                <w:rFonts w:ascii="Arial" w:cs="Arial" w:eastAsia="Arial" w:hAnsi="Arial"/>
                <w:sz w:val="13"/>
                <w:szCs w:val="13"/>
                <w:color w:val="auto"/>
              </w:rPr>
              <w:t>Accounts payable</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(304)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1,023</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Accrued liabilities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(23,016)</w:t>
            </w:r>
          </w:p>
        </w:tc>
        <w:tc>
          <w:tcPr>
            <w:tcW w:w="0" w:type="dxa"/>
            <w:vAlign w:val="bottom"/>
          </w:tcPr>
          <w:p>
            <w:pPr>
              <w:spacing w:after="0"/>
              <w:rPr>
                <w:sz w:val="1"/>
                <w:szCs w:val="1"/>
                <w:color w:val="auto"/>
              </w:rPr>
            </w:pPr>
          </w:p>
        </w:tc>
      </w:tr>
      <w:tr>
        <w:trPr>
          <w:trHeight w:val="200"/>
        </w:trPr>
        <w:tc>
          <w:tcPr>
            <w:tcW w:w="7780" w:type="dxa"/>
            <w:vAlign w:val="bottom"/>
          </w:tcPr>
          <w:p>
            <w:pPr>
              <w:ind w:left="260"/>
              <w:spacing w:after="0"/>
              <w:rPr>
                <w:sz w:val="20"/>
                <w:szCs w:val="20"/>
                <w:color w:val="auto"/>
              </w:rPr>
            </w:pPr>
            <w:r>
              <w:rPr>
                <w:rFonts w:ascii="Arial" w:cs="Arial" w:eastAsia="Arial" w:hAnsi="Arial"/>
                <w:sz w:val="13"/>
                <w:szCs w:val="13"/>
                <w:color w:val="auto"/>
              </w:rPr>
              <w:t>Operating lease liabilities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(2,394)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(2,192)</w:t>
            </w:r>
          </w:p>
        </w:tc>
        <w:tc>
          <w:tcPr>
            <w:tcW w:w="0" w:type="dxa"/>
            <w:vAlign w:val="bottom"/>
          </w:tcPr>
          <w:p>
            <w:pPr>
              <w:spacing w:after="0"/>
              <w:rPr>
                <w:sz w:val="1"/>
                <w:szCs w:val="1"/>
                <w:color w:val="auto"/>
              </w:rPr>
            </w:pPr>
          </w:p>
        </w:tc>
      </w:tr>
      <w:tr>
        <w:trPr>
          <w:trHeight w:val="29"/>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revenue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(47,266)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210"/>
        </w:trPr>
        <w:tc>
          <w:tcPr>
            <w:tcW w:w="7780" w:type="dxa"/>
            <w:vAlign w:val="bottom"/>
          </w:tcPr>
          <w:p>
            <w:pPr>
              <w:ind w:left="260"/>
              <w:spacing w:after="0"/>
              <w:rPr>
                <w:sz w:val="20"/>
                <w:szCs w:val="20"/>
                <w:color w:val="auto"/>
              </w:rPr>
            </w:pPr>
            <w:r>
              <w:rPr>
                <w:rFonts w:ascii="Arial" w:cs="Arial" w:eastAsia="Arial" w:hAnsi="Arial"/>
                <w:sz w:val="13"/>
                <w:szCs w:val="13"/>
                <w:color w:val="auto"/>
              </w:rPr>
              <w:t>Other liabilities, non-current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83"/>
        </w:trPr>
        <w:tc>
          <w:tcPr>
            <w:tcW w:w="7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Net cash provided by operating activities</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53,730</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11,574</w:t>
            </w:r>
          </w:p>
        </w:tc>
        <w:tc>
          <w:tcPr>
            <w:tcW w:w="0" w:type="dxa"/>
            <w:vAlign w:val="bottom"/>
          </w:tcPr>
          <w:p>
            <w:pPr>
              <w:spacing w:after="0"/>
              <w:rPr>
                <w:sz w:val="1"/>
                <w:szCs w:val="1"/>
                <w:color w:val="auto"/>
              </w:rPr>
            </w:pPr>
          </w:p>
        </w:tc>
      </w:tr>
      <w:tr>
        <w:trPr>
          <w:trHeight w:val="170"/>
        </w:trPr>
        <w:tc>
          <w:tcPr>
            <w:tcW w:w="7780" w:type="dxa"/>
            <w:vAlign w:val="bottom"/>
          </w:tcPr>
          <w:p>
            <w:pPr>
              <w:ind w:left="60"/>
              <w:spacing w:after="0"/>
              <w:rPr>
                <w:sz w:val="20"/>
                <w:szCs w:val="20"/>
                <w:color w:val="auto"/>
              </w:rPr>
            </w:pPr>
            <w:r>
              <w:rPr>
                <w:rFonts w:ascii="Arial" w:cs="Arial" w:eastAsia="Arial" w:hAnsi="Arial"/>
                <w:sz w:val="13"/>
                <w:szCs w:val="13"/>
                <w:b w:val="1"/>
                <w:bCs w:val="1"/>
                <w:color w:val="auto"/>
              </w:rPr>
              <w:t>Cash flows from investing activities</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Purchases of property and equipment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(2,538)</w:t>
            </w:r>
          </w:p>
        </w:tc>
        <w:tc>
          <w:tcPr>
            <w:tcW w:w="0" w:type="dxa"/>
            <w:vAlign w:val="bottom"/>
          </w:tcPr>
          <w:p>
            <w:pPr>
              <w:spacing w:after="0"/>
              <w:rPr>
                <w:sz w:val="1"/>
                <w:szCs w:val="1"/>
                <w:color w:val="auto"/>
              </w:rPr>
            </w:pPr>
          </w:p>
        </w:tc>
      </w:tr>
      <w:tr>
        <w:trPr>
          <w:trHeight w:val="186"/>
        </w:trPr>
        <w:tc>
          <w:tcPr>
            <w:tcW w:w="7780" w:type="dxa"/>
            <w:vAlign w:val="bottom"/>
          </w:tcPr>
          <w:p>
            <w:pPr>
              <w:ind w:left="280"/>
              <w:spacing w:after="0"/>
              <w:rPr>
                <w:sz w:val="20"/>
                <w:szCs w:val="20"/>
                <w:color w:val="auto"/>
              </w:rPr>
            </w:pPr>
            <w:r>
              <w:rPr>
                <w:rFonts w:ascii="Arial" w:cs="Arial" w:eastAsia="Arial" w:hAnsi="Arial"/>
                <w:sz w:val="13"/>
                <w:szCs w:val="13"/>
                <w:color w:val="auto"/>
              </w:rPr>
              <w:t>Investment in non-marketable securities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(1,306)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(1,119)</w:t>
            </w:r>
          </w:p>
        </w:tc>
        <w:tc>
          <w:tcPr>
            <w:tcW w:w="0" w:type="dxa"/>
            <w:vAlign w:val="bottom"/>
          </w:tcPr>
          <w:p>
            <w:pPr>
              <w:spacing w:after="0"/>
              <w:rPr>
                <w:sz w:val="1"/>
                <w:szCs w:val="1"/>
                <w:color w:val="auto"/>
              </w:rPr>
            </w:pPr>
          </w:p>
        </w:tc>
      </w:tr>
      <w:tr>
        <w:trPr>
          <w:trHeight w:val="30"/>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Proceeds from maturities of marketable securities</w:t>
            </w: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280,000</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75,000</w:t>
            </w:r>
          </w:p>
        </w:tc>
        <w:tc>
          <w:tcPr>
            <w:tcW w:w="0" w:type="dxa"/>
            <w:vAlign w:val="bottom"/>
          </w:tcPr>
          <w:p>
            <w:pPr>
              <w:spacing w:after="0"/>
              <w:rPr>
                <w:sz w:val="1"/>
                <w:szCs w:val="1"/>
                <w:color w:val="auto"/>
              </w:rPr>
            </w:pPr>
          </w:p>
        </w:tc>
      </w:tr>
      <w:tr>
        <w:trPr>
          <w:trHeight w:val="187"/>
        </w:trPr>
        <w:tc>
          <w:tcPr>
            <w:tcW w:w="7780" w:type="dxa"/>
            <w:vAlign w:val="bottom"/>
          </w:tcPr>
          <w:p>
            <w:pPr>
              <w:ind w:left="260"/>
              <w:spacing w:after="0"/>
              <w:rPr>
                <w:sz w:val="20"/>
                <w:szCs w:val="20"/>
                <w:color w:val="auto"/>
              </w:rPr>
            </w:pPr>
            <w:r>
              <w:rPr>
                <w:rFonts w:ascii="Arial" w:cs="Arial" w:eastAsia="Arial" w:hAnsi="Arial"/>
                <w:sz w:val="13"/>
                <w:szCs w:val="13"/>
                <w:color w:val="auto"/>
              </w:rPr>
              <w:t>Purchases of marketable securities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(66,789)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(100,146)</w:t>
            </w:r>
          </w:p>
        </w:tc>
        <w:tc>
          <w:tcPr>
            <w:tcW w:w="0" w:type="dxa"/>
            <w:vAlign w:val="bottom"/>
          </w:tcPr>
          <w:p>
            <w:pPr>
              <w:spacing w:after="0"/>
              <w:rPr>
                <w:sz w:val="1"/>
                <w:szCs w:val="1"/>
                <w:color w:val="auto"/>
              </w:rPr>
            </w:pPr>
          </w:p>
        </w:tc>
      </w:tr>
      <w:tr>
        <w:trPr>
          <w:trHeight w:val="29"/>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cash provided by (used in) investing activities</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211,282</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(28,803)</w:t>
            </w:r>
          </w:p>
        </w:tc>
        <w:tc>
          <w:tcPr>
            <w:tcW w:w="0" w:type="dxa"/>
            <w:vAlign w:val="bottom"/>
          </w:tcPr>
          <w:p>
            <w:pPr>
              <w:spacing w:after="0"/>
              <w:rPr>
                <w:sz w:val="1"/>
                <w:szCs w:val="1"/>
                <w:color w:val="auto"/>
              </w:rPr>
            </w:pPr>
          </w:p>
        </w:tc>
      </w:tr>
      <w:tr>
        <w:trPr>
          <w:trHeight w:val="144"/>
        </w:trPr>
        <w:tc>
          <w:tcPr>
            <w:tcW w:w="7780" w:type="dxa"/>
            <w:vAlign w:val="bottom"/>
          </w:tcPr>
          <w:p>
            <w:pPr>
              <w:ind w:left="60"/>
              <w:spacing w:after="0" w:line="144" w:lineRule="exact"/>
              <w:rPr>
                <w:sz w:val="20"/>
                <w:szCs w:val="20"/>
                <w:color w:val="auto"/>
              </w:rPr>
            </w:pPr>
            <w:r>
              <w:rPr>
                <w:rFonts w:ascii="Arial" w:cs="Arial" w:eastAsia="Arial" w:hAnsi="Arial"/>
                <w:sz w:val="13"/>
                <w:szCs w:val="13"/>
                <w:b w:val="1"/>
                <w:bCs w:val="1"/>
                <w:color w:val="auto"/>
              </w:rPr>
              <w:t>Cash flows from financing activities</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Proceeds from exercise of stock options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1,656</w:t>
            </w:r>
          </w:p>
        </w:tc>
        <w:tc>
          <w:tcPr>
            <w:tcW w:w="0" w:type="dxa"/>
            <w:vAlign w:val="bottom"/>
          </w:tcPr>
          <w:p>
            <w:pPr>
              <w:spacing w:after="0"/>
              <w:rPr>
                <w:sz w:val="1"/>
                <w:szCs w:val="1"/>
                <w:color w:val="auto"/>
              </w:rPr>
            </w:pPr>
          </w:p>
        </w:tc>
      </w:tr>
      <w:tr>
        <w:trPr>
          <w:trHeight w:val="210"/>
        </w:trPr>
        <w:tc>
          <w:tcPr>
            <w:tcW w:w="7780" w:type="dxa"/>
            <w:vAlign w:val="bottom"/>
          </w:tcPr>
          <w:p>
            <w:pPr>
              <w:ind w:left="260"/>
              <w:spacing w:after="0"/>
              <w:rPr>
                <w:sz w:val="20"/>
                <w:szCs w:val="20"/>
                <w:color w:val="auto"/>
              </w:rPr>
            </w:pPr>
            <w:r>
              <w:rPr>
                <w:rFonts w:ascii="Arial" w:cs="Arial" w:eastAsia="Arial" w:hAnsi="Arial"/>
                <w:sz w:val="13"/>
                <w:szCs w:val="13"/>
                <w:color w:val="auto"/>
              </w:rPr>
              <w:t>Principal repayments of finance leases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(595)</w:t>
            </w:r>
          </w:p>
        </w:tc>
        <w:tc>
          <w:tcPr>
            <w:tcW w:w="0" w:type="dxa"/>
            <w:vAlign w:val="bottom"/>
          </w:tcPr>
          <w:p>
            <w:pPr>
              <w:spacing w:after="0"/>
              <w:rPr>
                <w:sz w:val="1"/>
                <w:szCs w:val="1"/>
                <w:color w:val="auto"/>
              </w:rPr>
            </w:pPr>
          </w:p>
        </w:tc>
      </w:tr>
      <w:tr>
        <w:trPr>
          <w:trHeight w:val="183"/>
        </w:trPr>
        <w:tc>
          <w:tcPr>
            <w:tcW w:w="7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Net cash provided by financing activities</w:t>
            </w: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1,061</w:t>
            </w:r>
          </w:p>
        </w:tc>
        <w:tc>
          <w:tcPr>
            <w:tcW w:w="0" w:type="dxa"/>
            <w:vAlign w:val="bottom"/>
          </w:tcPr>
          <w:p>
            <w:pPr>
              <w:spacing w:after="0"/>
              <w:rPr>
                <w:sz w:val="1"/>
                <w:szCs w:val="1"/>
                <w:color w:val="auto"/>
              </w:rPr>
            </w:pPr>
          </w:p>
        </w:tc>
      </w:tr>
      <w:tr>
        <w:trPr>
          <w:trHeight w:val="186"/>
        </w:trPr>
        <w:tc>
          <w:tcPr>
            <w:tcW w:w="7780" w:type="dxa"/>
            <w:vAlign w:val="bottom"/>
          </w:tcPr>
          <w:p>
            <w:pPr>
              <w:ind w:left="6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709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(1,467)</w:t>
            </w:r>
          </w:p>
        </w:tc>
        <w:tc>
          <w:tcPr>
            <w:tcW w:w="0" w:type="dxa"/>
            <w:vAlign w:val="bottom"/>
          </w:tcPr>
          <w:p>
            <w:pPr>
              <w:spacing w:after="0"/>
              <w:rPr>
                <w:sz w:val="1"/>
                <w:szCs w:val="1"/>
                <w:color w:val="auto"/>
              </w:rPr>
            </w:pPr>
          </w:p>
        </w:tc>
      </w:tr>
      <w:tr>
        <w:trPr>
          <w:trHeight w:val="30"/>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265,851</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(17,635)</w:t>
            </w:r>
          </w:p>
        </w:tc>
        <w:tc>
          <w:tcPr>
            <w:tcW w:w="0" w:type="dxa"/>
            <w:vAlign w:val="bottom"/>
          </w:tcPr>
          <w:p>
            <w:pPr>
              <w:spacing w:after="0"/>
              <w:rPr>
                <w:sz w:val="1"/>
                <w:szCs w:val="1"/>
                <w:color w:val="auto"/>
              </w:rPr>
            </w:pPr>
          </w:p>
        </w:tc>
      </w:tr>
      <w:tr>
        <w:trPr>
          <w:trHeight w:val="210"/>
        </w:trPr>
        <w:tc>
          <w:tcPr>
            <w:tcW w:w="7780" w:type="dxa"/>
            <w:vAlign w:val="bottom"/>
          </w:tcPr>
          <w:p>
            <w:pPr>
              <w:ind w:left="60"/>
              <w:spacing w:after="0"/>
              <w:rPr>
                <w:sz w:val="20"/>
                <w:szCs w:val="20"/>
                <w:color w:val="auto"/>
              </w:rPr>
            </w:pPr>
            <w:r>
              <w:rPr>
                <w:rFonts w:ascii="Arial" w:cs="Arial" w:eastAsia="Arial" w:hAnsi="Arial"/>
                <w:sz w:val="13"/>
                <w:szCs w:val="13"/>
                <w:color w:val="auto"/>
              </w:rPr>
              <w:t>Cash, cash equivalents and restricted cash, beginning of period</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456,339</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474,420</w:t>
            </w:r>
          </w:p>
        </w:tc>
        <w:tc>
          <w:tcPr>
            <w:tcW w:w="0" w:type="dxa"/>
            <w:vAlign w:val="bottom"/>
          </w:tcPr>
          <w:p>
            <w:pPr>
              <w:spacing w:after="0"/>
              <w:rPr>
                <w:sz w:val="1"/>
                <w:szCs w:val="1"/>
                <w:color w:val="auto"/>
              </w:rPr>
            </w:pPr>
          </w:p>
        </w:tc>
      </w:tr>
      <w:tr>
        <w:trPr>
          <w:trHeight w:val="241"/>
        </w:trPr>
        <w:tc>
          <w:tcPr>
            <w:tcW w:w="7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Cash, cash equivalents and restricted cash, end of period</w:t>
            </w: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722,190</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456,785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3"/>
                <w:szCs w:val="13"/>
                <w:b w:val="1"/>
                <w:bCs w:val="1"/>
                <w:color w:val="auto"/>
              </w:rPr>
              <w:t>Supplemental cash flow disclosure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7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77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Cash paid during the period for:</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400"/>
              <w:spacing w:after="0"/>
              <w:rPr>
                <w:sz w:val="20"/>
                <w:szCs w:val="20"/>
                <w:color w:val="auto"/>
              </w:rPr>
            </w:pPr>
            <w:r>
              <w:rPr>
                <w:rFonts w:ascii="Arial" w:cs="Arial" w:eastAsia="Arial" w:hAnsi="Arial"/>
                <w:sz w:val="13"/>
                <w:szCs w:val="13"/>
                <w:color w:val="auto"/>
              </w:rPr>
              <w:t>Income taxes, net of refunds</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3,146</w:t>
            </w:r>
          </w:p>
        </w:tc>
        <w:tc>
          <w:tcPr>
            <w:tcW w:w="5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1,589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Interest expense</w:t>
            </w:r>
          </w:p>
        </w:tc>
        <w:tc>
          <w:tcPr>
            <w:tcW w:w="3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60"/>
              <w:spacing w:after="0" w:line="110" w:lineRule="exact"/>
              <w:rPr>
                <w:sz w:val="20"/>
                <w:szCs w:val="20"/>
                <w:color w:val="auto"/>
              </w:rPr>
            </w:pPr>
            <w:r>
              <w:rPr>
                <w:rFonts w:ascii="Arial" w:cs="Arial" w:eastAsia="Arial" w:hAnsi="Arial"/>
                <w:sz w:val="12"/>
                <w:szCs w:val="12"/>
                <w:b w:val="1"/>
                <w:bCs w:val="1"/>
                <w:color w:val="auto"/>
                <w:w w:val="94"/>
              </w:rPr>
              <w:t>Reconciliation of cash, cash equivalents and restricted cash within the condensed consolidated balance sheets, end of period, to the amounts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77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780" w:type="dxa"/>
            <w:vAlign w:val="bottom"/>
          </w:tcPr>
          <w:p>
            <w:pPr>
              <w:ind w:left="180"/>
              <w:spacing w:after="0"/>
              <w:rPr>
                <w:sz w:val="20"/>
                <w:szCs w:val="20"/>
                <w:color w:val="auto"/>
              </w:rPr>
            </w:pPr>
            <w:r>
              <w:rPr>
                <w:rFonts w:ascii="Arial" w:cs="Arial" w:eastAsia="Arial" w:hAnsi="Arial"/>
                <w:sz w:val="13"/>
                <w:szCs w:val="13"/>
                <w:b w:val="1"/>
                <w:bCs w:val="1"/>
                <w:color w:val="auto"/>
              </w:rPr>
              <w:t>shown in the statements of cash flows above:</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Cash and cash equivalents</w:t>
            </w:r>
          </w:p>
        </w:tc>
        <w:tc>
          <w:tcPr>
            <w:tcW w:w="380" w:type="dxa"/>
            <w:vAlign w:val="bottom"/>
            <w:vMerge w:val="restart"/>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721,787</w:t>
            </w:r>
          </w:p>
        </w:tc>
        <w:tc>
          <w:tcPr>
            <w:tcW w:w="5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456,275</w:t>
            </w:r>
          </w:p>
        </w:tc>
        <w:tc>
          <w:tcPr>
            <w:tcW w:w="0" w:type="dxa"/>
            <w:vAlign w:val="bottom"/>
          </w:tcPr>
          <w:p>
            <w:pPr>
              <w:spacing w:after="0"/>
              <w:rPr>
                <w:sz w:val="1"/>
                <w:szCs w:val="1"/>
                <w:color w:val="auto"/>
              </w:rPr>
            </w:pPr>
          </w:p>
        </w:tc>
      </w:tr>
      <w:tr>
        <w:trPr>
          <w:trHeight w:val="70"/>
        </w:trPr>
        <w:tc>
          <w:tcPr>
            <w:tcW w:w="778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520" w:type="dxa"/>
            <w:vAlign w:val="bottom"/>
            <w:gridSpan w:val="2"/>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780" w:type="dxa"/>
            <w:vAlign w:val="bottom"/>
          </w:tcPr>
          <w:p>
            <w:pPr>
              <w:ind w:left="260"/>
              <w:spacing w:after="0"/>
              <w:rPr>
                <w:sz w:val="20"/>
                <w:szCs w:val="20"/>
                <w:color w:val="auto"/>
              </w:rPr>
            </w:pPr>
            <w:r>
              <w:rPr>
                <w:rFonts w:ascii="Arial" w:cs="Arial" w:eastAsia="Arial" w:hAnsi="Arial"/>
                <w:sz w:val="13"/>
                <w:szCs w:val="13"/>
                <w:color w:val="auto"/>
              </w:rPr>
              <w:t>Restricted cash, non-current</w:t>
            </w: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403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50"/>
        </w:trPr>
        <w:tc>
          <w:tcPr>
            <w:tcW w:w="77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7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Total cash, cash equivalents and restricted cash</w:t>
            </w:r>
          </w:p>
        </w:tc>
        <w:tc>
          <w:tcPr>
            <w:tcW w:w="3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722,190</w:t>
            </w:r>
          </w:p>
        </w:tc>
        <w:tc>
          <w:tcPr>
            <w:tcW w:w="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456,785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MongoDB, Inc. (“MongoDB” or the “Company”) was originally incorporated in the state of Delaware in November 2007 under the name 10Gen, Inc. In August 2013, the Company changed its name to MongoDB, Inc. The Company is headquartered in New York City.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Basis of Presentation</w:t>
      </w:r>
    </w:p>
    <w:p>
      <w:pPr>
        <w:spacing w:after="0" w:line="17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accompanying interim condensed consolidated financial statements are unaudited and have been prepared in accordance with generally accepted accounting principles in the United States of America ("U.S. GAAP") for interim financial information and the instructions to Form 10-Q and Rule 10-01 of Regulation S-X. These interim unaudited condensed consolidated financial statements include the accounts of the Company and all of its wholly-owned subsidiaries. The interim unaudited condensed consolidated financial statements have been prepared on a basis consistent with the annual consolidated financial statements and in the opinion of management, reflect all adjustments, including normal recurring adjustments, which are considered necessary to fairly state the Company’s financial position and results of operations as of and for the periods presented. All intercompany transactions and accounts have been eliminated. The results of operations for the interim periods should not be considered indicative of results for the full year or for any other future year or interim period.</w:t>
      </w:r>
    </w:p>
    <w:p>
      <w:pPr>
        <w:spacing w:after="0" w:line="13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year-end condensed balance sheet data was derived from audited financial statements but does not include all disclosures required by U.S. GAAP. Therefore, these interim unaudited condensed consolidated financial statements and accompanying footnotes should be read in conjunction with the Company’s annual consolidated financial statements and related footnotes included in its Annual Report on Form 10-K for the fiscal year ended January 31, 2023 (the “2023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Use of Estimates</w:t>
      </w:r>
    </w:p>
    <w:p>
      <w:pPr>
        <w:spacing w:after="0" w:line="17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preparation of the interim unaudited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incremental borrowing rate related to the Company’s lease liabilities, stock-based compensation, legal contingencies, fair value of acquired intangible assets and goodwill, useful lives of acquired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1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global macroeconomic conditions, including slower economic growth, rising interest rates and inflation, continue to impact demand and supply for a broad variety of goods and services, including demand from the Company’s customers.</w:t>
      </w:r>
    </w:p>
    <w:p>
      <w:pPr>
        <w:spacing w:after="0" w:line="116"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Significant Accounting Policies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changes to the Company’s significant accounting policies as described in the Company’s 2023 Form 10-K.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tables present information about the Company’s financial assets that have been measured at fair value on a recurring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April 30, 2023 and January 31, 2023 and indicate the fair value hierarchy of the valuation inputs utilized to determine such fair value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Fair Value Measurement as of April 30, 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
        </w:trPr>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0"/>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ind w:left="3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30"/>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0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080" w:type="dxa"/>
            <w:vAlign w:val="bottom"/>
          </w:tcPr>
          <w:p>
            <w:pPr>
              <w:ind w:left="6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6"/>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487,055</w:t>
            </w:r>
          </w:p>
        </w:tc>
      </w:tr>
      <w:tr>
        <w:trPr>
          <w:trHeight w:val="229"/>
        </w:trPr>
        <w:tc>
          <w:tcPr>
            <w:tcW w:w="5080" w:type="dxa"/>
            <w:vAlign w:val="bottom"/>
          </w:tcPr>
          <w:p>
            <w:pPr>
              <w:ind w:left="6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3"/>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treasury securities</w:t>
            </w: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1,181,641</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1,181,641</w:t>
            </w:r>
          </w:p>
        </w:tc>
      </w:tr>
      <w:tr>
        <w:trPr>
          <w:trHeight w:val="264"/>
        </w:trPr>
        <w:tc>
          <w:tcPr>
            <w:tcW w:w="508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1,668,696</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1,668,696</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78"/>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5"/>
          </w:tcPr>
          <w:p>
            <w:pPr>
              <w:ind w:left="40"/>
              <w:spacing w:after="0"/>
              <w:rPr>
                <w:sz w:val="20"/>
                <w:szCs w:val="20"/>
                <w:color w:val="auto"/>
              </w:rPr>
            </w:pPr>
            <w:r>
              <w:rPr>
                <w:rFonts w:ascii="Arial" w:cs="Arial" w:eastAsia="Arial" w:hAnsi="Arial"/>
                <w:sz w:val="14"/>
                <w:szCs w:val="14"/>
                <w:b w:val="1"/>
                <w:bCs w:val="1"/>
                <w:color w:val="auto"/>
                <w:w w:val="94"/>
              </w:rPr>
              <w:t>Fair Value Measurement as of January 31, 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
        </w:trPr>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0"/>
        </w:trPr>
        <w:tc>
          <w:tcPr>
            <w:tcW w:w="5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415"/>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ind w:left="3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Total</w:t>
            </w:r>
          </w:p>
        </w:tc>
      </w:tr>
      <w:tr>
        <w:trPr>
          <w:trHeight w:val="30"/>
        </w:trPr>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268,985</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6"/>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 government treasury securities</w:t>
            </w: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1,380,804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1,380,804</w:t>
            </w:r>
          </w:p>
        </w:tc>
      </w:tr>
      <w:tr>
        <w:trPr>
          <w:trHeight w:val="270"/>
        </w:trPr>
        <w:tc>
          <w:tcPr>
            <w:tcW w:w="5080" w:type="dxa"/>
            <w:vAlign w:val="bottom"/>
          </w:tcPr>
          <w:p>
            <w:pPr>
              <w:ind w:left="360"/>
              <w:spacing w:after="0"/>
              <w:rPr>
                <w:sz w:val="20"/>
                <w:szCs w:val="20"/>
                <w:color w:val="auto"/>
              </w:rPr>
            </w:pPr>
            <w:r>
              <w:rPr>
                <w:rFonts w:ascii="Arial" w:cs="Arial" w:eastAsia="Arial" w:hAnsi="Arial"/>
                <w:sz w:val="18"/>
                <w:szCs w:val="18"/>
                <w:color w:val="auto"/>
              </w:rPr>
              <w:t>Total financial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1,649,789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1,649,789</w:t>
            </w:r>
          </w:p>
        </w:tc>
      </w:tr>
      <w:tr>
        <w:trPr>
          <w:trHeight w:val="27"/>
        </w:trPr>
        <w:tc>
          <w:tcPr>
            <w:tcW w:w="50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22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 utilized the market approach and Level 1 valuation inputs to value its money market mutual funds and U.S. government treasury securities because published net asset values were readily available. The contractual maturity of all marketable securities was less than one year as of April 30, 2023 and January 31, 2023. As of April 30, 2023, unrealized losses on the Company’s U.S. government treasury securities were approximately $1.6 million. The fluctuations in market interest rates impact the unrealized losses on these securities. The Company does not intend to sell these securities and, as a result, does not expect to realize these losses in its financial statements. The Company concluded that an allowance for credit losses was unnecessary for short-term investments as of April 30, 2023. Gross realized gains and losses were not material for each of the three-month periods ended April 30, 2023 and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Convertible Senior Notes</w:t>
      </w:r>
    </w:p>
    <w:p>
      <w:pPr>
        <w:spacing w:after="0" w:line="17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 xml:space="preserve">The Company measures the fair value of its outstanding convertible senior notes on a quarterly basis for disclosure purposes. The Company considers the fair value of its convertible senior notes at April 30, 2023 to be a Level 2 measurement due to limited trading activity of the convertible senior notes. Refer to Note 5,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Non-marketable Securities</w:t>
      </w:r>
    </w:p>
    <w:p>
      <w:pPr>
        <w:spacing w:after="0" w:line="17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 xml:space="preserve">As of April 30, 2023 and January 31, 2023, the total amount of non-marketable equity and debt securities included in other assets on the Company’s condensed consolidated balance sheets were $13.3 million and $9.8 million, respectively. During the three months ended April 30, 2023 and 2022, the Company invested an additional $1.3 million and $1.1 million, respectively, of its cash in non-marketable equity securities. In addition, the Company recognized an unrealized gain on certain of these non-marketable securities of $2.2 million and $1.8 million during the three months ended April 30, 2023 and 2022, respectively. Refer to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in the Notes to Consolidated Financial Statements included in Part II, Item 8 of the Company’s 2023 Form 10-K for further information. The Company considers these assets as Level 3 within the fair value hierarchy. The estimation of fair value for these investments is inherently complex due to the lack of readily available market data and inherent lack of liquidity and requires the Company’s judgment and the use of significant unobservable inputs in an inactive market. In addition, the determination of whether an orderly transaction is for the identical or a similar investment requires significant management judgment, including understanding the differences in the rights and obligations of the investments, the extent to which those differences would affect the fair values of those investments and the stage of operational development of the entities.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Acquired Intangible Assets, Net</w:t>
      </w:r>
    </w:p>
    <w:p>
      <w:pPr>
        <w:spacing w:after="0" w:line="175"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There were no material changes to goodwill carrying amounts during the three months ended April 30, 2023. The gross carrying amounts and accumulated amortization of the Company’s intangible assets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60" w:type="dxa"/>
            <w:vAlign w:val="bottom"/>
            <w:gridSpan w:val="5"/>
          </w:tcPr>
          <w:p>
            <w:pPr>
              <w:jc w:val="right"/>
              <w:ind w:right="895"/>
              <w:spacing w:after="0"/>
              <w:rPr>
                <w:sz w:val="20"/>
                <w:szCs w:val="20"/>
                <w:color w:val="auto"/>
              </w:rPr>
            </w:pPr>
            <w:r>
              <w:rPr>
                <w:rFonts w:ascii="Arial" w:cs="Arial" w:eastAsia="Arial" w:hAnsi="Arial"/>
                <w:sz w:val="14"/>
                <w:szCs w:val="14"/>
                <w:b w:val="1"/>
                <w:bCs w:val="1"/>
                <w:color w:val="auto"/>
              </w:rPr>
              <w:t>April 30, 2023</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Weighted-Average Remaining</w:t>
            </w:r>
          </w:p>
        </w:tc>
        <w:tc>
          <w:tcPr>
            <w:tcW w:w="0" w:type="dxa"/>
            <w:vAlign w:val="bottom"/>
          </w:tcPr>
          <w:p>
            <w:pPr>
              <w:spacing w:after="0"/>
              <w:rPr>
                <w:sz w:val="1"/>
                <w:szCs w:val="1"/>
                <w:color w:val="auto"/>
              </w:rPr>
            </w:pPr>
          </w:p>
        </w:tc>
      </w:tr>
      <w:tr>
        <w:trPr>
          <w:trHeight w:val="139"/>
        </w:trPr>
        <w:tc>
          <w:tcPr>
            <w:tcW w:w="3800" w:type="dxa"/>
            <w:vAlign w:val="bottom"/>
          </w:tcPr>
          <w:p>
            <w:pPr>
              <w:spacing w:after="0"/>
              <w:rPr>
                <w:sz w:val="12"/>
                <w:szCs w:val="12"/>
                <w:color w:val="auto"/>
              </w:rPr>
            </w:pPr>
          </w:p>
        </w:tc>
        <w:tc>
          <w:tcPr>
            <w:tcW w:w="15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Gross Carrying Value</w:t>
            </w:r>
          </w:p>
        </w:tc>
        <w:tc>
          <w:tcPr>
            <w:tcW w:w="120" w:type="dxa"/>
            <w:vAlign w:val="bottom"/>
          </w:tcPr>
          <w:p>
            <w:pPr>
              <w:spacing w:after="0"/>
              <w:rPr>
                <w:sz w:val="12"/>
                <w:szCs w:val="12"/>
                <w:color w:val="auto"/>
              </w:rPr>
            </w:pP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Accumulated Amortization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Net Book Value</w:t>
            </w:r>
          </w:p>
        </w:tc>
        <w:tc>
          <w:tcPr>
            <w:tcW w:w="100" w:type="dxa"/>
            <w:vAlign w:val="bottom"/>
          </w:tcPr>
          <w:p>
            <w:pPr>
              <w:spacing w:after="0"/>
              <w:rPr>
                <w:sz w:val="12"/>
                <w:szCs w:val="12"/>
                <w:color w:val="auto"/>
              </w:rPr>
            </w:pPr>
          </w:p>
        </w:tc>
        <w:tc>
          <w:tcPr>
            <w:tcW w:w="22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15,200</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53,300</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(44,167)</w:t>
            </w:r>
          </w:p>
        </w:tc>
        <w:tc>
          <w:tcPr>
            <w:tcW w:w="32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10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8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right"/>
              <w:ind w:right="815"/>
              <w:spacing w:after="0"/>
              <w:rPr>
                <w:sz w:val="20"/>
                <w:szCs w:val="20"/>
                <w:color w:val="auto"/>
              </w:rPr>
            </w:pPr>
            <w:r>
              <w:rPr>
                <w:rFonts w:ascii="Arial" w:cs="Arial" w:eastAsia="Arial" w:hAnsi="Arial"/>
                <w:sz w:val="14"/>
                <w:szCs w:val="14"/>
                <w:b w:val="1"/>
                <w:bCs w:val="1"/>
                <w:color w:val="auto"/>
              </w:rPr>
              <w:t>January 31, 2023</w:t>
            </w: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Weighted-Average Remaining</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5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9"/>
              </w:rPr>
              <w:t>Gross Carrying Value</w:t>
            </w:r>
          </w:p>
        </w:tc>
        <w:tc>
          <w:tcPr>
            <w:tcW w:w="120" w:type="dxa"/>
            <w:vAlign w:val="bottom"/>
          </w:tcPr>
          <w:p>
            <w:pPr>
              <w:spacing w:after="0"/>
              <w:rPr>
                <w:sz w:val="12"/>
                <w:szCs w:val="12"/>
                <w:color w:val="auto"/>
              </w:rPr>
            </w:pP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Accumulated Amortization</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Net Book Value</w:t>
            </w:r>
          </w:p>
        </w:tc>
        <w:tc>
          <w:tcPr>
            <w:tcW w:w="1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42"/>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38,100</w:t>
            </w:r>
          </w:p>
        </w:tc>
        <w:tc>
          <w:tcPr>
            <w:tcW w:w="740" w:type="dxa"/>
            <w:vAlign w:val="bottom"/>
            <w:gridSpan w:val="2"/>
            <w:shd w:val="clear" w:color="auto" w:fill="CCEEFF"/>
          </w:tcPr>
          <w:p>
            <w:pPr>
              <w:jc w:val="right"/>
              <w:ind w:right="43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(29,122)</w:t>
            </w:r>
          </w:p>
        </w:tc>
        <w:tc>
          <w:tcPr>
            <w:tcW w:w="32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15,200</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2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1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Acquired intangible assets are amortized on a straight-line basis. Amortization expense of intangible assets was $2.3 million for both the three months ended April 30, 2023 and 2022. Amortization expense for developed technology was included as research and development expense in the Company’s interim unaudited condensed consolidated statements of operations. Amortization expense for customer relationships was included as sales and marketing expense in the Company’s interim unaudited condensed consolidated statements of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ind w:left="500"/>
              <w:spacing w:after="0"/>
              <w:rPr>
                <w:sz w:val="20"/>
                <w:szCs w:val="20"/>
                <w:color w:val="auto"/>
              </w:rPr>
            </w:pPr>
            <w:r>
              <w:rPr>
                <w:rFonts w:ascii="Arial" w:cs="Arial" w:eastAsia="Arial" w:hAnsi="Arial"/>
                <w:sz w:val="18"/>
                <w:szCs w:val="18"/>
                <w:color w:val="auto"/>
              </w:rPr>
              <w:t>As of April 30, 2023, future amortization expense related to the intangible assets is as follows (in thousands):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Years Ending January 31,</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2024</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2,130</w:t>
            </w:r>
          </w:p>
        </w:tc>
      </w:tr>
      <w:tr>
        <w:trPr>
          <w:trHeight w:val="23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37"/>
        </w:trPr>
        <w:tc>
          <w:tcPr>
            <w:tcW w:w="9760" w:type="dxa"/>
            <w:vAlign w:val="bottom"/>
          </w:tcPr>
          <w:p>
            <w:pPr>
              <w:ind w:left="20"/>
              <w:spacing w:after="0"/>
              <w:rPr>
                <w:sz w:val="20"/>
                <w:szCs w:val="20"/>
                <w:color w:val="auto"/>
              </w:rPr>
            </w:pPr>
            <w:r>
              <w:rPr>
                <w:rFonts w:ascii="Arial" w:cs="Arial" w:eastAsia="Arial" w:hAnsi="Arial"/>
                <w:sz w:val="18"/>
                <w:szCs w:val="18"/>
                <w:color w:val="auto"/>
              </w:rPr>
              <w:t>2027</w:t>
            </w: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2"/>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9760" w:type="dxa"/>
            <w:vAlign w:val="bottom"/>
          </w:tcPr>
          <w:p>
            <w:pPr>
              <w:ind w:left="2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9,133</w:t>
            </w:r>
          </w:p>
        </w:tc>
      </w:tr>
      <w:tr>
        <w:trPr>
          <w:trHeight w:val="20"/>
        </w:trPr>
        <w:tc>
          <w:tcPr>
            <w:tcW w:w="9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Convertible Senior Notes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net carrying amounts of the Company’s 2026 Notes (as defined herein) were as follows for the periods presented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April 30, 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January 31, 2023</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1,149,972</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1,149,972</w:t>
            </w:r>
          </w:p>
        </w:tc>
      </w:tr>
      <w:tr>
        <w:trPr>
          <w:trHeight w:val="243"/>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(9,245)</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(10,092)</w:t>
            </w:r>
          </w:p>
        </w:tc>
      </w:tr>
      <w:tr>
        <w:trPr>
          <w:trHeight w:val="248"/>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carrying amount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1,140,727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1,139,880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As of April 30, 2023, the estimated fair value (Level 2) of the outstanding 2026 Notes, which is utilized solely for disclosure purposes, was approximately $1.5 billion. The fair value was determined based on the closing trading price per $100 of the 2026 Notes as of the last day of trading for the period. The fair value of the 2026 Notes is primarily affected by the trading price of the Company’s common stock and market interest rates.</w:t>
      </w:r>
    </w:p>
    <w:p>
      <w:pPr>
        <w:spacing w:after="0" w:line="11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are senior unsecured obligations of the Company and interest is payable semiannually in arrears on July 15 and January 15 of each year, beginning on July 15, 2020, at a rate of 0.25% per year. The 2026 Notes will mature on January 15, 2026, unless earlier converted, redeemed or repurchased. The total net proceeds from the offering, after deducting initial purchase discounts and estimated debt issuance costs, were approximately $1.13 billion.</w:t>
      </w:r>
    </w:p>
    <w:p>
      <w:pPr>
        <w:spacing w:after="0" w:line="110"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in the Notes to Consolidated Financial Statements included in Part II, Item 8 of the Company’s 2023 Form 10-K for further information on the 2026 Notes.</w:t>
      </w:r>
    </w:p>
    <w:p>
      <w:pPr>
        <w:spacing w:after="0" w:line="116"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During the three months ended April 30, 2023, the conditional conversion feature of the 2026 Notes was not triggered as the last reported sale price of the Company's common stock was not more than or equal to 130% of the conversion price for at least 20 trading days in the period of 30 consecutive trading days ending on April 28, 2023 (the last trading day of the fiscal quarter) and therefore the 2026 Notes are not convertible, in whole or in part, from May 1, 2023 through July 31, 2023. Whether the 2026 Notes will be convertible following such period will depend on the continued satisfaction of this condition or another conversion condition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Capped Calls</w:t>
      </w:r>
    </w:p>
    <w:p>
      <w:pPr>
        <w:spacing w:after="0" w:line="17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In connection with the pricing of the issuance of our convertible notes due June 15, 2024 (the “2024 Notes”) and the 2026 Notes, the Company entered into privately negotiated capped call transactions with certain counterparties (the “Capped Calls”). The Capped Calls associated with the 2024 Notes each have an initial strike price of approximately $68.15 per share, subject to certain adjustments, which corresponded to the initial conversion price of the 2024 Notes. These Capped Calls have initial cap prices of $106.90 per share, subject to certain adjustments.</w:t>
      </w:r>
    </w:p>
    <w:p>
      <w:pPr>
        <w:spacing w:after="0" w:line="117"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 The Company did not unwind any of its Capped Calls through April 30, 2023.</w:t>
      </w:r>
    </w:p>
    <w:p>
      <w:pPr>
        <w:spacing w:after="0" w:line="130"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in the Notes to Consolidated Financial Statements included in Part II, Item 8 of the Company’s 2023 Form 10-K for further information on the Capped Calls and the 2024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7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Lease Costs</w:t>
      </w:r>
    </w:p>
    <w:p>
      <w:pPr>
        <w:spacing w:after="0" w:line="17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components of the Company’s lease costs included in its interim unaudited condensed consolidated statements of operations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6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Pr>
          <w:p>
            <w:pPr>
              <w:spacing w:after="0"/>
              <w:rPr>
                <w:sz w:val="16"/>
                <w:szCs w:val="16"/>
                <w:color w:val="auto"/>
              </w:rPr>
            </w:pPr>
          </w:p>
        </w:tc>
      </w:tr>
      <w:tr>
        <w:trPr>
          <w:trHeight w:val="26"/>
        </w:trPr>
        <w:tc>
          <w:tcPr>
            <w:tcW w:w="80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1"/>
        </w:trPr>
        <w:tc>
          <w:tcPr>
            <w:tcW w:w="80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5"/>
                <w:szCs w:val="15"/>
                <w:color w:val="auto"/>
              </w:rPr>
            </w:pP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r>
      <w:tr>
        <w:trPr>
          <w:trHeight w:val="229"/>
        </w:trPr>
        <w:tc>
          <w:tcPr>
            <w:tcW w:w="8000" w:type="dxa"/>
            <w:vAlign w:val="bottom"/>
          </w:tcPr>
          <w:p>
            <w:pPr>
              <w:ind w:left="140"/>
              <w:spacing w:after="0"/>
              <w:rPr>
                <w:sz w:val="20"/>
                <w:szCs w:val="20"/>
                <w:color w:val="auto"/>
              </w:rPr>
            </w:pPr>
            <w:r>
              <w:rPr>
                <w:rFonts w:ascii="Arial" w:cs="Arial" w:eastAsia="Arial" w:hAnsi="Arial"/>
                <w:sz w:val="18"/>
                <w:szCs w:val="18"/>
                <w:color w:val="auto"/>
              </w:rPr>
              <w:t>Amortization of finance lease right-of-use assets</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994</w:t>
            </w:r>
          </w:p>
        </w:tc>
        <w:tc>
          <w:tcPr>
            <w:tcW w:w="11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43"/>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finance lease liabilities</w:t>
            </w:r>
          </w:p>
        </w:tc>
        <w:tc>
          <w:tcPr>
            <w:tcW w:w="10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2,564</w:t>
            </w:r>
          </w:p>
        </w:tc>
      </w:tr>
      <w:tr>
        <w:trPr>
          <w:trHeight w:val="23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37"/>
        </w:trPr>
        <w:tc>
          <w:tcPr>
            <w:tcW w:w="80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5,691</w:t>
            </w:r>
          </w:p>
        </w:tc>
        <w:tc>
          <w:tcPr>
            <w:tcW w:w="11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4,845</w:t>
            </w:r>
          </w:p>
        </w:tc>
      </w:tr>
      <w:tr>
        <w:trPr>
          <w:trHeight w:val="20"/>
        </w:trPr>
        <w:tc>
          <w:tcPr>
            <w:tcW w:w="8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Balance Sheet Components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balances of the Company’s finance and operating leases were recorded on the condensed consolidated balance sheet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800" w:type="dxa"/>
            <w:vAlign w:val="bottom"/>
          </w:tcPr>
          <w:p>
            <w:pPr>
              <w:jc w:val="right"/>
              <w:ind w:right="36"/>
              <w:spacing w:after="0"/>
              <w:rPr>
                <w:sz w:val="20"/>
                <w:szCs w:val="20"/>
                <w:color w:val="auto"/>
              </w:rPr>
            </w:pPr>
            <w:r>
              <w:rPr>
                <w:rFonts w:ascii="Arial" w:cs="Arial" w:eastAsia="Arial" w:hAnsi="Arial"/>
                <w:sz w:val="14"/>
                <w:szCs w:val="14"/>
                <w:b w:val="1"/>
                <w:bCs w:val="1"/>
                <w:color w:val="auto"/>
              </w:rPr>
              <w:t>April 30, 2023</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80" w:type="dxa"/>
            <w:vAlign w:val="bottom"/>
          </w:tcPr>
          <w:p>
            <w:pPr>
              <w:jc w:val="right"/>
              <w:ind w:right="633"/>
              <w:spacing w:after="0"/>
              <w:rPr>
                <w:sz w:val="20"/>
                <w:szCs w:val="20"/>
                <w:color w:val="auto"/>
              </w:rPr>
            </w:pPr>
            <w:r>
              <w:rPr>
                <w:rFonts w:ascii="Arial" w:cs="Arial" w:eastAsia="Arial" w:hAnsi="Arial"/>
                <w:sz w:val="14"/>
                <w:szCs w:val="14"/>
                <w:b w:val="1"/>
                <w:bCs w:val="1"/>
                <w:color w:val="auto"/>
              </w:rPr>
              <w:t>January 31, 2023</w:t>
            </w:r>
          </w:p>
        </w:tc>
      </w:tr>
      <w:tr>
        <w:trPr>
          <w:trHeight w:val="26"/>
        </w:trPr>
        <w:tc>
          <w:tcPr>
            <w:tcW w:w="616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w:t>
            </w:r>
          </w:p>
        </w:tc>
        <w:tc>
          <w:tcPr>
            <w:tcW w:w="18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800" w:type="dxa"/>
            <w:vAlign w:val="bottom"/>
          </w:tcPr>
          <w:p>
            <w:pPr>
              <w:jc w:val="right"/>
              <w:ind w:right="15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26,495</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27,489</w:t>
            </w:r>
          </w:p>
        </w:tc>
      </w:tr>
      <w:tr>
        <w:trPr>
          <w:trHeight w:val="243"/>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liabilities, current</w:t>
            </w:r>
          </w:p>
        </w:tc>
        <w:tc>
          <w:tcPr>
            <w:tcW w:w="18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w:t>
            </w: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Other liabilities, non-current</w:t>
            </w:r>
          </w:p>
        </w:tc>
        <w:tc>
          <w:tcPr>
            <w:tcW w:w="1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42,270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43,690</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8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37"/>
        </w:trPr>
        <w:tc>
          <w:tcPr>
            <w:tcW w:w="616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1800" w:type="dxa"/>
            <w:vAlign w:val="bottom"/>
          </w:tcPr>
          <w:p>
            <w:pPr>
              <w:jc w:val="right"/>
              <w:ind w:right="15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40,072</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41,194</w:t>
            </w:r>
          </w:p>
        </w:tc>
      </w:tr>
      <w:tr>
        <w:trPr>
          <w:trHeight w:val="236"/>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 current</w:t>
            </w:r>
          </w:p>
        </w:tc>
        <w:tc>
          <w:tcPr>
            <w:tcW w:w="18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w:t>
            </w: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1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36,264</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Supplemental Information</w:t>
      </w:r>
    </w:p>
    <w:p>
      <w:pPr>
        <w:spacing w:after="0" w:line="171"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following table presents supplemental information related to the Company’s finance and operating leases (in thousands, except weighted-average information):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33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 April 30,</w:t>
            </w:r>
          </w:p>
        </w:tc>
        <w:tc>
          <w:tcPr>
            <w:tcW w:w="720" w:type="dxa"/>
            <w:vAlign w:val="bottom"/>
          </w:tcPr>
          <w:p>
            <w:pPr>
              <w:spacing w:after="0"/>
              <w:rPr>
                <w:sz w:val="16"/>
                <w:szCs w:val="16"/>
                <w:color w:val="auto"/>
              </w:rPr>
            </w:pPr>
          </w:p>
        </w:tc>
      </w:tr>
      <w:tr>
        <w:trPr>
          <w:trHeight w:val="25"/>
        </w:trPr>
        <w:tc>
          <w:tcPr>
            <w:tcW w:w="7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1"/>
        </w:trPr>
        <w:tc>
          <w:tcPr>
            <w:tcW w:w="7200" w:type="dxa"/>
            <w:vAlign w:val="bottom"/>
          </w:tcPr>
          <w:p>
            <w:pPr>
              <w:spacing w:after="0"/>
              <w:rPr>
                <w:sz w:val="15"/>
                <w:szCs w:val="15"/>
                <w:color w:val="auto"/>
              </w:rPr>
            </w:pPr>
          </w:p>
        </w:tc>
        <w:tc>
          <w:tcPr>
            <w:tcW w:w="1240" w:type="dxa"/>
            <w:vAlign w:val="bottom"/>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72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5"/>
                <w:szCs w:val="15"/>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676</w:t>
            </w:r>
          </w:p>
        </w:tc>
        <w:tc>
          <w:tcPr>
            <w:tcW w:w="136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750</w:t>
            </w:r>
          </w:p>
        </w:tc>
      </w:tr>
      <w:tr>
        <w:trPr>
          <w:trHeight w:val="243"/>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2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2,983</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2,722</w:t>
            </w: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w:t>
            </w:r>
          </w:p>
        </w:tc>
        <w:tc>
          <w:tcPr>
            <w:tcW w:w="124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595</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7"/>
        </w:trPr>
        <w:tc>
          <w:tcPr>
            <w:tcW w:w="72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1,177</w:t>
            </w:r>
          </w:p>
        </w:tc>
        <w:tc>
          <w:tcPr>
            <w:tcW w:w="136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5,744</w:t>
            </w:r>
          </w:p>
        </w:tc>
      </w:tr>
      <w:tr>
        <w:trPr>
          <w:trHeight w:val="23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as of period end (in years):</w:t>
            </w:r>
          </w:p>
        </w:tc>
        <w:tc>
          <w:tcPr>
            <w:tcW w:w="1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Finance lease</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1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Maturities of Lease Liabilities</w:t>
      </w:r>
    </w:p>
    <w:p>
      <w:pPr>
        <w:spacing w:after="0" w:line="17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Future minimum lease payments under non-cancelable finance and operating leases on an annual undiscounted cash flow basis as of April 30, 2023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Year Ending January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372"/>
              <w:spacing w:after="0"/>
              <w:rPr>
                <w:sz w:val="20"/>
                <w:szCs w:val="20"/>
                <w:color w:val="auto"/>
              </w:rPr>
            </w:pPr>
            <w:r>
              <w:rPr>
                <w:rFonts w:ascii="Arial" w:cs="Arial" w:eastAsia="Arial" w:hAnsi="Arial"/>
                <w:sz w:val="14"/>
                <w:szCs w:val="14"/>
                <w:b w:val="1"/>
                <w:bCs w:val="1"/>
                <w:color w:val="auto"/>
              </w:rPr>
              <w:t>Finance Lease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272"/>
              <w:spacing w:after="0"/>
              <w:rPr>
                <w:sz w:val="20"/>
                <w:szCs w:val="20"/>
                <w:color w:val="auto"/>
              </w:rPr>
            </w:pPr>
            <w:r>
              <w:rPr>
                <w:rFonts w:ascii="Arial" w:cs="Arial" w:eastAsia="Arial" w:hAnsi="Arial"/>
                <w:sz w:val="14"/>
                <w:szCs w:val="14"/>
                <w:b w:val="1"/>
                <w:bCs w:val="1"/>
                <w:color w:val="auto"/>
              </w:rPr>
              <w:t>Operating Leases</w:t>
            </w:r>
          </w:p>
        </w:tc>
      </w:tr>
      <w:tr>
        <w:trPr>
          <w:trHeight w:val="39"/>
        </w:trPr>
        <w:tc>
          <w:tcPr>
            <w:tcW w:w="7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3"/>
        </w:trPr>
        <w:tc>
          <w:tcPr>
            <w:tcW w:w="7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Remainder of 2024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r>
      <w:tr>
        <w:trPr>
          <w:trHeight w:val="229"/>
        </w:trPr>
        <w:tc>
          <w:tcPr>
            <w:tcW w:w="7440" w:type="dxa"/>
            <w:vAlign w:val="bottom"/>
          </w:tcPr>
          <w:p>
            <w:pPr>
              <w:ind w:left="10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8,445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10,708</w:t>
            </w:r>
          </w:p>
        </w:tc>
      </w:tr>
      <w:tr>
        <w:trPr>
          <w:trHeight w:val="243"/>
        </w:trPr>
        <w:tc>
          <w:tcPr>
            <w:tcW w:w="7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8,707</w:t>
            </w:r>
          </w:p>
        </w:tc>
      </w:tr>
      <w:tr>
        <w:trPr>
          <w:trHeight w:val="229"/>
        </w:trPr>
        <w:tc>
          <w:tcPr>
            <w:tcW w:w="7440" w:type="dxa"/>
            <w:vAlign w:val="bottom"/>
          </w:tcPr>
          <w:p>
            <w:pPr>
              <w:ind w:left="10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6,356</w:t>
            </w:r>
          </w:p>
        </w:tc>
      </w:tr>
      <w:tr>
        <w:trPr>
          <w:trHeight w:val="230"/>
        </w:trPr>
        <w:tc>
          <w:tcPr>
            <w:tcW w:w="7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r>
      <w:tr>
        <w:trPr>
          <w:trHeight w:val="283"/>
        </w:trPr>
        <w:tc>
          <w:tcPr>
            <w:tcW w:w="7440" w:type="dxa"/>
            <w:vAlign w:val="bottom"/>
          </w:tcPr>
          <w:p>
            <w:pPr>
              <w:ind w:left="10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12,550</w:t>
            </w:r>
          </w:p>
        </w:tc>
      </w:tr>
      <w:tr>
        <w:trPr>
          <w:trHeight w:val="29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payments</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52,175</w:t>
            </w:r>
          </w:p>
        </w:tc>
      </w:tr>
      <w:tr>
        <w:trPr>
          <w:trHeight w:val="297"/>
        </w:trPr>
        <w:tc>
          <w:tcPr>
            <w:tcW w:w="7440" w:type="dxa"/>
            <w:vAlign w:val="bottom"/>
          </w:tcPr>
          <w:p>
            <w:pPr>
              <w:ind w:left="100"/>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(7,959)</w:t>
            </w:r>
          </w:p>
        </w:tc>
      </w:tr>
      <w:tr>
        <w:trPr>
          <w:trHeight w:val="304"/>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Present value of future minimum lease payments</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44,216</w:t>
            </w:r>
          </w:p>
        </w:tc>
      </w:tr>
      <w:tr>
        <w:trPr>
          <w:trHeight w:val="290"/>
        </w:trPr>
        <w:tc>
          <w:tcPr>
            <w:tcW w:w="7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current obligations under leases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(8,605)</w:t>
            </w:r>
          </w:p>
        </w:tc>
      </w:tr>
      <w:tr>
        <w:trPr>
          <w:trHeight w:val="29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lease obligations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Non-cancelable Material Commitments</w:t>
      </w:r>
    </w:p>
    <w:p>
      <w:pPr>
        <w:spacing w:after="0" w:line="158" w:lineRule="exact"/>
        <w:rPr>
          <w:sz w:val="20"/>
          <w:szCs w:val="20"/>
          <w:color w:val="auto"/>
        </w:rPr>
      </w:pPr>
    </w:p>
    <w:p>
      <w:pPr>
        <w:ind w:right="20" w:firstLine="486"/>
        <w:spacing w:after="0" w:line="235" w:lineRule="auto"/>
        <w:rPr>
          <w:sz w:val="20"/>
          <w:szCs w:val="20"/>
          <w:color w:val="auto"/>
        </w:rPr>
      </w:pPr>
      <w:r>
        <w:rPr>
          <w:rFonts w:ascii="Arial" w:cs="Arial" w:eastAsia="Arial" w:hAnsi="Arial"/>
          <w:sz w:val="18"/>
          <w:szCs w:val="18"/>
          <w:color w:val="auto"/>
        </w:rPr>
        <w:t xml:space="preserve">During the three months ended April 30, 2023, other than certain non-cancelable operating leases described in Note 6, </w:t>
      </w:r>
      <w:r>
        <w:rPr>
          <w:rFonts w:ascii="Arial" w:cs="Arial" w:eastAsia="Arial" w:hAnsi="Arial"/>
          <w:sz w:val="18"/>
          <w:szCs w:val="18"/>
          <w:i w:val="1"/>
          <w:iCs w:val="1"/>
          <w:color w:val="auto"/>
        </w:rPr>
        <w:t>Leases</w:t>
      </w:r>
      <w:r>
        <w:rPr>
          <w:rFonts w:ascii="Arial" w:cs="Arial" w:eastAsia="Arial" w:hAnsi="Arial"/>
          <w:sz w:val="18"/>
          <w:szCs w:val="18"/>
          <w:color w:val="auto"/>
        </w:rPr>
        <w:t>, there have been no material changes outside the ordinary course of business to the Company’s contractual obligations and commitments from those disclosed in the 2023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Legal Matters</w:t>
      </w:r>
    </w:p>
    <w:p>
      <w:pPr>
        <w:spacing w:after="0" w:line="171"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The Company investigates all claims, litigation and other legal matters as they arise. From time to time, the Company has become involved in claims, litigation and other legal matters arising in the ordinary course of business, including intellectual property, labor and employment and breach of contract claims. For example, on March 12, 2019, Realtime Data LLC (“Realtime”) filed a lawsuit against the Company in the United States District Court for the District of Delaware alleging that the Company is infringing three U.S. patents that it holds. On May 4, 2021, the District Court granted certain defendants' motion to dismiss without prejudice. Realtime filed an amended complaint on May 18, 2021, which the District Court dismissed on August 23, 2021. On August 25, 2021, Realtime filed a notice of appeal of the Delaware District Court’s order. The oral argument took place before the U.S. Court of Appeals for the Federal Circuit on February 10, 2023. Although claims and litigation are inherently unpredictable, as of April 30, 2023, the Company does not believe that any legal matters,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Indemnification</w:t>
      </w:r>
    </w:p>
    <w:p>
      <w:pPr>
        <w:spacing w:after="0" w:line="171"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46"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Disaggregation of Revenue</w:t>
      </w:r>
    </w:p>
    <w:p>
      <w:pPr>
        <w:spacing w:after="0" w:line="171"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Based on the information provided to and reviewed by the Company’s Chief Executive Officer, its Chief Operating Decision Maker,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spacing w:after="0" w:line="107" w:lineRule="exact"/>
        <w:rPr>
          <w:sz w:val="20"/>
          <w:szCs w:val="20"/>
          <w:color w:val="auto"/>
        </w:rPr>
      </w:pPr>
    </w:p>
    <w:p>
      <w:pPr>
        <w:ind w:right="140" w:firstLine="486"/>
        <w:spacing w:after="0" w:line="269" w:lineRule="auto"/>
        <w:rPr>
          <w:sz w:val="20"/>
          <w:szCs w:val="20"/>
          <w:color w:val="auto"/>
        </w:rPr>
      </w:pPr>
      <w:r>
        <w:rPr>
          <w:rFonts w:ascii="Arial" w:cs="Arial" w:eastAsia="Arial" w:hAnsi="Arial"/>
          <w:sz w:val="18"/>
          <w:szCs w:val="18"/>
          <w:color w:val="auto"/>
        </w:rPr>
        <w:t>The following table presents the Company’s revenues disaggregated by primary geographical markets, subscription product categories and services (in thousands):</w:t>
      </w: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8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r>
      <w:tr>
        <w:trPr>
          <w:trHeight w:val="245"/>
        </w:trPr>
        <w:tc>
          <w:tcPr>
            <w:tcW w:w="8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Primary geographical markets: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63"/>
        </w:trPr>
        <w:tc>
          <w:tcPr>
            <w:tcW w:w="820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222,346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174,056</w:t>
            </w:r>
          </w:p>
        </w:tc>
      </w:tr>
      <w:tr>
        <w:trPr>
          <w:trHeight w:val="277"/>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81,969</w:t>
            </w:r>
          </w:p>
        </w:tc>
      </w:tr>
      <w:tr>
        <w:trPr>
          <w:trHeight w:val="277"/>
        </w:trPr>
        <w:tc>
          <w:tcPr>
            <w:tcW w:w="8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Asia Pacific</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29,422</w:t>
            </w:r>
          </w:p>
        </w:tc>
      </w:tr>
      <w:tr>
        <w:trPr>
          <w:trHeight w:val="283"/>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368,280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285,447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 product categories and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63"/>
        </w:trPr>
        <w:tc>
          <w:tcPr>
            <w:tcW w:w="8200" w:type="dxa"/>
            <w:vAlign w:val="bottom"/>
          </w:tcPr>
          <w:p>
            <w:pPr>
              <w:ind w:left="180"/>
              <w:spacing w:after="0"/>
              <w:rPr>
                <w:sz w:val="20"/>
                <w:szCs w:val="20"/>
                <w:color w:val="auto"/>
              </w:rPr>
            </w:pPr>
            <w:r>
              <w:rPr>
                <w:rFonts w:ascii="Arial" w:cs="Arial" w:eastAsia="Arial" w:hAnsi="Arial"/>
                <w:sz w:val="18"/>
                <w:szCs w:val="18"/>
                <w:color w:val="auto"/>
              </w:rPr>
              <w:t>MongoDB Atlas-related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237,756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169,995</w:t>
            </w:r>
          </w:p>
        </w:tc>
      </w:tr>
      <w:tr>
        <w:trPr>
          <w:trHeight w:val="277"/>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subscription</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116,958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104,586</w:t>
            </w:r>
          </w:p>
        </w:tc>
      </w:tr>
      <w:tr>
        <w:trPr>
          <w:trHeight w:val="277"/>
        </w:trPr>
        <w:tc>
          <w:tcPr>
            <w:tcW w:w="8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w:t>
            </w:r>
          </w:p>
        </w:tc>
      </w:tr>
      <w:tr>
        <w:trPr>
          <w:trHeight w:val="283"/>
        </w:trPr>
        <w:tc>
          <w:tcPr>
            <w:tcW w:w="8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368,280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285,447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Customers located in the United States accounted for 54% and 55% of total revenue for the three months ended April 30, 2023 and 2022, respectively. No other country accounted for 10% or more of revenue for the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Contract Liabilities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Company’s contract liabilities are recorded as deferred revenue in the Company’s condensed consolidated balance sheet and consist of customer invoices issued or payments received in advance of revenues being recognized from the Company’s subscription and services contracts. Deferred revenue, including current and non-current balances, as of April 30, 2023 and January 31, 2023 was $412.8 million and $460.3 million, respectively. Approximately 45% and 43% of the total revenue recognized for the three months ended April 30, 2023 and 2022, respectively, was from deferred revenue at the beginning of each respective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Remaining Performance Obligations</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April 30, 2023, the aggregate transaction price allocated to remaining performance obligations was $470.7 million. Approximately 59% is expected to be recognized as revenue over the next 12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Unbilled Receivables</w:t>
      </w:r>
    </w:p>
    <w:p>
      <w:pPr>
        <w:spacing w:after="0" w:line="17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condensed consolidated balance sheets. As of April 30, 2023 and January 31, 2023, unbilled receivables were $8.8 million and $9.7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Allowance for Doubtful Accounts</w:t>
      </w:r>
    </w:p>
    <w:p>
      <w:pPr>
        <w:spacing w:after="0" w:line="171"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ind w:left="420"/>
              <w:spacing w:after="0"/>
              <w:rPr>
                <w:sz w:val="20"/>
                <w:szCs w:val="20"/>
                <w:color w:val="auto"/>
              </w:rPr>
            </w:pPr>
            <w:r>
              <w:rPr>
                <w:rFonts w:ascii="Arial" w:cs="Arial" w:eastAsia="Arial" w:hAnsi="Arial"/>
                <w:sz w:val="14"/>
                <w:szCs w:val="14"/>
                <w:b w:val="1"/>
                <w:bCs w:val="1"/>
                <w:color w:val="auto"/>
              </w:rPr>
              <w:t>Allowance for Doubtful Accounts</w:t>
            </w:r>
          </w:p>
        </w:tc>
      </w:tr>
      <w:tr>
        <w:trPr>
          <w:trHeight w:val="26"/>
        </w:trPr>
        <w:tc>
          <w:tcPr>
            <w:tcW w:w="7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31, 2023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3380" w:type="dxa"/>
            <w:vAlign w:val="bottom"/>
            <w:shd w:val="clear" w:color="auto" w:fill="CCEEFF"/>
          </w:tcPr>
          <w:p>
            <w:pPr>
              <w:jc w:val="center"/>
              <w:ind w:left="2734"/>
              <w:spacing w:after="0"/>
              <w:rPr>
                <w:sz w:val="20"/>
                <w:szCs w:val="20"/>
                <w:color w:val="auto"/>
              </w:rPr>
            </w:pPr>
            <w:r>
              <w:rPr>
                <w:rFonts w:ascii="Arial" w:cs="Arial" w:eastAsia="Arial" w:hAnsi="Arial"/>
                <w:sz w:val="18"/>
                <w:szCs w:val="18"/>
                <w:color w:val="auto"/>
                <w:w w:val="88"/>
              </w:rPr>
              <w:t>6,362</w:t>
            </w:r>
          </w:p>
        </w:tc>
      </w:tr>
      <w:tr>
        <w:trPr>
          <w:trHeight w:val="229"/>
        </w:trPr>
        <w:tc>
          <w:tcPr>
            <w:tcW w:w="7340" w:type="dxa"/>
            <w:vAlign w:val="bottom"/>
          </w:tcPr>
          <w:p>
            <w:pPr>
              <w:ind w:left="240"/>
              <w:spacing w:after="0"/>
              <w:rPr>
                <w:sz w:val="20"/>
                <w:szCs w:val="20"/>
                <w:color w:val="auto"/>
              </w:rPr>
            </w:pPr>
            <w:r>
              <w:rPr>
                <w:rFonts w:ascii="Arial" w:cs="Arial" w:eastAsia="Arial" w:hAnsi="Arial"/>
                <w:sz w:val="18"/>
                <w:szCs w:val="18"/>
                <w:color w:val="auto"/>
              </w:rPr>
              <w:t>Provision</w:t>
            </w:r>
          </w:p>
        </w:tc>
        <w:tc>
          <w:tcPr>
            <w:tcW w:w="520" w:type="dxa"/>
            <w:vAlign w:val="bottom"/>
          </w:tcPr>
          <w:p>
            <w:pPr>
              <w:spacing w:after="0"/>
              <w:rPr>
                <w:sz w:val="19"/>
                <w:szCs w:val="19"/>
                <w:color w:val="auto"/>
              </w:rPr>
            </w:pPr>
          </w:p>
        </w:tc>
        <w:tc>
          <w:tcPr>
            <w:tcW w:w="3380" w:type="dxa"/>
            <w:vAlign w:val="bottom"/>
          </w:tcPr>
          <w:p>
            <w:pPr>
              <w:jc w:val="center"/>
              <w:ind w:left="2734"/>
              <w:spacing w:after="0"/>
              <w:rPr>
                <w:sz w:val="20"/>
                <w:szCs w:val="20"/>
                <w:color w:val="auto"/>
              </w:rPr>
            </w:pPr>
            <w:r>
              <w:rPr>
                <w:rFonts w:ascii="Arial" w:cs="Arial" w:eastAsia="Arial" w:hAnsi="Arial"/>
                <w:sz w:val="18"/>
                <w:szCs w:val="18"/>
                <w:color w:val="auto"/>
                <w:w w:val="88"/>
              </w:rPr>
              <w:t>1,872</w:t>
            </w:r>
          </w:p>
        </w:tc>
      </w:tr>
      <w:tr>
        <w:trPr>
          <w:trHeight w:val="243"/>
        </w:trPr>
        <w:tc>
          <w:tcPr>
            <w:tcW w:w="7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Recoveries/write-offs</w:t>
            </w:r>
          </w:p>
        </w:tc>
        <w:tc>
          <w:tcPr>
            <w:tcW w:w="520" w:type="dxa"/>
            <w:vAlign w:val="bottom"/>
            <w:tcBorders>
              <w:bottom w:val="single" w:sz="8" w:color="auto"/>
            </w:tcBorders>
            <w:shd w:val="clear" w:color="auto" w:fill="CCEEFF"/>
          </w:tcPr>
          <w:p>
            <w:pPr>
              <w:spacing w:after="0"/>
              <w:rPr>
                <w:sz w:val="21"/>
                <w:szCs w:val="21"/>
                <w:color w:val="auto"/>
              </w:rPr>
            </w:pPr>
          </w:p>
        </w:tc>
        <w:tc>
          <w:tcPr>
            <w:tcW w:w="3380" w:type="dxa"/>
            <w:vAlign w:val="bottom"/>
            <w:tcBorders>
              <w:bottom w:val="single" w:sz="8" w:color="auto"/>
            </w:tcBorders>
            <w:shd w:val="clear" w:color="auto" w:fill="CCEEFF"/>
          </w:tcPr>
          <w:p>
            <w:pPr>
              <w:jc w:val="center"/>
              <w:ind w:left="2714"/>
              <w:spacing w:after="0"/>
              <w:rPr>
                <w:sz w:val="20"/>
                <w:szCs w:val="20"/>
                <w:color w:val="auto"/>
              </w:rPr>
            </w:pPr>
            <w:r>
              <w:rPr>
                <w:rFonts w:ascii="Arial" w:cs="Arial" w:eastAsia="Arial" w:hAnsi="Arial"/>
                <w:sz w:val="18"/>
                <w:szCs w:val="18"/>
                <w:color w:val="auto"/>
                <w:w w:val="94"/>
              </w:rPr>
              <w:t>(1,722)</w:t>
            </w: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Balance as of April 30, 2023</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3380" w:type="dxa"/>
            <w:vAlign w:val="bottom"/>
            <w:tcBorders>
              <w:bottom w:val="single" w:sz="8" w:color="auto"/>
            </w:tcBorders>
          </w:tcPr>
          <w:p>
            <w:pPr>
              <w:jc w:val="center"/>
              <w:ind w:left="2734"/>
              <w:spacing w:after="0"/>
              <w:rPr>
                <w:sz w:val="20"/>
                <w:szCs w:val="20"/>
                <w:color w:val="auto"/>
              </w:rPr>
            </w:pPr>
            <w:r>
              <w:rPr>
                <w:rFonts w:ascii="Arial" w:cs="Arial" w:eastAsia="Arial" w:hAnsi="Arial"/>
                <w:sz w:val="18"/>
                <w:szCs w:val="18"/>
                <w:color w:val="auto"/>
                <w:w w:val="88"/>
              </w:rPr>
              <w:t>6,512</w:t>
            </w:r>
          </w:p>
        </w:tc>
      </w:tr>
      <w:tr>
        <w:trPr>
          <w:trHeight w:val="21"/>
        </w:trPr>
        <w:tc>
          <w:tcPr>
            <w:tcW w:w="7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Costs Capitalized to Obtain Contracts with Customers</w:t>
      </w:r>
    </w:p>
    <w:p>
      <w:pPr>
        <w:spacing w:after="0" w:line="17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Deferred commissions were $249.8 million and $252.4 million as of April 30, 2023 and January 31, 2023, respectively. Amortization expense with respect to deferred commissions, which is included in sales and marketing expense in the Company’s interim unaudited condensed consolidated statements of operations, was $23.1 million and $17.6 million for the three months ended April 30, 2023 and 2022, respectively. There was no impairment loss in relation to the costs capitalized for the periods presented.</w:t>
      </w:r>
    </w:p>
    <w:p>
      <w:pPr>
        <w:spacing w:after="0" w:line="210" w:lineRule="exact"/>
        <w:rPr>
          <w:sz w:val="20"/>
          <w:szCs w:val="20"/>
          <w:color w:val="auto"/>
        </w:rPr>
      </w:pPr>
    </w:p>
    <w:p>
      <w:pPr>
        <w:ind w:right="6620" w:firstLine="8"/>
        <w:spacing w:after="0" w:line="440"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Incentive Plan and Employee Stock Purchase Plan </w:t>
      </w:r>
      <w:r>
        <w:rPr>
          <w:rFonts w:ascii="Arial" w:cs="Arial" w:eastAsia="Arial" w:hAnsi="Arial"/>
          <w:sz w:val="18"/>
          <w:szCs w:val="18"/>
          <w:b w:val="1"/>
          <w:bCs w:val="1"/>
          <w:color w:val="2C2C2C"/>
        </w:rPr>
        <w:t>Equity Incentive Plan</w:t>
      </w:r>
    </w:p>
    <w:p>
      <w:pPr>
        <w:spacing w:after="0" w:line="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adopted the 2008 Stock Incentive Plan (as amended, the “2008 Plan”) and the 2016 Equity Incentive Plan (as amended the “2016 Plan”), primarily for the purpose of granting stock-based awards to eligible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Stock Options</w:t>
      </w:r>
    </w:p>
    <w:p>
      <w:pPr>
        <w:spacing w:after="0" w:line="171"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The 2016 Plan provides for the issuance of incentive stock options to eligible employees and non-statutory stock options to eligible employees, directors or consultants. The Company’s Board of Directors, or a committee thereof, determines the vesting schedule for all equity awards. Stock option awards generally vest over a period of four years with 25% vesting on the one-year anniversary of the award and the remainder vesting monthly over the next 36 months of the grantee’s service to the Company. There were no stock options granted during the three months ended April 30, 2023.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4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summarizes stock option activity for the three months ended April 30, 2023 (in thousands, except share and per share data and years):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4"/>
                <w:szCs w:val="14"/>
                <w:color w:val="auto"/>
              </w:rPr>
            </w:pPr>
          </w:p>
        </w:tc>
        <w:tc>
          <w:tcPr>
            <w:tcW w:w="164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Weighted- Average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360" w:type="dxa"/>
            <w:vAlign w:val="bottom"/>
          </w:tcPr>
          <w:p>
            <w:pPr>
              <w:spacing w:after="0"/>
              <w:rPr>
                <w:sz w:val="12"/>
                <w:szCs w:val="12"/>
                <w:color w:val="auto"/>
              </w:rPr>
            </w:pPr>
          </w:p>
        </w:tc>
        <w:tc>
          <w:tcPr>
            <w:tcW w:w="14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20" w:type="dxa"/>
            <w:vAlign w:val="bottom"/>
          </w:tcPr>
          <w:p>
            <w:pPr>
              <w:jc w:val="center"/>
              <w:ind w:left="328"/>
              <w:spacing w:after="0" w:line="13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left="248"/>
              <w:spacing w:after="0" w:line="139" w:lineRule="exact"/>
              <w:rPr>
                <w:sz w:val="20"/>
                <w:szCs w:val="20"/>
                <w:color w:val="auto"/>
              </w:rPr>
            </w:pPr>
            <w:r>
              <w:rPr>
                <w:rFonts w:ascii="Arial" w:cs="Arial" w:eastAsia="Arial" w:hAnsi="Arial"/>
                <w:sz w:val="14"/>
                <w:szCs w:val="14"/>
                <w:b w:val="1"/>
                <w:bCs w:val="1"/>
                <w:color w:val="auto"/>
                <w:w w:val="96"/>
              </w:rPr>
              <w:t>Contractual Term</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158"/>
              <w:spacing w:after="0" w:line="13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Price Per Share</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39"/>
        </w:trPr>
        <w:tc>
          <w:tcPr>
            <w:tcW w:w="4360" w:type="dxa"/>
            <w:vAlign w:val="bottom"/>
            <w:vMerge w:val="restart"/>
          </w:tcPr>
          <w:p>
            <w:pPr>
              <w:ind w:left="180"/>
              <w:spacing w:after="0"/>
              <w:rPr>
                <w:sz w:val="20"/>
                <w:szCs w:val="20"/>
                <w:color w:val="auto"/>
              </w:rPr>
            </w:pPr>
            <w:r>
              <w:rPr>
                <w:rFonts w:ascii="Arial" w:cs="Arial" w:eastAsia="Arial" w:hAnsi="Arial"/>
                <w:sz w:val="18"/>
                <w:szCs w:val="18"/>
                <w:color w:val="auto"/>
              </w:rPr>
              <w:t>Balance - January 31, 2023</w:t>
            </w: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360" w:type="dxa"/>
            <w:vAlign w:val="bottom"/>
            <w:vMerge w:val="continue"/>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1,789,813</w:t>
            </w:r>
          </w:p>
        </w:tc>
        <w:tc>
          <w:tcPr>
            <w:tcW w:w="1520" w:type="dxa"/>
            <w:vAlign w:val="bottom"/>
            <w:gridSpan w:val="2"/>
          </w:tcPr>
          <w:p>
            <w:pPr>
              <w:jc w:val="right"/>
              <w:ind w:right="122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7.60</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313,980</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(213,713)</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6.89</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360" w:type="dxa"/>
            <w:vAlign w:val="bottom"/>
          </w:tcPr>
          <w:p>
            <w:pPr>
              <w:ind w:left="340"/>
              <w:spacing w:after="0"/>
              <w:rPr>
                <w:sz w:val="20"/>
                <w:szCs w:val="20"/>
                <w:color w:val="auto"/>
              </w:rPr>
            </w:pPr>
            <w:r>
              <w:rPr>
                <w:rFonts w:ascii="Arial" w:cs="Arial" w:eastAsia="Arial" w:hAnsi="Arial"/>
                <w:sz w:val="18"/>
                <w:szCs w:val="18"/>
                <w:color w:val="auto"/>
              </w:rPr>
              <w:t>Stock options forfeited and 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 April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1,576,100</w:t>
            </w:r>
          </w:p>
        </w:tc>
        <w:tc>
          <w:tcPr>
            <w:tcW w:w="152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366,065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Vested and exercisable - January 31, 2023</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1,789,813</w:t>
            </w:r>
          </w:p>
        </w:tc>
        <w:tc>
          <w:tcPr>
            <w:tcW w:w="1520" w:type="dxa"/>
            <w:vAlign w:val="bottom"/>
            <w:gridSpan w:val="2"/>
          </w:tcPr>
          <w:p>
            <w:pPr>
              <w:jc w:val="right"/>
              <w:ind w:right="1228"/>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w w:val="85"/>
              </w:rPr>
              <w:t>7.60</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Arial" w:cs="Arial" w:eastAsia="Arial" w:hAnsi="Arial"/>
                <w:sz w:val="18"/>
                <w:szCs w:val="18"/>
                <w:color w:val="auto"/>
              </w:rPr>
              <w:t>3.3</w:t>
            </w:r>
          </w:p>
        </w:tc>
        <w:tc>
          <w:tcPr>
            <w:tcW w:w="3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313,980</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exercisable - April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1,576,100</w:t>
            </w:r>
          </w:p>
        </w:tc>
        <w:tc>
          <w:tcPr>
            <w:tcW w:w="152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366,065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Restricted Stock Units</w:t>
      </w:r>
    </w:p>
    <w:p>
      <w:pPr>
        <w:spacing w:after="0" w:line="17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The 2016 Plan provides for the issuance of RSUs to eligible employees, directors and consultants. RSUs granted to new employees generally vest over a period of four years with 25% vesting on the one-year anniversary of the vesting start date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RSU activity for the three months ended April 30,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80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86"/>
        </w:trPr>
        <w:tc>
          <w:tcPr>
            <w:tcW w:w="754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55"/>
              <w:spacing w:after="0"/>
              <w:rPr>
                <w:sz w:val="20"/>
                <w:szCs w:val="20"/>
                <w:color w:val="auto"/>
              </w:rPr>
            </w:pPr>
            <w:r>
              <w:rPr>
                <w:rFonts w:ascii="Arial" w:cs="Arial" w:eastAsia="Arial" w:hAnsi="Arial"/>
                <w:sz w:val="14"/>
                <w:szCs w:val="14"/>
                <w:b w:val="1"/>
                <w:bCs w:val="1"/>
                <w:color w:val="auto"/>
                <w:w w:val="94"/>
              </w:rPr>
              <w:t>Date Fair Value per RSU</w:t>
            </w:r>
          </w:p>
        </w:tc>
        <w:tc>
          <w:tcPr>
            <w:tcW w:w="0" w:type="dxa"/>
            <w:vAlign w:val="bottom"/>
          </w:tcPr>
          <w:p>
            <w:pPr>
              <w:spacing w:after="0"/>
              <w:rPr>
                <w:sz w:val="1"/>
                <w:szCs w:val="1"/>
                <w:color w:val="auto"/>
              </w:rPr>
            </w:pPr>
          </w:p>
        </w:tc>
      </w:tr>
      <w:tr>
        <w:trPr>
          <w:trHeight w:val="39"/>
        </w:trPr>
        <w:tc>
          <w:tcPr>
            <w:tcW w:w="7540" w:type="dxa"/>
            <w:vAlign w:val="bottom"/>
            <w:vMerge w:val="restart"/>
          </w:tcPr>
          <w:p>
            <w:pPr>
              <w:ind w:left="60"/>
              <w:spacing w:after="0"/>
              <w:rPr>
                <w:sz w:val="20"/>
                <w:szCs w:val="20"/>
                <w:color w:val="auto"/>
              </w:rPr>
            </w:pPr>
            <w:r>
              <w:rPr>
                <w:rFonts w:ascii="Arial" w:cs="Arial" w:eastAsia="Arial" w:hAnsi="Arial"/>
                <w:sz w:val="18"/>
                <w:szCs w:val="18"/>
                <w:color w:val="auto"/>
              </w:rPr>
              <w:t>Unvested - January 31, 2023</w:t>
            </w:r>
          </w:p>
        </w:tc>
        <w:tc>
          <w:tcPr>
            <w:tcW w:w="1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540" w:type="dxa"/>
            <w:vAlign w:val="bottom"/>
            <w:vMerge w:val="continue"/>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3,480,206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288.58</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RSUs granted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1,564,517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217.42</w:t>
            </w:r>
          </w:p>
        </w:tc>
        <w:tc>
          <w:tcPr>
            <w:tcW w:w="0" w:type="dxa"/>
            <w:vAlign w:val="bottom"/>
          </w:tcPr>
          <w:p>
            <w:pPr>
              <w:spacing w:after="0"/>
              <w:rPr>
                <w:sz w:val="1"/>
                <w:szCs w:val="1"/>
                <w:color w:val="auto"/>
              </w:rPr>
            </w:pPr>
          </w:p>
        </w:tc>
      </w:tr>
      <w:tr>
        <w:trPr>
          <w:trHeight w:val="270"/>
        </w:trPr>
        <w:tc>
          <w:tcPr>
            <w:tcW w:w="7540" w:type="dxa"/>
            <w:vAlign w:val="bottom"/>
          </w:tcPr>
          <w:p>
            <w:pPr>
              <w:ind w:left="220"/>
              <w:spacing w:after="0"/>
              <w:rPr>
                <w:sz w:val="20"/>
                <w:szCs w:val="20"/>
                <w:color w:val="auto"/>
              </w:rPr>
            </w:pPr>
            <w:r>
              <w:rPr>
                <w:rFonts w:ascii="Arial" w:cs="Arial" w:eastAsia="Arial" w:hAnsi="Arial"/>
                <w:sz w:val="18"/>
                <w:szCs w:val="18"/>
                <w:color w:val="auto"/>
              </w:rPr>
              <w:t>RSUs 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(388,017)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250.23</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RSUs forfeited and canceled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306.20</w:t>
            </w:r>
          </w:p>
        </w:tc>
        <w:tc>
          <w:tcPr>
            <w:tcW w:w="0" w:type="dxa"/>
            <w:vAlign w:val="bottom"/>
          </w:tcPr>
          <w:p>
            <w:pPr>
              <w:spacing w:after="0"/>
              <w:rPr>
                <w:sz w:val="1"/>
                <w:szCs w:val="1"/>
                <w:color w:val="auto"/>
              </w:rPr>
            </w:pPr>
          </w:p>
        </w:tc>
      </w:tr>
      <w:tr>
        <w:trPr>
          <w:trHeight w:val="223"/>
        </w:trPr>
        <w:tc>
          <w:tcPr>
            <w:tcW w:w="7540" w:type="dxa"/>
            <w:vAlign w:val="bottom"/>
          </w:tcPr>
          <w:p>
            <w:pPr>
              <w:ind w:left="60"/>
              <w:spacing w:after="0"/>
              <w:rPr>
                <w:sz w:val="20"/>
                <w:szCs w:val="20"/>
                <w:color w:val="auto"/>
              </w:rPr>
            </w:pPr>
            <w:r>
              <w:rPr>
                <w:rFonts w:ascii="Arial" w:cs="Arial" w:eastAsia="Arial" w:hAnsi="Arial"/>
                <w:sz w:val="18"/>
                <w:szCs w:val="18"/>
                <w:color w:val="auto"/>
              </w:rPr>
              <w:t>Unvested - April 30, 2023</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4,488,514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276.15</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2017 Employee Stock Purchase Plan</w:t>
      </w:r>
    </w:p>
    <w:p>
      <w:pPr>
        <w:spacing w:after="0" w:line="17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The Company’s current offering period began December 16, 2022 and is expected to end on June 15,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2C2C2C"/>
        </w:rPr>
        <w:t>Stock-Based Compensation Expense</w:t>
      </w:r>
    </w:p>
    <w:p>
      <w:pPr>
        <w:spacing w:after="0" w:line="17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Total stock-based compensation expense recognized in the Company’s unaudited condensed consolidated statements of operations is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 April 30,</w:t>
            </w:r>
          </w:p>
        </w:tc>
      </w:tr>
      <w:tr>
        <w:trPr>
          <w:trHeight w:val="25"/>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1"/>
        </w:trPr>
        <w:tc>
          <w:tcPr>
            <w:tcW w:w="8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265"/>
        </w:trPr>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 of revenue—subscription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r>
      <w:tr>
        <w:trPr>
          <w:trHeight w:val="263"/>
        </w:trPr>
        <w:tc>
          <w:tcPr>
            <w:tcW w:w="8340" w:type="dxa"/>
            <w:vAlign w:val="bottom"/>
          </w:tcPr>
          <w:p>
            <w:pPr>
              <w:ind w:left="60"/>
              <w:spacing w:after="0"/>
              <w:rPr>
                <w:sz w:val="20"/>
                <w:szCs w:val="20"/>
                <w:color w:val="auto"/>
              </w:rPr>
            </w:pPr>
            <w:r>
              <w:rPr>
                <w:rFonts w:ascii="Arial" w:cs="Arial" w:eastAsia="Arial" w:hAnsi="Arial"/>
                <w:sz w:val="18"/>
                <w:szCs w:val="18"/>
                <w:color w:val="auto"/>
              </w:rPr>
              <w:t>Cost of revenue—services</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2,212</w:t>
            </w:r>
          </w:p>
        </w:tc>
      </w:tr>
      <w:tr>
        <w:trPr>
          <w:trHeight w:val="277"/>
        </w:trPr>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30,534</w:t>
            </w:r>
          </w:p>
        </w:tc>
      </w:tr>
      <w:tr>
        <w:trPr>
          <w:trHeight w:val="263"/>
        </w:trPr>
        <w:tc>
          <w:tcPr>
            <w:tcW w:w="8340" w:type="dxa"/>
            <w:vAlign w:val="bottom"/>
          </w:tcPr>
          <w:p>
            <w:pPr>
              <w:ind w:left="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44,066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35,483</w:t>
            </w:r>
          </w:p>
        </w:tc>
      </w:tr>
      <w:tr>
        <w:trPr>
          <w:trHeight w:val="290"/>
        </w:trPr>
        <w:tc>
          <w:tcPr>
            <w:tcW w:w="8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13,821</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10,870</w:t>
            </w:r>
          </w:p>
        </w:tc>
      </w:tr>
      <w:tr>
        <w:trPr>
          <w:trHeight w:val="257"/>
        </w:trPr>
        <w:tc>
          <w:tcPr>
            <w:tcW w:w="8340" w:type="dxa"/>
            <w:vAlign w:val="bottom"/>
          </w:tcPr>
          <w:p>
            <w:pPr>
              <w:ind w:left="26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103,955</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83,566</w:t>
            </w:r>
          </w:p>
        </w:tc>
      </w:tr>
      <w:tr>
        <w:trPr>
          <w:trHeight w:val="27"/>
        </w:trPr>
        <w:tc>
          <w:tcPr>
            <w:tcW w:w="834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75"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common shares outstanding for the period, including stock options, restricted stock units and shares underlying the conversion option of the convertible senior notes. Basic and diluted net loss per share was the same for each period presented, as the inclusion of all potential common shares outstanding would have been anti-dilutive due to the net loss reported for each period presented.</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6"/>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72"/>
        </w:trPr>
        <w:tc>
          <w:tcPr>
            <w:tcW w:w="8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i w:val="1"/>
                <w:iCs w:val="1"/>
                <w:color w:val="auto"/>
              </w:rPr>
              <w:t>Numerator: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00"/>
              <w:spacing w:after="0"/>
              <w:rPr>
                <w:sz w:val="20"/>
                <w:szCs w:val="20"/>
                <w:color w:val="auto"/>
              </w:rPr>
            </w:pPr>
            <w:r>
              <w:rPr>
                <w:rFonts w:ascii="Arial" w:cs="Arial" w:eastAsia="Arial" w:hAnsi="Arial"/>
                <w:sz w:val="18"/>
                <w:szCs w:val="18"/>
                <w:color w:val="auto"/>
              </w:rPr>
              <w:t>Net loss</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(54,246)</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(77,294)</w:t>
            </w:r>
          </w:p>
        </w:tc>
        <w:tc>
          <w:tcPr>
            <w:tcW w:w="0" w:type="dxa"/>
            <w:vAlign w:val="bottom"/>
          </w:tcPr>
          <w:p>
            <w:pPr>
              <w:spacing w:after="0"/>
              <w:rPr>
                <w:sz w:val="1"/>
                <w:szCs w:val="1"/>
                <w:color w:val="auto"/>
              </w:rPr>
            </w:pPr>
          </w:p>
        </w:tc>
      </w:tr>
      <w:tr>
        <w:trPr>
          <w:trHeight w:val="68"/>
        </w:trPr>
        <w:tc>
          <w:tcPr>
            <w:tcW w:w="8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60"/>
              <w:spacing w:after="0"/>
              <w:rPr>
                <w:sz w:val="20"/>
                <w:szCs w:val="20"/>
                <w:color w:val="auto"/>
              </w:rPr>
            </w:pPr>
            <w:r>
              <w:rPr>
                <w:rFonts w:ascii="Arial" w:cs="Arial" w:eastAsia="Arial" w:hAnsi="Arial"/>
                <w:sz w:val="18"/>
                <w:szCs w:val="18"/>
                <w:i w:val="1"/>
                <w:iCs w:val="1"/>
                <w:color w:val="auto"/>
              </w:rPr>
              <w:t>Denominator: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8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8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70,177,499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67,706,502</w:t>
            </w:r>
          </w:p>
        </w:tc>
        <w:tc>
          <w:tcPr>
            <w:tcW w:w="0" w:type="dxa"/>
            <w:vAlign w:val="bottom"/>
          </w:tcPr>
          <w:p>
            <w:pPr>
              <w:spacing w:after="0"/>
              <w:rPr>
                <w:sz w:val="1"/>
                <w:szCs w:val="1"/>
                <w:color w:val="auto"/>
              </w:rPr>
            </w:pPr>
          </w:p>
        </w:tc>
      </w:tr>
      <w:tr>
        <w:trPr>
          <w:trHeight w:val="270"/>
        </w:trPr>
        <w:tc>
          <w:tcPr>
            <w:tcW w:w="8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68"/>
        </w:trPr>
        <w:tc>
          <w:tcPr>
            <w:tcW w:w="83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440" w:type="dxa"/>
            <w:vAlign w:val="bottom"/>
            <w:gridSpan w:val="2"/>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connection with the issuance of the 2024 Notes and 2026 Notes, the Company entered into Capped Calls, which were not included for purposes of calculating the number of diluted shares outstanding, as their effect would have been anti-dilutive. The Capped Calls are expected to partially offset the potential dilution to the Company’s common stock upon any conversion of the 2024 Notes and the 2026 Notes. The Company has not exercised any of its Capped Calls as of April 30, 2023.</w:t>
      </w:r>
    </w:p>
    <w:p>
      <w:pPr>
        <w:spacing w:after="0" w:line="13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weighted-average outstanding potentially dilutive shares of common stock were excluded from the computation of diluted net loss per share for the periods presented because the impact of including them would have been anti-dilutive: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90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3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options pursuant to the 2016 Equity Incentive Plan</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504,452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621,307</w:t>
            </w:r>
          </w:p>
        </w:tc>
        <w:tc>
          <w:tcPr>
            <w:tcW w:w="0" w:type="dxa"/>
            <w:vAlign w:val="bottom"/>
          </w:tcPr>
          <w:p>
            <w:pPr>
              <w:spacing w:after="0"/>
              <w:rPr>
                <w:sz w:val="1"/>
                <w:szCs w:val="1"/>
                <w:color w:val="auto"/>
              </w:rPr>
            </w:pPr>
          </w:p>
        </w:tc>
      </w:tr>
      <w:tr>
        <w:trPr>
          <w:trHeight w:val="263"/>
        </w:trPr>
        <w:tc>
          <w:tcPr>
            <w:tcW w:w="5040" w:type="dxa"/>
            <w:vAlign w:val="bottom"/>
          </w:tcPr>
          <w:p>
            <w:pPr>
              <w:ind w:left="60"/>
              <w:spacing w:after="0"/>
              <w:rPr>
                <w:sz w:val="20"/>
                <w:szCs w:val="20"/>
                <w:color w:val="auto"/>
              </w:rPr>
            </w:pPr>
            <w:r>
              <w:rPr>
                <w:rFonts w:ascii="Arial" w:cs="Arial" w:eastAsia="Arial" w:hAnsi="Arial"/>
                <w:sz w:val="18"/>
                <w:szCs w:val="18"/>
                <w:color w:val="auto"/>
              </w:rPr>
              <w:t>Stock options pursuant to the 2008 Stock Incentive Plan</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1,152,990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1,836,934</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Unvested restricted stock units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4,054,925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3,675,756</w:t>
            </w:r>
          </w:p>
        </w:tc>
        <w:tc>
          <w:tcPr>
            <w:tcW w:w="0" w:type="dxa"/>
            <w:vAlign w:val="bottom"/>
          </w:tcPr>
          <w:p>
            <w:pPr>
              <w:spacing w:after="0"/>
              <w:rPr>
                <w:sz w:val="1"/>
                <w:szCs w:val="1"/>
                <w:color w:val="auto"/>
              </w:rPr>
            </w:pPr>
          </w:p>
        </w:tc>
      </w:tr>
      <w:tr>
        <w:trPr>
          <w:trHeight w:val="263"/>
        </w:trPr>
        <w:tc>
          <w:tcPr>
            <w:tcW w:w="5040" w:type="dxa"/>
            <w:vAlign w:val="bottom"/>
          </w:tcPr>
          <w:p>
            <w:pPr>
              <w:ind w:left="80"/>
              <w:spacing w:after="0"/>
              <w:rPr>
                <w:sz w:val="20"/>
                <w:szCs w:val="20"/>
                <w:color w:val="auto"/>
              </w:rPr>
            </w:pPr>
            <w:r>
              <w:rPr>
                <w:rFonts w:ascii="Arial" w:cs="Arial" w:eastAsia="Arial" w:hAnsi="Arial"/>
                <w:sz w:val="18"/>
                <w:szCs w:val="18"/>
                <w:color w:val="auto"/>
              </w:rPr>
              <w:t>Unvested executive PSUs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174,119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42,876</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Shares underlying the conversion option of the 2026 Notes</w:t>
            </w:r>
          </w:p>
        </w:tc>
        <w:tc>
          <w:tcPr>
            <w:tcW w:w="33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5,445,002</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5,445,069</w:t>
            </w:r>
          </w:p>
        </w:tc>
        <w:tc>
          <w:tcPr>
            <w:tcW w:w="0" w:type="dxa"/>
            <w:vAlign w:val="bottom"/>
          </w:tcPr>
          <w:p>
            <w:pPr>
              <w:spacing w:after="0"/>
              <w:rPr>
                <w:sz w:val="1"/>
                <w:szCs w:val="1"/>
                <w:color w:val="auto"/>
              </w:rPr>
            </w:pPr>
          </w:p>
        </w:tc>
      </w:tr>
      <w:tr>
        <w:trPr>
          <w:trHeight w:val="236"/>
        </w:trPr>
        <w:tc>
          <w:tcPr>
            <w:tcW w:w="5040" w:type="dxa"/>
            <w:vAlign w:val="bottom"/>
          </w:tcPr>
          <w:p>
            <w:pPr>
              <w:ind w:left="60"/>
              <w:spacing w:after="0"/>
              <w:rPr>
                <w:sz w:val="20"/>
                <w:szCs w:val="20"/>
                <w:color w:val="auto"/>
              </w:rPr>
            </w:pPr>
            <w:r>
              <w:rPr>
                <w:rFonts w:ascii="Arial" w:cs="Arial" w:eastAsia="Arial" w:hAnsi="Arial"/>
                <w:sz w:val="18"/>
                <w:szCs w:val="18"/>
                <w:b w:val="1"/>
                <w:bCs w:val="1"/>
                <w:color w:val="auto"/>
              </w:rPr>
              <w:t>Total</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11,331,488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11,621,942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300" w:type="dxa"/>
            <w:vAlign w:val="bottom"/>
            <w:vMerge w:val="restart"/>
          </w:tcPr>
          <w:p>
            <w:pPr>
              <w:jc w:val="right"/>
              <w:ind w:right="2290"/>
              <w:spacing w:after="0"/>
              <w:rPr>
                <w:sz w:val="20"/>
                <w:szCs w:val="20"/>
                <w:color w:val="auto"/>
              </w:rPr>
            </w:pPr>
            <w:r>
              <w:rPr>
                <w:rFonts w:ascii="Arial" w:cs="Arial" w:eastAsia="Arial" w:hAnsi="Arial"/>
                <w:sz w:val="18"/>
                <w:szCs w:val="18"/>
                <w:color w:val="auto"/>
              </w:rPr>
              <w:t>15</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0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0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recorded a provision for income taxes of $2.5 million and $1.1 million for the three months ended April 30, 2023 and 2022, respectively. The provisions recorded during the three months ended April 30, 2023 and 2022 were driven by the increase in global income and the associated foreign taxes as the Company continues its global expansion. The calculation of income taxes was based upon the estimated annual effective tax rates for the year applied to the jurisdictional mix of current period loss before tax plus the tax effect of any significant unusual items, discrete events or changes in tax law.</w:t>
      </w:r>
    </w:p>
    <w:p>
      <w:pPr>
        <w:spacing w:after="0" w:line="134" w:lineRule="exact"/>
        <w:rPr>
          <w:sz w:val="20"/>
          <w:szCs w:val="20"/>
          <w:color w:val="auto"/>
        </w:rPr>
      </w:pPr>
    </w:p>
    <w:p>
      <w:pPr>
        <w:ind w:right="340" w:firstLine="486"/>
        <w:spacing w:after="0" w:line="257" w:lineRule="auto"/>
        <w:rPr>
          <w:sz w:val="20"/>
          <w:szCs w:val="20"/>
          <w:color w:val="auto"/>
        </w:rPr>
      </w:pPr>
      <w:r>
        <w:rPr>
          <w:rFonts w:ascii="Arial" w:cs="Arial" w:eastAsia="Arial" w:hAnsi="Arial"/>
          <w:sz w:val="18"/>
          <w:szCs w:val="18"/>
          <w:color w:val="auto"/>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has maintained a valuation allowance on U.S., U.K. and Ireland net deferred tax assets, as it is more likely than not that some or all of the deferred tax assets will not be realized.</w:t>
      </w:r>
    </w:p>
    <w:p>
      <w:pPr>
        <w:spacing w:after="0" w:line="134"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 xml:space="preserve">The Company assesses uncertain tax positions in accordance with ASC 740-10, </w:t>
      </w:r>
      <w:r>
        <w:rPr>
          <w:rFonts w:ascii="Arial" w:cs="Arial" w:eastAsia="Arial" w:hAnsi="Arial"/>
          <w:sz w:val="16"/>
          <w:szCs w:val="16"/>
          <w:i w:val="1"/>
          <w:iCs w:val="1"/>
          <w:color w:val="auto"/>
        </w:rPr>
        <w:t>Accounting for Uncertainties in Tax</w:t>
      </w:r>
      <w:r>
        <w:rPr>
          <w:rFonts w:ascii="Arial" w:cs="Arial" w:eastAsia="Arial" w:hAnsi="Arial"/>
          <w:sz w:val="16"/>
          <w:szCs w:val="16"/>
          <w:color w:val="auto"/>
        </w:rPr>
        <w:t>. As of January 31, 2023, the Company’s net unrecognized tax benefits totaled $29.3 million, which would have no impact on the Company’s effective tax rate if recognized.</w:t>
      </w:r>
    </w:p>
    <w:p>
      <w:pPr>
        <w:spacing w:after="0" w:line="7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Company continues to monitor and interpret the impact of proposed and enacted global tax legislation. To date, globally enacted tax legislation has not materially impacted income tax expense of the financial statements due to the presence of net operating losses and full valuation allowances within the Company’s two most significant tax jurisdictions, the United States and Ireland.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900" w:right="700" w:hanging="850"/>
        <w:spacing w:after="0" w:line="269"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08"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interim unaudited condensed consolidated financial statements and related notes appearing elsewhere in this Quarterly Report on Form 10-Q and (2) the audited consolidated financial statements and the related notes and the discussion under the heading “Management’s Discussion and Analysis of Financial Condition and Results of Operations” included in our Annual Report on Form 10-K for the fiscal year ended January 31, 2023 (the “2023 Form 10-K”). All information presented herein is based on our fiscal calendar year, which ends January 31. Unless otherwise stated, references to particular years, quarters, months or periods refer to our fiscal years ended January 31 and the associated quarters, months and periods of those fiscal years.</w:t>
      </w:r>
    </w:p>
    <w:p>
      <w:pPr>
        <w:spacing w:after="0" w:line="112"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including our expectations regarding our future growth opportunity, revenue and revenue growth, investments, strategy, operating expenses and the anticipated impact of the global economic uncertainty and financial market conditions, caused by the macroeconomic environment, on our business, results of operations and financial condition.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2, Item 1A of this Quarterly Report on Form 10-Q.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25"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 xml:space="preserve">Our corporate website is located at </w:t>
      </w:r>
      <w:r>
        <w:rPr>
          <w:rFonts w:ascii="Arial" w:cs="Arial" w:eastAsia="Arial" w:hAnsi="Arial"/>
          <w:sz w:val="18"/>
          <w:szCs w:val="18"/>
          <w:i w:val="1"/>
          <w:iCs w:val="1"/>
          <w:color w:val="auto"/>
        </w:rPr>
        <w:t>www.mongodb.com</w:t>
      </w:r>
      <w:r>
        <w:rPr>
          <w:rFonts w:ascii="Arial" w:cs="Arial" w:eastAsia="Arial" w:hAnsi="Arial"/>
          <w:sz w:val="18"/>
          <w:szCs w:val="18"/>
          <w:color w:val="auto"/>
        </w:rPr>
        <w:t>. We make available free of charge, on or through our corporate website, our annual, quarterly and current reports, and any amendments to those reports, as soon as reasonably practicable after electronically filing such reports with, or furnishing such reports to, the Securities and Exchange Commission (“SEC”). Information contained on our corporate website is not part of this Quarterly Report on Form 10-Q or any other report filed with or furnished to the SEC.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meet the needs of organizations for performance, scalability, flexibility and reliability while maintaining the strengths of relational databases. In addition to the database, our developer data platform includes a set of, tightly integrated, capabilities such as search, time series and application-driven analytics that allow developers to address a broader range of application requirements. Our business model combines the developer mindshare and adoption benefits of open source with the economic benefits of a proprietary software subscription business model. MongoDB is headquartered in New York City and our total headcount increased to 4,527 as of April 30, 2023, from 3,798 as of April 30, 2022.</w:t>
      </w:r>
    </w:p>
    <w:p>
      <w:pPr>
        <w:spacing w:after="0" w:line="124"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We generate revenue primarily from sales of subscriptions, which accounted for 96% of our total revenue for both the three months ended April 30, 2023 and April 30,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MongoDB Atlas is our hosted multi-cloud database-as-a-service (“DBaaS”) offering, which we run and manage in the cloud, and includes comprehensive infrastructure and management, as well as a host of additional features, such as MongoDB Atlas Search, time series and application-driven analytics. During the three months ended April 30, 2023, MongoDB Atlas revenue represented 65% as compared to 60% of our total revenue during the three months ended April 30, 2022, reflecting the continued growth of MongoDB Atlas since its introduction in June 2016. We have experienced strong growth in self-serve customers of MongoDB Atlas. These customers are charged monthly in arrears based on their usage. In addition, we have also seen growth in MongoDB Atlas customers sold by our sales force. These customers typically sign annual contracts and pay in advance or are invoiced monthly in arrears based on usage. We expect to continue to see a higher portion of our MongoDB Atlas contracts to be billed monthly in arrears based on usage without requiring upfront commitments.</w:t>
      </w:r>
    </w:p>
    <w:p>
      <w:pPr>
        <w:spacing w:after="0" w:line="124"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MongoDB Enterprise Advanced is our proprietary commercial database server offering for enterprise customers that can run in the cloud, on-premises or in a hybrid environment. MongoDB Enterprise Advanced revenue represented 28% of our subscription revenue for the three months ended April 30, 2023 and 33% of our subscription revenue for the three months ended April 30, 2022.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spacing w:after="0" w:line="122"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405 million times since February 2009 and over 140 million times in the last 12 months alone. 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1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also generate revenue from services, which consist primarily of fees associated with consulting and training services. Revenue from services accounted for 4% of our total revenue for both the three months ended April 30, 2023 and April 30, 2022. We expect to continue to invest in our services organization as we believe it plays an important role in accelerating our customers’ realization of the benefits of our platform, which helps drive customer retention and expansion.</w:t>
      </w:r>
    </w:p>
    <w:p>
      <w:pPr>
        <w:spacing w:after="0" w:line="133"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We believe the market for our offerings is large and growing. According to IDC, the worldwide database software market, which it refers to as the data management systems software market, is forecast to be approximately $81 billion in 2023 growing to approximately $136 billion in 2027. This represents a 14% compound annual growth rate.</w:t>
      </w:r>
    </w:p>
    <w:p>
      <w:pPr>
        <w:spacing w:after="0" w:line="130"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We have experienced rapid growth and have made substantial investments in developing our platform and expanding our sales and marketing footprint. We intend to continue to invest to grow our business to take advantage of our market opportunity.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Macroeconomic and Other Factors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operational and financial performance is subject to risks including those caused by the adverse macroeconomic environment.</w:t>
      </w:r>
    </w:p>
    <w:p>
      <w:pPr>
        <w:spacing w:after="0" w:line="158" w:lineRule="exact"/>
        <w:rPr>
          <w:sz w:val="20"/>
          <w:szCs w:val="20"/>
          <w:color w:val="auto"/>
        </w:rPr>
      </w:pPr>
    </w:p>
    <w:p>
      <w:pPr>
        <w:ind w:right="20" w:firstLine="486"/>
        <w:spacing w:after="0" w:line="241" w:lineRule="auto"/>
        <w:rPr>
          <w:sz w:val="20"/>
          <w:szCs w:val="20"/>
          <w:color w:val="auto"/>
        </w:rPr>
      </w:pPr>
      <w:r>
        <w:rPr>
          <w:rFonts w:ascii="Arial" w:cs="Arial" w:eastAsia="Arial" w:hAnsi="Arial"/>
          <w:sz w:val="18"/>
          <w:szCs w:val="18"/>
          <w:color w:val="auto"/>
        </w:rPr>
        <w:t>Adverse macroeconomic conditions include slower or negative economic growth, higher inflation and higher interest rates. During the three months ended April 30, 2023, the macroeconomic environment continued to negatively impact our business. For instance, we experienced slower than historical growth rates for our existing MongoDB Atlas applications. While the impact of these macroeconomic conditions on our business, results of operations and financial position remain uncertain over the long term, we expect to experience macroeconomic headwinds on growth rate for our existing MongoDB Atlas applications in the short term.</w:t>
      </w:r>
    </w:p>
    <w:p>
      <w:pPr>
        <w:spacing w:after="0" w:line="2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continue to monitor the developments of the macroeconomic environment, the geopolitical landscape and, recently, the challenges in the banking industry. As these factors develop and we evaluate their impact on our business, we may adjust our business practices accordingly. For further discussion of the potential impacts of these factors on our business,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operating results, and financial condition, see the section titled “Risk Factors” included in Part II, Item 1A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Growing Our Customer Base and Expanding Our Global Reach</w:t>
      </w:r>
    </w:p>
    <w:p>
      <w:pPr>
        <w:spacing w:after="0" w:line="17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are intensely focused on continuing to grow our customer base. We have invested, and expect to continue to invest, in our sales and marketing efforts and developer community outreach, which are critical to driving customer acquisition. As of April 30, 2023, we had over 43,100 customers across a wide range of industries and in over 100 countries, compared to over 35,200 customers as of April 30, 2022. All affiliated entities are counted as a single customer and our definition of “customer” excludes users of our free offerings.</w:t>
      </w:r>
    </w:p>
    <w:p>
      <w:pPr>
        <w:spacing w:after="0" w:line="133"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As of April 30, 2023, we had over 6,700 customers that were sold through our direct sales force and channel partners, as compared to over 4,800 such customers as of April 30, 2022. These customers, which we refer to as our Direct Sales Customers, accounted for 88% of our subscription revenue for the three months ended April 30, 2023 and 87% of our subscription revenue for the three months ended April 30, 2022. The percentage of our subscription revenue from Direct Sales Customers increased during the three months ended April 30, 2023, in part due to existing self-serve customers of MongoDB Atlas becoming Direct Sales Customers. We are also focused on increasing the number of overall MongoDB Atlas customers as we emphasize the on-demand scalability of MongoDB Atlas by allowing our customers to consume the product with minimal commitment. We had over 41,600 MongoDB Atlas customers as of April 30, 2023 compared to over 33,700 as of April 30, 2022. The growth in MongoDB Atlas customers included new customers to MongoDB and existing MongoDB Enterprise Advanced customers adding incremental MongoDB Atlas workloads.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Retaining and Expanding Revenue from Existing Customers</w:t>
      </w:r>
    </w:p>
    <w:p>
      <w:pPr>
        <w:spacing w:after="0" w:line="17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Growth of an application is impacted by a number of factors including the macroeconomic environment. During the three months ended April 30, 2023, we believe we experienced a negative impact from the macroeconomic environment on the growth of existing Atlas applications, which affected our revenue growth. We expect the macroeconomic environment to continue to negatively impact our revenue growth for the remainder of the year. In addition,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spacing w:after="0" w:line="11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usage of MongoDB Atlas, assuming no increases or reductions in their subscriptions or usage. For all other customers of our self-serve products, we calculate annualized MRR by annualizing the prior 30 days of their actual usage of such products, assuming no increases or reductions in usage. ARR and annualized MRR exclude professional services. The number of customers with $100,000 or greater in ARR and annualized MRR was 1,761 and 1,379 as of April 30, 2023 and 2022,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1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Our net ARR expansion rate has consistently been over 120% demonstrating our ability to expand within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Revenue</w:t>
      </w:r>
    </w:p>
    <w:p>
      <w:pPr>
        <w:spacing w:after="0" w:line="171"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i w:val="1"/>
          <w:iCs w:val="1"/>
          <w:color w:val="auto"/>
        </w:rPr>
        <w:t xml:space="preserve">Subscription Revenue. </w:t>
      </w:r>
      <w:r>
        <w:rPr>
          <w:rFonts w:ascii="Arial" w:cs="Arial" w:eastAsia="Arial" w:hAnsi="Arial"/>
          <w:sz w:val="17"/>
          <w:szCs w:val="17"/>
          <w:color w:val="auto"/>
        </w:rPr>
        <w:t>Our subscription revenue is comprised of term licenses and hosted as-a-service solutions. Revenue from our MongoDB Atlas</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is primarily generated 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spacing w:after="0" w:line="12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is comprised of consulting and training services and is recognized over the period of delivery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recognize revenue from services agreements as services are delivered.</w:t>
      </w:r>
    </w:p>
    <w:p>
      <w:pPr>
        <w:spacing w:after="0" w:line="116"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MongoDB Atlas customers.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Cost of Revenue</w:t>
      </w:r>
    </w:p>
    <w:p>
      <w:pPr>
        <w:spacing w:after="0" w:line="158" w:lineRule="exact"/>
        <w:rPr>
          <w:sz w:val="20"/>
          <w:szCs w:val="20"/>
          <w:color w:val="auto"/>
        </w:rPr>
      </w:pPr>
    </w:p>
    <w:p>
      <w:pPr>
        <w:ind w:right="100" w:firstLine="486"/>
        <w:spacing w:after="0" w:line="279" w:lineRule="auto"/>
        <w:rPr>
          <w:sz w:val="20"/>
          <w:szCs w:val="20"/>
          <w:color w:val="auto"/>
        </w:rPr>
      </w:pPr>
      <w:r>
        <w:rPr>
          <w:rFonts w:ascii="Arial" w:cs="Arial" w:eastAsia="Arial" w:hAnsi="Arial"/>
          <w:sz w:val="16"/>
          <w:szCs w:val="16"/>
          <w:i w:val="1"/>
          <w:iCs w:val="1"/>
          <w:color w:val="auto"/>
        </w:rPr>
        <w:t xml:space="preserve">Cost of Subscription Revenue. </w:t>
      </w:r>
      <w:r>
        <w:rPr>
          <w:rFonts w:ascii="Arial" w:cs="Arial" w:eastAsia="Arial" w:hAnsi="Arial"/>
          <w:sz w:val="16"/>
          <w:szCs w:val="16"/>
          <w:color w:val="auto"/>
        </w:rPr>
        <w:t>Cost of subscription revenue primarily includes third-party cloud infrastructure expenses for our hosted as-a-service</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spacing w:after="0" w:line="200" w:lineRule="exact"/>
        <w:rPr>
          <w:sz w:val="20"/>
          <w:szCs w:val="20"/>
          <w:color w:val="auto"/>
        </w:rPr>
      </w:pPr>
    </w:p>
    <w:p>
      <w:pPr>
        <w:ind w:right="380" w:firstLine="486"/>
        <w:spacing w:after="0" w:line="221" w:lineRule="exact"/>
        <w:rPr>
          <w:sz w:val="20"/>
          <w:szCs w:val="20"/>
          <w:color w:val="auto"/>
        </w:rPr>
      </w:pPr>
      <w:r>
        <w:rPr>
          <w:rFonts w:ascii="Arial" w:cs="Arial" w:eastAsia="Arial" w:hAnsi="Arial"/>
          <w:sz w:val="17"/>
          <w:szCs w:val="17"/>
          <w:i w:val="1"/>
          <w:iCs w:val="1"/>
          <w:color w:val="auto"/>
        </w:rPr>
        <w:t xml:space="preserve">Cost of Services Revenue. </w:t>
      </w:r>
      <w:r>
        <w:rPr>
          <w:rFonts w:ascii="Arial" w:cs="Arial" w:eastAsia="Arial" w:hAnsi="Arial"/>
          <w:sz w:val="17"/>
          <w:szCs w:val="17"/>
          <w:color w:val="auto"/>
        </w:rPr>
        <w:t>Cost of services revenue primarily includes personnel costs, including salaries, bonuses and benefits, and stock</w:t>
      </w:r>
      <w:r>
        <w:rPr>
          <w:rFonts w:ascii="MS PGothic" w:cs="MS PGothic" w:eastAsia="MS PGothic" w:hAnsi="MS PGothic"/>
          <w:sz w:val="17"/>
          <w:szCs w:val="17"/>
          <w:color w:val="auto"/>
        </w:rPr>
        <w:t>‑</w:t>
      </w:r>
      <w:r>
        <w:rPr>
          <w:rFonts w:ascii="Arial" w:cs="Arial" w:eastAsia="Arial" w:hAnsi="Arial"/>
          <w:sz w:val="17"/>
          <w:szCs w:val="17"/>
          <w:color w:val="auto"/>
        </w:rPr>
        <w:t>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Gross Profit and Gross Margin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represents revenue less cost of revenue.</w:t>
      </w:r>
    </w:p>
    <w:p>
      <w:pPr>
        <w:spacing w:after="0" w:line="171"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or gross profit as a percentage of revenue, has been and will continue to be affected by a variety of factors,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Expenses</w:t>
      </w:r>
    </w:p>
    <w:p>
      <w:pPr>
        <w:spacing w:after="0" w:line="171"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spacing w:after="0" w:line="130" w:lineRule="exact"/>
        <w:rPr>
          <w:sz w:val="20"/>
          <w:szCs w:val="20"/>
          <w:color w:val="auto"/>
        </w:rPr>
      </w:pPr>
    </w:p>
    <w:p>
      <w:pPr>
        <w:ind w:firstLine="486"/>
        <w:spacing w:after="0" w:line="219" w:lineRule="exact"/>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 consists primarily of personnel costs, including salaries, sales commission and benefits,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These expenses also include costs related to marketing programs, travel</w:t>
      </w:r>
      <w:r>
        <w:rPr>
          <w:rFonts w:ascii="MS PGothic" w:cs="MS PGothic" w:eastAsia="MS PGothic" w:hAnsi="MS PGothic"/>
          <w:sz w:val="18"/>
          <w:szCs w:val="18"/>
          <w:color w:val="auto"/>
        </w:rPr>
        <w:t>‑</w:t>
      </w:r>
      <w:r>
        <w:rPr>
          <w:rFonts w:ascii="Arial" w:cs="Arial" w:eastAsia="Arial" w:hAnsi="Arial"/>
          <w:sz w:val="18"/>
          <w:szCs w:val="18"/>
          <w:color w:val="auto"/>
        </w:rPr>
        <w:t>related expenses and allocated overhead. Marketing programs consist of advertising, events, corporate communications, and brand</w:t>
      </w:r>
      <w:r>
        <w:rPr>
          <w:rFonts w:ascii="MS PGothic" w:cs="MS PGothic" w:eastAsia="MS PGothic" w:hAnsi="MS PGothic"/>
          <w:sz w:val="18"/>
          <w:szCs w:val="18"/>
          <w:color w:val="auto"/>
        </w:rPr>
        <w:t>‑</w:t>
      </w:r>
      <w:r>
        <w:rPr>
          <w:rFonts w:ascii="Arial" w:cs="Arial" w:eastAsia="Arial" w:hAnsi="Arial"/>
          <w:sz w:val="18"/>
          <w:szCs w:val="18"/>
          <w:color w:val="auto"/>
        </w:rPr>
        <w:t>building and developer</w:t>
      </w:r>
      <w:r>
        <w:rPr>
          <w:rFonts w:ascii="MS PGothic" w:cs="MS PGothic" w:eastAsia="MS PGothic" w:hAnsi="MS PGothic"/>
          <w:sz w:val="18"/>
          <w:szCs w:val="18"/>
          <w:color w:val="auto"/>
        </w:rPr>
        <w:t>‑</w:t>
      </w:r>
      <w:r>
        <w:rPr>
          <w:rFonts w:ascii="Arial" w:cs="Arial" w:eastAsia="Arial" w:hAnsi="Arial"/>
          <w:sz w:val="18"/>
          <w:szCs w:val="18"/>
          <w:color w:val="auto"/>
        </w:rPr>
        <w:t>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140" w:firstLine="486"/>
        <w:spacing w:after="0" w:line="221" w:lineRule="exact"/>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costs, including salaries, bonuses and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It also includes amortization associated with intangible acquired assets and allocated overhead. We expect our research and development expenses to continue to increase in absolute dollars, as we continue to invest in our developer data platform and develop new products.</w:t>
      </w:r>
    </w:p>
    <w:p>
      <w:pPr>
        <w:spacing w:after="0" w:line="150" w:lineRule="exact"/>
        <w:rPr>
          <w:sz w:val="20"/>
          <w:szCs w:val="20"/>
          <w:color w:val="auto"/>
        </w:rPr>
      </w:pPr>
    </w:p>
    <w:p>
      <w:pPr>
        <w:ind w:right="100" w:firstLine="486"/>
        <w:spacing w:after="0" w:line="220" w:lineRule="exact"/>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primarily of personnel costs, including salaries, bonuses and benefits, and</w:t>
      </w:r>
      <w:r>
        <w:rPr>
          <w:rFonts w:ascii="Arial" w:cs="Arial" w:eastAsia="Arial" w:hAnsi="Arial"/>
          <w:sz w:val="17"/>
          <w:szCs w:val="17"/>
          <w:i w:val="1"/>
          <w:iCs w:val="1"/>
          <w:color w:val="auto"/>
        </w:rPr>
        <w:t xml:space="preserve"> </w:t>
      </w:r>
      <w:r>
        <w:rPr>
          <w:rFonts w:ascii="Arial" w:cs="Arial" w:eastAsia="Arial" w:hAnsi="Arial"/>
          <w:sz w:val="17"/>
          <w:szCs w:val="17"/>
          <w:color w:val="auto"/>
        </w:rPr>
        <w:t>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publicly-traded company.</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Other income (expense), net consists primarily of interest income, interest expense, gains and losses on investments and gains and losses from foreign currency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Provision for Income Taxes</w:t>
      </w:r>
    </w:p>
    <w:p>
      <w:pPr>
        <w:spacing w:after="0" w:line="17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Provision for income taxes consists primarily of state income taxes in the United States and income taxes in certain foreign jurisdictions in which we conduct business.</w:t>
      </w:r>
    </w:p>
    <w:p>
      <w:pPr>
        <w:spacing w:after="0" w:line="116"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30"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U.S., U.K. and Ireland net deferred tax assets, as it is more likely than not that some or all of the deferred tax assets will not be realized.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April 30, 2023 Summary</w:t>
      </w:r>
    </w:p>
    <w:p>
      <w:pPr>
        <w:spacing w:after="0" w:line="175"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For the three months ended April 30, 2023, our total revenue increased to $368.3 million as compared to $285.4 million for the three months ended April 30, 2022, primarily driven by an increase in subscription revenue from our Direct Sales Customers. Our net loss decreased to $54.2 million for the three months ended April 30, 2023 as compared to $77.3 million for the three months ended April 30, 2022, primarily driven by an increase in revenue, partially offset by increased sales and marketing and research and development costs during the three months ended April 30, 2023.</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operating cash flow was $53.7 million and $11.6 million for the three months ended April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in U.S. dollars (unaudited, in thousands) and as a percentage of our total revenue. Percentage of revenue figures are rounded and therefore may not subtotal exactly.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5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5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24"/>
        </w:trPr>
        <w:tc>
          <w:tcPr>
            <w:tcW w:w="844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440" w:type="dxa"/>
            <w:vAlign w:val="bottom"/>
            <w:gridSpan w:val="3"/>
          </w:tcPr>
          <w:p>
            <w:pPr>
              <w:ind w:left="6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84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Subscription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354,714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274,581</w:t>
            </w:r>
          </w:p>
        </w:tc>
      </w:tr>
      <w:tr>
        <w:trPr>
          <w:trHeight w:val="283"/>
        </w:trPr>
        <w:tc>
          <w:tcPr>
            <w:tcW w:w="8440" w:type="dxa"/>
            <w:vAlign w:val="bottom"/>
            <w:gridSpan w:val="3"/>
          </w:tcPr>
          <w:p>
            <w:pPr>
              <w:ind w:left="26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w:t>
            </w:r>
          </w:p>
        </w:tc>
      </w:tr>
      <w:tr>
        <w:trPr>
          <w:trHeight w:val="263"/>
        </w:trPr>
        <w:tc>
          <w:tcPr>
            <w:tcW w:w="8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285,447</w:t>
            </w:r>
          </w:p>
        </w:tc>
      </w:tr>
      <w:tr>
        <w:trPr>
          <w:trHeight w:val="243"/>
        </w:trPr>
        <w:tc>
          <w:tcPr>
            <w:tcW w:w="8440" w:type="dxa"/>
            <w:vAlign w:val="bottom"/>
            <w:gridSpan w:val="3"/>
          </w:tcPr>
          <w:p>
            <w:pPr>
              <w:ind w:left="6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Subscription</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64,569</w:t>
            </w:r>
          </w:p>
        </w:tc>
      </w:tr>
      <w:tr>
        <w:trPr>
          <w:trHeight w:val="283"/>
        </w:trPr>
        <w:tc>
          <w:tcPr>
            <w:tcW w:w="8440" w:type="dxa"/>
            <w:vAlign w:val="bottom"/>
            <w:tcBorders>
              <w:bottom w:val="single" w:sz="8" w:color="CCEEFF"/>
            </w:tcBorders>
            <w:gridSpan w:val="3"/>
          </w:tcPr>
          <w:p>
            <w:pPr>
              <w:ind w:left="260"/>
              <w:spacing w:after="0"/>
              <w:rPr>
                <w:sz w:val="20"/>
                <w:szCs w:val="20"/>
                <w:color w:val="auto"/>
              </w:rPr>
            </w:pPr>
            <w:r>
              <w:rPr>
                <w:rFonts w:ascii="Arial" w:cs="Arial" w:eastAsia="Arial" w:hAnsi="Arial"/>
                <w:sz w:val="18"/>
                <w:szCs w:val="18"/>
                <w:color w:val="auto"/>
              </w:rPr>
              <w:t>Services</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13,646</w:t>
            </w:r>
          </w:p>
        </w:tc>
      </w:tr>
      <w:tr>
        <w:trPr>
          <w:trHeight w:val="263"/>
        </w:trPr>
        <w:tc>
          <w:tcPr>
            <w:tcW w:w="8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78,215</w:t>
            </w:r>
          </w:p>
        </w:tc>
      </w:tr>
      <w:tr>
        <w:trPr>
          <w:trHeight w:val="250"/>
        </w:trPr>
        <w:tc>
          <w:tcPr>
            <w:tcW w:w="8440" w:type="dxa"/>
            <w:vAlign w:val="bottom"/>
            <w:gridSpan w:val="3"/>
          </w:tcPr>
          <w:p>
            <w:pPr>
              <w:ind w:left="6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270,831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207,232</w:t>
            </w:r>
          </w:p>
        </w:tc>
      </w:tr>
      <w:tr>
        <w:trPr>
          <w:trHeight w:val="243"/>
        </w:trPr>
        <w:tc>
          <w:tcPr>
            <w:tcW w:w="8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70"/>
        </w:trPr>
        <w:tc>
          <w:tcPr>
            <w:tcW w:w="8440" w:type="dxa"/>
            <w:vAlign w:val="bottom"/>
            <w:gridSpan w:val="3"/>
          </w:tcPr>
          <w:p>
            <w:pPr>
              <w:ind w:left="2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182,733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150,268</w:t>
            </w:r>
          </w:p>
        </w:tc>
      </w:tr>
      <w:tr>
        <w:trPr>
          <w:trHeight w:val="270"/>
        </w:trPr>
        <w:tc>
          <w:tcPr>
            <w:tcW w:w="84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96,372</w:t>
            </w:r>
          </w:p>
        </w:tc>
      </w:tr>
      <w:tr>
        <w:trPr>
          <w:trHeight w:val="283"/>
        </w:trPr>
        <w:tc>
          <w:tcPr>
            <w:tcW w:w="8440" w:type="dxa"/>
            <w:vAlign w:val="bottom"/>
            <w:tcBorders>
              <w:bottom w:val="single" w:sz="8" w:color="CCEEFF"/>
            </w:tcBorders>
            <w:gridSpan w:val="3"/>
          </w:tcPr>
          <w:p>
            <w:pPr>
              <w:ind w:left="2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36,532</w:t>
            </w:r>
          </w:p>
        </w:tc>
      </w:tr>
      <w:tr>
        <w:trPr>
          <w:trHeight w:val="263"/>
        </w:trPr>
        <w:tc>
          <w:tcPr>
            <w:tcW w:w="8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339,378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283,172</w:t>
            </w:r>
          </w:p>
        </w:tc>
      </w:tr>
      <w:tr>
        <w:trPr>
          <w:trHeight w:val="250"/>
        </w:trPr>
        <w:tc>
          <w:tcPr>
            <w:tcW w:w="8440" w:type="dxa"/>
            <w:vAlign w:val="bottom"/>
            <w:gridSpan w:val="3"/>
          </w:tcPr>
          <w:p>
            <w:pPr>
              <w:ind w:left="6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(75,940)</w:t>
            </w:r>
          </w:p>
        </w:tc>
      </w:tr>
      <w:tr>
        <w:trPr>
          <w:trHeight w:val="270"/>
        </w:trPr>
        <w:tc>
          <w:tcPr>
            <w:tcW w:w="8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50"/>
        </w:trPr>
        <w:tc>
          <w:tcPr>
            <w:tcW w:w="8440" w:type="dxa"/>
            <w:vAlign w:val="bottom"/>
            <w:gridSpan w:val="3"/>
          </w:tcPr>
          <w:p>
            <w:pPr>
              <w:ind w:left="60"/>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(76,148)</w:t>
            </w:r>
          </w:p>
        </w:tc>
      </w:tr>
      <w:tr>
        <w:trPr>
          <w:trHeight w:val="270"/>
        </w:trPr>
        <w:tc>
          <w:tcPr>
            <w:tcW w:w="8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63"/>
        </w:trPr>
        <w:tc>
          <w:tcPr>
            <w:tcW w:w="8440" w:type="dxa"/>
            <w:vAlign w:val="bottom"/>
            <w:gridSpan w:val="3"/>
          </w:tcPr>
          <w:p>
            <w:pPr>
              <w:ind w:left="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(54,246)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(77,294)</w:t>
            </w:r>
          </w:p>
        </w:tc>
      </w:tr>
      <w:tr>
        <w:trPr>
          <w:trHeight w:val="20"/>
        </w:trPr>
        <w:tc>
          <w:tcPr>
            <w:tcW w:w="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500" w:type="dxa"/>
            <w:vAlign w:val="bottom"/>
          </w:tcPr>
          <w:p>
            <w:pPr>
              <w:spacing w:after="0"/>
              <w:rPr>
                <w:sz w:val="13"/>
                <w:szCs w:val="13"/>
                <w:color w:val="auto"/>
              </w:rPr>
            </w:pPr>
          </w:p>
        </w:tc>
        <w:tc>
          <w:tcPr>
            <w:tcW w:w="2860" w:type="dxa"/>
            <w:vAlign w:val="bottom"/>
            <w:tcBorders>
              <w:bottom w:val="single" w:sz="8" w:color="auto"/>
            </w:tcBorders>
          </w:tcPr>
          <w:p>
            <w:pPr>
              <w:spacing w:after="0"/>
              <w:rPr>
                <w:sz w:val="13"/>
                <w:szCs w:val="13"/>
                <w:color w:val="auto"/>
              </w:rPr>
            </w:pPr>
          </w:p>
        </w:tc>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46" w:lineRule="exact"/>
        <w:rPr>
          <w:sz w:val="20"/>
          <w:szCs w:val="20"/>
          <w:color w:val="auto"/>
        </w:rPr>
      </w:pPr>
    </w:p>
    <w:p>
      <w:pPr>
        <w:ind w:left="320" w:hanging="312"/>
        <w:spacing w:after="0" w:line="265" w:lineRule="exact"/>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Includes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 follows (unaudited,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20" w:type="dxa"/>
            <w:vAlign w:val="bottom"/>
          </w:tcPr>
          <w:p>
            <w:pPr>
              <w:spacing w:after="0"/>
              <w:rPr>
                <w:sz w:val="16"/>
                <w:szCs w:val="16"/>
                <w:color w:val="auto"/>
              </w:rPr>
            </w:pPr>
          </w:p>
        </w:tc>
      </w:tr>
      <w:tr>
        <w:trPr>
          <w:trHeight w:val="25"/>
        </w:trPr>
        <w:tc>
          <w:tcPr>
            <w:tcW w:w="8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1"/>
        </w:trPr>
        <w:tc>
          <w:tcPr>
            <w:tcW w:w="82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r>
      <w:tr>
        <w:trPr>
          <w:trHeight w:val="204"/>
        </w:trPr>
        <w:tc>
          <w:tcPr>
            <w:tcW w:w="8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Cost of revenue—subscription</w:t>
            </w: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5,514</w:t>
            </w:r>
          </w:p>
        </w:tc>
        <w:tc>
          <w:tcPr>
            <w:tcW w:w="106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4,467</w:t>
            </w:r>
          </w:p>
        </w:tc>
      </w:tr>
      <w:tr>
        <w:trPr>
          <w:trHeight w:val="210"/>
        </w:trPr>
        <w:tc>
          <w:tcPr>
            <w:tcW w:w="8200" w:type="dxa"/>
            <w:vAlign w:val="bottom"/>
          </w:tcPr>
          <w:p>
            <w:pPr>
              <w:ind w:left="60"/>
              <w:spacing w:after="0"/>
              <w:rPr>
                <w:sz w:val="20"/>
                <w:szCs w:val="20"/>
                <w:color w:val="auto"/>
              </w:rPr>
            </w:pPr>
            <w:r>
              <w:rPr>
                <w:rFonts w:ascii="Arial" w:cs="Arial" w:eastAsia="Arial" w:hAnsi="Arial"/>
                <w:sz w:val="14"/>
                <w:szCs w:val="14"/>
                <w:color w:val="auto"/>
              </w:rPr>
              <w:t>Cost of revenue—services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2,948</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2,212</w:t>
            </w:r>
          </w:p>
        </w:tc>
      </w:tr>
      <w:tr>
        <w:trPr>
          <w:trHeight w:val="215"/>
        </w:trPr>
        <w:tc>
          <w:tcPr>
            <w:tcW w:w="8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Sales and marketing</w:t>
            </w:r>
          </w:p>
        </w:tc>
        <w:tc>
          <w:tcPr>
            <w:tcW w:w="9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37,606</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30,534</w:t>
            </w:r>
          </w:p>
        </w:tc>
      </w:tr>
      <w:tr>
        <w:trPr>
          <w:trHeight w:val="204"/>
        </w:trPr>
        <w:tc>
          <w:tcPr>
            <w:tcW w:w="8200" w:type="dxa"/>
            <w:vAlign w:val="bottom"/>
          </w:tcPr>
          <w:p>
            <w:pPr>
              <w:ind w:left="60"/>
              <w:spacing w:after="0"/>
              <w:rPr>
                <w:sz w:val="20"/>
                <w:szCs w:val="20"/>
                <w:color w:val="auto"/>
              </w:rPr>
            </w:pPr>
            <w:r>
              <w:rPr>
                <w:rFonts w:ascii="Arial" w:cs="Arial" w:eastAsia="Arial" w:hAnsi="Arial"/>
                <w:sz w:val="14"/>
                <w:szCs w:val="14"/>
                <w:color w:val="auto"/>
              </w:rPr>
              <w:t>Research and development</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44,066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35,483</w:t>
            </w:r>
          </w:p>
        </w:tc>
      </w:tr>
      <w:tr>
        <w:trPr>
          <w:trHeight w:val="25"/>
        </w:trPr>
        <w:tc>
          <w:tcPr>
            <w:tcW w:w="8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General and administrative</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13,821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10,870</w:t>
            </w:r>
          </w:p>
        </w:tc>
      </w:tr>
      <w:tr>
        <w:trPr>
          <w:trHeight w:val="204"/>
        </w:trPr>
        <w:tc>
          <w:tcPr>
            <w:tcW w:w="8200" w:type="dxa"/>
            <w:vAlign w:val="bottom"/>
          </w:tcPr>
          <w:p>
            <w:pPr>
              <w:ind w:left="260"/>
              <w:spacing w:after="0" w:line="161" w:lineRule="exact"/>
              <w:rPr>
                <w:sz w:val="20"/>
                <w:szCs w:val="20"/>
                <w:color w:val="auto"/>
              </w:rPr>
            </w:pPr>
            <w:r>
              <w:rPr>
                <w:rFonts w:ascii="Arial" w:cs="Arial" w:eastAsia="Arial" w:hAnsi="Arial"/>
                <w:sz w:val="14"/>
                <w:szCs w:val="14"/>
                <w:color w:val="auto"/>
              </w:rPr>
              <w:t>Total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103,955</w:t>
            </w: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83,566</w:t>
            </w:r>
          </w:p>
        </w:tc>
      </w:tr>
      <w:tr>
        <w:trPr>
          <w:trHeight w:val="26"/>
        </w:trPr>
        <w:tc>
          <w:tcPr>
            <w:tcW w:w="8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50" w:lineRule="exact"/>
        <w:rPr>
          <w:sz w:val="20"/>
          <w:szCs w:val="20"/>
          <w:color w:val="auto"/>
        </w:rPr>
      </w:pPr>
    </w:p>
    <w:p>
      <w:pPr>
        <w:ind w:left="8680"/>
        <w:spacing w:after="0"/>
        <w:rPr>
          <w:sz w:val="20"/>
          <w:szCs w:val="20"/>
          <w:color w:val="auto"/>
        </w:rPr>
      </w:pPr>
      <w:r>
        <w:rPr>
          <w:rFonts w:ascii="Arial" w:cs="Arial" w:eastAsia="Arial" w:hAnsi="Arial"/>
          <w:sz w:val="13"/>
          <w:szCs w:val="13"/>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39370</wp:posOffset>
            </wp:positionV>
            <wp:extent cx="20574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47" w:lineRule="exact"/>
        <w:rPr>
          <w:sz w:val="20"/>
          <w:szCs w:val="20"/>
          <w:color w:val="auto"/>
        </w:rPr>
      </w:pPr>
    </w:p>
    <w:p>
      <w:pPr>
        <w:jc w:val="both"/>
        <w:ind w:left="8640"/>
        <w:spacing w:after="0"/>
        <w:tabs>
          <w:tab w:leader="none" w:pos="1030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23495</wp:posOffset>
            </wp:positionV>
            <wp:extent cx="20574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Percentage of Revenue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Subscription</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revenue</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Subscription</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cost of revenue</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Gross profit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Research and development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operating expenses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income (expense), net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6"/>
          <w:szCs w:val="16"/>
          <w:color w:val="auto"/>
        </w:rPr>
        <w:t>Loss before provision for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left="320" w:hanging="234"/>
        <w:spacing w:after="0"/>
        <w:tabs>
          <w:tab w:leader="none" w:pos="320" w:val="left"/>
        </w:tabs>
        <w:numPr>
          <w:ilvl w:val="0"/>
          <w:numId w:val="5"/>
        </w:numPr>
        <w:rPr>
          <w:rFonts w:ascii="Arial" w:cs="Arial" w:eastAsia="Arial" w:hAnsi="Arial"/>
          <w:sz w:val="15"/>
          <w:szCs w:val="15"/>
          <w:color w:val="auto"/>
        </w:rPr>
      </w:pP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29210</wp:posOffset>
            </wp:positionV>
            <wp:extent cx="9944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100 %</w:t>
      </w:r>
    </w:p>
    <w:p>
      <w:pPr>
        <w:spacing w:after="0" w:line="329" w:lineRule="exact"/>
        <w:rPr>
          <w:sz w:val="20"/>
          <w:szCs w:val="20"/>
          <w:color w:val="auto"/>
        </w:rPr>
      </w:pPr>
    </w:p>
    <w:p>
      <w:pPr>
        <w:ind w:left="320" w:hanging="234"/>
        <w:spacing w:after="0"/>
        <w:tabs>
          <w:tab w:leader="none" w:pos="320" w:val="left"/>
        </w:tabs>
        <w:numPr>
          <w:ilvl w:val="0"/>
          <w:numId w:val="6"/>
        </w:numPr>
        <w:rPr>
          <w:rFonts w:ascii="Arial" w:cs="Arial" w:eastAsia="Arial" w:hAnsi="Arial"/>
          <w:sz w:val="15"/>
          <w:szCs w:val="15"/>
          <w:color w:val="auto"/>
        </w:rPr>
      </w:pP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6"/>
          <w:szCs w:val="16"/>
          <w:color w:val="auto"/>
        </w:rPr>
        <w:t>5 %</w:t>
      </w:r>
    </w:p>
    <w:p>
      <w:pPr>
        <w:spacing w:after="0" w:line="100" w:lineRule="exact"/>
        <w:rPr>
          <w:sz w:val="20"/>
          <w:szCs w:val="20"/>
          <w:color w:val="auto"/>
        </w:rPr>
      </w:pPr>
    </w:p>
    <w:p>
      <w:pPr>
        <w:ind w:left="320" w:hanging="234"/>
        <w:spacing w:after="0"/>
        <w:tabs>
          <w:tab w:leader="none" w:pos="320" w:val="left"/>
        </w:tabs>
        <w:numPr>
          <w:ilvl w:val="0"/>
          <w:numId w:val="7"/>
        </w:numPr>
        <w:rPr>
          <w:rFonts w:ascii="Arial" w:cs="Arial" w:eastAsia="Arial" w:hAnsi="Arial"/>
          <w:sz w:val="15"/>
          <w:szCs w:val="15"/>
          <w:color w:val="auto"/>
        </w:rPr>
      </w:pP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320" w:hanging="234"/>
        <w:spacing w:after="0"/>
        <w:tabs>
          <w:tab w:leader="none" w:pos="320" w:val="left"/>
        </w:tabs>
        <w:numPr>
          <w:ilvl w:val="0"/>
          <w:numId w:val="8"/>
        </w:numPr>
        <w:rPr>
          <w:rFonts w:ascii="Arial" w:cs="Arial" w:eastAsia="Arial" w:hAnsi="Arial"/>
          <w:sz w:val="15"/>
          <w:szCs w:val="15"/>
          <w:color w:val="auto"/>
        </w:rPr>
      </w:pPr>
      <w:r>
        <w:rPr>
          <w:rFonts w:ascii="Arial" w:cs="Arial" w:eastAsia="Arial" w:hAnsi="Arial"/>
          <w:sz w:val="15"/>
          <w:szCs w:val="15"/>
          <w:color w:val="auto"/>
        </w:rPr>
        <w:t>%</w:t>
      </w:r>
    </w:p>
    <w:p>
      <w:pPr>
        <w:spacing w:after="0" w:line="341" w:lineRule="exact"/>
        <w:rPr>
          <w:sz w:val="20"/>
          <w:szCs w:val="20"/>
          <w:color w:val="auto"/>
        </w:rPr>
      </w:pPr>
    </w:p>
    <w:p>
      <w:pPr>
        <w:ind w:left="320" w:hanging="234"/>
        <w:spacing w:after="0"/>
        <w:tabs>
          <w:tab w:leader="none" w:pos="320" w:val="left"/>
        </w:tabs>
        <w:numPr>
          <w:ilvl w:val="0"/>
          <w:numId w:val="9"/>
        </w:numPr>
        <w:rPr>
          <w:rFonts w:ascii="Arial" w:cs="Arial" w:eastAsia="Arial" w:hAnsi="Arial"/>
          <w:sz w:val="15"/>
          <w:szCs w:val="15"/>
          <w:color w:val="auto"/>
        </w:rPr>
      </w:pP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320" w:hanging="234"/>
        <w:spacing w:after="0"/>
        <w:tabs>
          <w:tab w:leader="none" w:pos="3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320" w:hanging="227"/>
        <w:spacing w:after="0"/>
        <w:tabs>
          <w:tab w:leader="none" w:pos="3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320" w:hanging="234"/>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(19)%</w:t>
      </w:r>
    </w:p>
    <w:p>
      <w:pPr>
        <w:spacing w:after="0" w:line="86" w:lineRule="exact"/>
        <w:rPr>
          <w:sz w:val="20"/>
          <w:szCs w:val="20"/>
          <w:color w:val="auto"/>
        </w:rPr>
      </w:pPr>
    </w:p>
    <w:p>
      <w:pPr>
        <w:ind w:left="320" w:hanging="144"/>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20"/>
        <w:spacing w:after="0"/>
        <w:rPr>
          <w:rFonts w:ascii="Arial" w:cs="Arial" w:eastAsia="Arial" w:hAnsi="Arial"/>
          <w:sz w:val="15"/>
          <w:szCs w:val="15"/>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left="324" w:hanging="234"/>
        <w:spacing w:after="0"/>
        <w:tabs>
          <w:tab w:leader="none" w:pos="324" w:val="left"/>
        </w:tabs>
        <w:numPr>
          <w:ilvl w:val="0"/>
          <w:numId w:val="14"/>
        </w:numPr>
        <w:rPr>
          <w:rFonts w:ascii="Arial" w:cs="Arial" w:eastAsia="Arial" w:hAnsi="Arial"/>
          <w:sz w:val="15"/>
          <w:szCs w:val="15"/>
          <w:color w:val="auto"/>
        </w:rPr>
      </w:pP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184"/>
        <w:spacing w:after="0"/>
        <w:rPr>
          <w:rFonts w:ascii="Arial" w:cs="Arial" w:eastAsia="Arial" w:hAnsi="Arial"/>
          <w:sz w:val="15"/>
          <w:szCs w:val="15"/>
          <w:color w:val="auto"/>
        </w:rPr>
      </w:pP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29210</wp:posOffset>
            </wp:positionV>
            <wp:extent cx="9944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66" w:lineRule="exact"/>
        <w:rPr>
          <w:sz w:val="20"/>
          <w:szCs w:val="20"/>
          <w:color w:val="auto"/>
        </w:rPr>
      </w:pPr>
    </w:p>
    <w:p>
      <w:pPr>
        <w:ind w:left="4"/>
        <w:spacing w:after="0"/>
        <w:rPr>
          <w:sz w:val="20"/>
          <w:szCs w:val="20"/>
          <w:color w:val="auto"/>
        </w:rPr>
      </w:pPr>
      <w:r>
        <w:rPr>
          <w:rFonts w:ascii="Arial" w:cs="Arial" w:eastAsia="Arial" w:hAnsi="Arial"/>
          <w:sz w:val="16"/>
          <w:szCs w:val="16"/>
          <w:color w:val="auto"/>
        </w:rPr>
        <w:t>100 %</w:t>
      </w:r>
    </w:p>
    <w:p>
      <w:pPr>
        <w:spacing w:after="0" w:line="329" w:lineRule="exact"/>
        <w:rPr>
          <w:sz w:val="20"/>
          <w:szCs w:val="20"/>
          <w:color w:val="auto"/>
        </w:rPr>
      </w:pPr>
    </w:p>
    <w:p>
      <w:pPr>
        <w:ind w:left="324" w:hanging="234"/>
        <w:spacing w:after="0"/>
        <w:tabs>
          <w:tab w:leader="none" w:pos="324" w:val="left"/>
        </w:tabs>
        <w:numPr>
          <w:ilvl w:val="0"/>
          <w:numId w:val="15"/>
        </w:numPr>
        <w:rPr>
          <w:rFonts w:ascii="Arial" w:cs="Arial" w:eastAsia="Arial" w:hAnsi="Arial"/>
          <w:sz w:val="15"/>
          <w:szCs w:val="15"/>
          <w:color w:val="auto"/>
        </w:rPr>
      </w:pP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184"/>
        <w:spacing w:after="0"/>
        <w:rPr>
          <w:rFonts w:ascii="Arial" w:cs="Arial" w:eastAsia="Arial" w:hAnsi="Arial"/>
          <w:sz w:val="15"/>
          <w:szCs w:val="15"/>
          <w:color w:val="auto"/>
        </w:rPr>
      </w:pPr>
      <w:r>
        <w:rPr>
          <w:rFonts w:ascii="Arial" w:cs="Arial" w:eastAsia="Arial" w:hAnsi="Arial"/>
          <w:sz w:val="16"/>
          <w:szCs w:val="16"/>
          <w:color w:val="auto"/>
        </w:rPr>
        <w:t>5 %</w:t>
      </w:r>
    </w:p>
    <w:p>
      <w:pPr>
        <w:spacing w:after="0" w:line="100" w:lineRule="exact"/>
        <w:rPr>
          <w:sz w:val="20"/>
          <w:szCs w:val="20"/>
          <w:color w:val="auto"/>
        </w:rPr>
      </w:pPr>
    </w:p>
    <w:p>
      <w:pPr>
        <w:ind w:left="324" w:hanging="234"/>
        <w:spacing w:after="0"/>
        <w:tabs>
          <w:tab w:leader="none" w:pos="324" w:val="left"/>
        </w:tabs>
        <w:numPr>
          <w:ilvl w:val="0"/>
          <w:numId w:val="16"/>
        </w:numPr>
        <w:rPr>
          <w:rFonts w:ascii="Arial" w:cs="Arial" w:eastAsia="Arial" w:hAnsi="Arial"/>
          <w:sz w:val="15"/>
          <w:szCs w:val="15"/>
          <w:color w:val="auto"/>
        </w:rPr>
      </w:pP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324" w:hanging="234"/>
        <w:spacing w:after="0"/>
        <w:tabs>
          <w:tab w:leader="none" w:pos="324" w:val="left"/>
        </w:tabs>
        <w:numPr>
          <w:ilvl w:val="0"/>
          <w:numId w:val="17"/>
        </w:numPr>
        <w:rPr>
          <w:rFonts w:ascii="Arial" w:cs="Arial" w:eastAsia="Arial" w:hAnsi="Arial"/>
          <w:sz w:val="15"/>
          <w:szCs w:val="15"/>
          <w:color w:val="auto"/>
        </w:rPr>
      </w:pPr>
      <w:r>
        <w:rPr>
          <w:rFonts w:ascii="Arial" w:cs="Arial" w:eastAsia="Arial" w:hAnsi="Arial"/>
          <w:sz w:val="15"/>
          <w:szCs w:val="15"/>
          <w:color w:val="auto"/>
        </w:rPr>
        <w:t>%</w:t>
      </w:r>
    </w:p>
    <w:p>
      <w:pPr>
        <w:spacing w:after="0" w:line="341" w:lineRule="exact"/>
        <w:rPr>
          <w:sz w:val="20"/>
          <w:szCs w:val="20"/>
          <w:color w:val="auto"/>
        </w:rPr>
      </w:pPr>
    </w:p>
    <w:p>
      <w:pPr>
        <w:ind w:left="324" w:hanging="234"/>
        <w:spacing w:after="0"/>
        <w:tabs>
          <w:tab w:leader="none" w:pos="324" w:val="left"/>
        </w:tabs>
        <w:numPr>
          <w:ilvl w:val="0"/>
          <w:numId w:val="18"/>
        </w:numPr>
        <w:rPr>
          <w:rFonts w:ascii="Arial" w:cs="Arial" w:eastAsia="Arial" w:hAnsi="Arial"/>
          <w:sz w:val="15"/>
          <w:szCs w:val="15"/>
          <w:color w:val="auto"/>
        </w:rPr>
      </w:pP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324" w:hanging="234"/>
        <w:spacing w:after="0"/>
        <w:tabs>
          <w:tab w:leader="none" w:pos="324" w:val="left"/>
        </w:tabs>
        <w:numPr>
          <w:ilvl w:val="0"/>
          <w:numId w:val="19"/>
        </w:numPr>
        <w:rPr>
          <w:rFonts w:ascii="Arial" w:cs="Arial" w:eastAsia="Arial" w:hAnsi="Arial"/>
          <w:sz w:val="15"/>
          <w:szCs w:val="15"/>
          <w:color w:val="auto"/>
        </w:rPr>
      </w:pPr>
      <w:r>
        <w:rPr>
          <w:rFonts w:ascii="Arial" w:cs="Arial" w:eastAsia="Arial" w:hAnsi="Arial"/>
          <w:sz w:val="15"/>
          <w:szCs w:val="15"/>
          <w:color w:val="auto"/>
        </w:rPr>
        <w:t>%</w:t>
      </w:r>
    </w:p>
    <w:p>
      <w:pPr>
        <w:spacing w:after="0" w:line="111" w:lineRule="exact"/>
        <w:rPr>
          <w:rFonts w:ascii="Arial" w:cs="Arial" w:eastAsia="Arial" w:hAnsi="Arial"/>
          <w:sz w:val="15"/>
          <w:szCs w:val="15"/>
          <w:color w:val="auto"/>
        </w:rPr>
      </w:pPr>
    </w:p>
    <w:p>
      <w:pPr>
        <w:ind w:left="324" w:hanging="234"/>
        <w:spacing w:after="0"/>
        <w:tabs>
          <w:tab w:leader="none" w:pos="324"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p>
    <w:p>
      <w:pPr>
        <w:spacing w:after="0" w:line="111" w:lineRule="exact"/>
        <w:rPr>
          <w:sz w:val="20"/>
          <w:szCs w:val="20"/>
          <w:color w:val="auto"/>
        </w:rPr>
      </w:pPr>
    </w:p>
    <w:p>
      <w:pPr>
        <w:ind w:left="324" w:hanging="324"/>
        <w:spacing w:after="0"/>
        <w:tabs>
          <w:tab w:leader="none" w:pos="324" w:val="left"/>
        </w:tabs>
        <w:numPr>
          <w:ilvl w:val="0"/>
          <w:numId w:val="21"/>
        </w:numPr>
        <w:rPr>
          <w:rFonts w:ascii="Arial" w:cs="Arial" w:eastAsia="Arial" w:hAnsi="Arial"/>
          <w:sz w:val="15"/>
          <w:szCs w:val="15"/>
          <w:color w:val="auto"/>
        </w:rPr>
      </w:pPr>
      <w:r>
        <w:rPr>
          <w:rFonts w:ascii="Arial" w:cs="Arial" w:eastAsia="Arial" w:hAnsi="Arial"/>
          <w:sz w:val="15"/>
          <w:szCs w:val="15"/>
          <w:color w:val="auto"/>
        </w:rPr>
        <w:t>%</w:t>
      </w:r>
    </w:p>
    <w:p>
      <w:pPr>
        <w:spacing w:after="0" w:line="97" w:lineRule="exact"/>
        <w:rPr>
          <w:rFonts w:ascii="Arial" w:cs="Arial" w:eastAsia="Arial" w:hAnsi="Arial"/>
          <w:sz w:val="15"/>
          <w:szCs w:val="15"/>
          <w:color w:val="auto"/>
        </w:rPr>
      </w:pPr>
    </w:p>
    <w:p>
      <w:pPr>
        <w:ind w:left="24"/>
        <w:spacing w:after="0"/>
        <w:rPr>
          <w:rFonts w:ascii="Arial" w:cs="Arial" w:eastAsia="Arial" w:hAnsi="Arial"/>
          <w:sz w:val="15"/>
          <w:szCs w:val="15"/>
          <w:color w:val="auto"/>
        </w:rPr>
      </w:pPr>
      <w:r>
        <w:rPr>
          <w:rFonts w:ascii="Arial" w:cs="Arial" w:eastAsia="Arial" w:hAnsi="Arial"/>
          <w:sz w:val="16"/>
          <w:szCs w:val="16"/>
          <w:color w:val="auto"/>
        </w:rPr>
        <w:t>(27)%</w:t>
      </w:r>
    </w:p>
    <w:p>
      <w:pPr>
        <w:spacing w:after="0" w:line="86" w:lineRule="exact"/>
        <w:rPr>
          <w:rFonts w:ascii="Arial" w:cs="Arial" w:eastAsia="Arial" w:hAnsi="Arial"/>
          <w:sz w:val="15"/>
          <w:szCs w:val="15"/>
          <w:color w:val="auto"/>
        </w:rPr>
      </w:pPr>
    </w:p>
    <w:p>
      <w:pPr>
        <w:jc w:val="both"/>
        <w:ind w:left="24" w:right="20" w:firstLine="75"/>
        <w:spacing w:after="0" w:line="339" w:lineRule="auto"/>
        <w:rPr>
          <w:rFonts w:ascii="Arial" w:cs="Arial" w:eastAsia="Arial" w:hAnsi="Arial"/>
          <w:sz w:val="15"/>
          <w:szCs w:val="15"/>
          <w:color w:val="auto"/>
        </w:rPr>
      </w:pPr>
      <w:r>
        <w:rPr>
          <w:rFonts w:ascii="Arial" w:cs="Arial" w:eastAsia="Arial" w:hAnsi="Arial"/>
          <w:sz w:val="16"/>
          <w:szCs w:val="16"/>
          <w:color w:val="auto"/>
        </w:rPr>
        <w:t>— % (27)%</w:t>
      </w:r>
    </w:p>
    <w:p>
      <w:pPr>
        <w:spacing w:after="0" w:line="1" w:lineRule="exact"/>
        <w:rPr>
          <w:sz w:val="20"/>
          <w:szCs w:val="20"/>
          <w:color w:val="auto"/>
        </w:rPr>
      </w:pPr>
    </w:p>
    <w:p>
      <w:pPr>
        <w:sectPr>
          <w:pgSz w:w="11900" w:h="16838" w:orient="portrait"/>
          <w:cols w:equalWidth="0" w:num="3">
            <w:col w:w="8360" w:space="720"/>
            <w:col w:w="956" w:space="720"/>
            <w:col w:w="484"/>
          </w:cols>
          <w:pgMar w:left="320" w:top="134"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Provision for income taxes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8000" w:type="dxa"/>
            <w:vAlign w:val="bottom"/>
          </w:tcPr>
          <w:p>
            <w:pPr>
              <w:ind w:left="60"/>
              <w:spacing w:after="0"/>
              <w:rPr>
                <w:sz w:val="20"/>
                <w:szCs w:val="20"/>
                <w:color w:val="auto"/>
              </w:rPr>
            </w:pPr>
            <w:r>
              <w:rPr>
                <w:rFonts w:ascii="Arial" w:cs="Arial" w:eastAsia="Arial" w:hAnsi="Arial"/>
                <w:sz w:val="18"/>
                <w:szCs w:val="18"/>
                <w:color w:val="auto"/>
              </w:rPr>
              <w:t>Net loss</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80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April 30, 2023 and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Subscription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354,714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274,581</w:t>
            </w:r>
          </w:p>
        </w:tc>
        <w:tc>
          <w:tcPr>
            <w:tcW w:w="9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80,133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0"/>
        </w:trPr>
        <w:tc>
          <w:tcPr>
            <w:tcW w:w="5020" w:type="dxa"/>
            <w:vAlign w:val="bottom"/>
          </w:tcPr>
          <w:p>
            <w:pPr>
              <w:ind w:left="6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97"/>
        </w:trPr>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368,280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285,447</w:t>
            </w:r>
          </w:p>
        </w:tc>
        <w:tc>
          <w:tcPr>
            <w:tcW w:w="9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82,833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Total revenue growth reflects increased demand for our platform and related services. Subscription revenue increased by $80.1 million primarily due to an increase of $72.7 million from our Direct Sales Customers, inclusive of the impact from Direct Sales Customers who were self-serve customers of MongoDB Atlas in the prior-year period. The increase in services revenue was driven primarily by the continued increase in delivery of consulting services.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 Percentage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 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5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Subscription cost of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78,173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64,569</w:t>
            </w:r>
          </w:p>
        </w:tc>
        <w:tc>
          <w:tcPr>
            <w:tcW w:w="90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13,604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84"/>
        </w:trPr>
        <w:tc>
          <w:tcPr>
            <w:tcW w:w="4860" w:type="dxa"/>
            <w:vAlign w:val="bottom"/>
          </w:tcPr>
          <w:p>
            <w:pPr>
              <w:ind w:left="60"/>
              <w:spacing w:after="0"/>
              <w:rPr>
                <w:sz w:val="20"/>
                <w:szCs w:val="20"/>
                <w:color w:val="auto"/>
              </w:rPr>
            </w:pPr>
            <w:r>
              <w:rPr>
                <w:rFonts w:ascii="Arial" w:cs="Arial" w:eastAsia="Arial" w:hAnsi="Arial"/>
                <w:sz w:val="18"/>
                <w:szCs w:val="18"/>
                <w:color w:val="auto"/>
              </w:rPr>
              <w:t>Services cost of revenue</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19,276</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13,646</w:t>
            </w: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63"/>
        </w:trPr>
        <w:tc>
          <w:tcPr>
            <w:tcW w:w="4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cost of revenue</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97,449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78,215</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19,234</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0"/>
        </w:trPr>
        <w:tc>
          <w:tcPr>
            <w:tcW w:w="4860" w:type="dxa"/>
            <w:vAlign w:val="bottom"/>
          </w:tcPr>
          <w:p>
            <w:pPr>
              <w:ind w:left="60"/>
              <w:spacing w:after="0"/>
              <w:rPr>
                <w:sz w:val="20"/>
                <w:szCs w:val="20"/>
                <w:color w:val="auto"/>
              </w:rPr>
            </w:pPr>
            <w:r>
              <w:rPr>
                <w:rFonts w:ascii="Arial" w:cs="Arial" w:eastAsia="Arial" w:hAnsi="Arial"/>
                <w:sz w:val="18"/>
                <w:szCs w:val="18"/>
                <w:color w:val="auto"/>
              </w:rPr>
              <w:t>Gross profit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270,831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207,232</w:t>
            </w:r>
          </w:p>
        </w:tc>
        <w:tc>
          <w:tcPr>
            <w:tcW w:w="90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63,599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3560" w:type="dxa"/>
            <w:vAlign w:val="bottom"/>
          </w:tcPr>
          <w:p>
            <w:pPr>
              <w:ind w:left="60"/>
              <w:spacing w:after="0"/>
              <w:rPr>
                <w:sz w:val="20"/>
                <w:szCs w:val="20"/>
                <w:color w:val="auto"/>
              </w:rPr>
            </w:pPr>
            <w:r>
              <w:rPr>
                <w:rFonts w:ascii="Arial" w:cs="Arial" w:eastAsia="Arial" w:hAnsi="Arial"/>
                <w:sz w:val="18"/>
                <w:szCs w:val="18"/>
                <w:color w:val="auto"/>
              </w:rPr>
              <w:t>Gross margin</w:t>
            </w:r>
          </w:p>
        </w:tc>
        <w:tc>
          <w:tcPr>
            <w:tcW w:w="3460" w:type="dxa"/>
            <w:vAlign w:val="bottom"/>
          </w:tcPr>
          <w:p>
            <w:pPr>
              <w:jc w:val="right"/>
              <w:ind w:right="530"/>
              <w:spacing w:after="0"/>
              <w:rPr>
                <w:sz w:val="20"/>
                <w:szCs w:val="20"/>
                <w:color w:val="auto"/>
              </w:rPr>
            </w:pPr>
            <w:r>
              <w:rPr>
                <w:rFonts w:ascii="Arial" w:cs="Arial" w:eastAsia="Arial" w:hAnsi="Arial"/>
                <w:sz w:val="18"/>
                <w:szCs w:val="18"/>
                <w:color w:val="auto"/>
              </w:rPr>
              <w:t>74 %</w:t>
            </w:r>
          </w:p>
        </w:tc>
        <w:tc>
          <w:tcPr>
            <w:tcW w:w="4220" w:type="dxa"/>
            <w:vAlign w:val="bottom"/>
          </w:tcPr>
          <w:p>
            <w:pPr>
              <w:jc w:val="right"/>
              <w:ind w:right="3070"/>
              <w:spacing w:after="0"/>
              <w:rPr>
                <w:sz w:val="20"/>
                <w:szCs w:val="20"/>
                <w:color w:val="auto"/>
              </w:rPr>
            </w:pPr>
            <w:r>
              <w:rPr>
                <w:rFonts w:ascii="Arial" w:cs="Arial" w:eastAsia="Arial" w:hAnsi="Arial"/>
                <w:sz w:val="18"/>
                <w:szCs w:val="18"/>
                <w:color w:val="auto"/>
              </w:rPr>
              <w:t>73 %</w:t>
            </w:r>
          </w:p>
        </w:tc>
      </w:tr>
      <w:tr>
        <w:trPr>
          <w:trHeight w:val="270"/>
        </w:trPr>
        <w:tc>
          <w:tcPr>
            <w:tcW w:w="356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3460" w:type="dxa"/>
            <w:vAlign w:val="bottom"/>
          </w:tcPr>
          <w:p>
            <w:pPr>
              <w:jc w:val="right"/>
              <w:ind w:right="530"/>
              <w:spacing w:after="0"/>
              <w:rPr>
                <w:sz w:val="20"/>
                <w:szCs w:val="20"/>
                <w:color w:val="auto"/>
              </w:rPr>
            </w:pPr>
            <w:r>
              <w:rPr>
                <w:rFonts w:ascii="Arial" w:cs="Arial" w:eastAsia="Arial" w:hAnsi="Arial"/>
                <w:sz w:val="18"/>
                <w:szCs w:val="18"/>
                <w:color w:val="auto"/>
              </w:rPr>
              <w:t>78 %</w:t>
            </w:r>
          </w:p>
        </w:tc>
        <w:tc>
          <w:tcPr>
            <w:tcW w:w="4220" w:type="dxa"/>
            <w:vAlign w:val="bottom"/>
          </w:tcPr>
          <w:p>
            <w:pPr>
              <w:jc w:val="right"/>
              <w:ind w:right="3070"/>
              <w:spacing w:after="0"/>
              <w:rPr>
                <w:sz w:val="20"/>
                <w:szCs w:val="20"/>
                <w:color w:val="auto"/>
              </w:rPr>
            </w:pPr>
            <w:r>
              <w:rPr>
                <w:rFonts w:ascii="Arial" w:cs="Arial" w:eastAsia="Arial" w:hAnsi="Arial"/>
                <w:sz w:val="18"/>
                <w:szCs w:val="18"/>
                <w:color w:val="auto"/>
              </w:rPr>
              <w:t>76 %</w:t>
            </w:r>
          </w:p>
        </w:tc>
      </w:tr>
      <w:tr>
        <w:trPr>
          <w:trHeight w:val="270"/>
        </w:trPr>
        <w:tc>
          <w:tcPr>
            <w:tcW w:w="3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Services</w:t>
            </w:r>
          </w:p>
        </w:tc>
        <w:tc>
          <w:tcPr>
            <w:tcW w:w="34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(42)%</w:t>
            </w:r>
          </w:p>
        </w:tc>
        <w:tc>
          <w:tcPr>
            <w:tcW w:w="4220" w:type="dxa"/>
            <w:vAlign w:val="bottom"/>
            <w:shd w:val="clear" w:color="auto" w:fill="CCEEFF"/>
          </w:tcPr>
          <w:p>
            <w:pPr>
              <w:jc w:val="right"/>
              <w:ind w:right="3070"/>
              <w:spacing w:after="0"/>
              <w:rPr>
                <w:sz w:val="20"/>
                <w:szCs w:val="20"/>
                <w:color w:val="auto"/>
              </w:rPr>
            </w:pPr>
            <w:r>
              <w:rPr>
                <w:rFonts w:ascii="Arial" w:cs="Arial" w:eastAsia="Arial" w:hAnsi="Arial"/>
                <w:sz w:val="18"/>
                <w:szCs w:val="18"/>
                <w:color w:val="auto"/>
              </w:rPr>
              <w:t>(26)%</w:t>
            </w:r>
          </w:p>
        </w:tc>
      </w:tr>
    </w:tbl>
    <w:p>
      <w:pPr>
        <w:spacing w:after="0" w:line="242" w:lineRule="exact"/>
        <w:rPr>
          <w:sz w:val="20"/>
          <w:szCs w:val="20"/>
          <w:color w:val="auto"/>
        </w:rPr>
      </w:pPr>
    </w:p>
    <w:p>
      <w:pPr>
        <w:ind w:right="40" w:firstLine="486"/>
        <w:spacing w:after="0" w:line="219" w:lineRule="exact"/>
        <w:rPr>
          <w:sz w:val="20"/>
          <w:szCs w:val="20"/>
          <w:color w:val="auto"/>
        </w:rPr>
      </w:pPr>
      <w:r>
        <w:rPr>
          <w:rFonts w:ascii="Arial" w:cs="Arial" w:eastAsia="Arial" w:hAnsi="Arial"/>
          <w:sz w:val="17"/>
          <w:szCs w:val="17"/>
          <w:color w:val="auto"/>
        </w:rPr>
        <w:t>The increase in subscription cost of revenue was primarily due to a $9.6 million increase in third</w:t>
      </w:r>
      <w:r>
        <w:rPr>
          <w:rFonts w:ascii="MS PGothic" w:cs="MS PGothic" w:eastAsia="MS PGothic" w:hAnsi="MS PGothic"/>
          <w:sz w:val="17"/>
          <w:szCs w:val="17"/>
          <w:color w:val="auto"/>
        </w:rPr>
        <w:t>‑</w:t>
      </w:r>
      <w:r>
        <w:rPr>
          <w:rFonts w:ascii="Arial" w:cs="Arial" w:eastAsia="Arial" w:hAnsi="Arial"/>
          <w:sz w:val="17"/>
          <w:szCs w:val="17"/>
          <w:color w:val="auto"/>
        </w:rPr>
        <w:t>party cloud infrastructure costs, including costs associated with the growth of MongoDB Atlas. The increase in third-party infrastructure costs was partly offset by continued cost efficiencies realized as we scale MongoDB Atlas. In addition, subscription cost of revenue was higher due to a $3.5 million increase in personnel costs and stock-based compensation associated with increased headcount in our support organization. The increase in services cost of revenue was primarily due to a $4.5 million increase in personnel costs and stock-based compensation associated with increased headcount in our services organization. Total headcount in our support and services organizations increased 25% from April 30, 2022 to April 30, 2023.</w:t>
      </w:r>
    </w:p>
    <w:p>
      <w:pPr>
        <w:spacing w:after="0" w:line="148" w:lineRule="exact"/>
        <w:rPr>
          <w:sz w:val="20"/>
          <w:szCs w:val="20"/>
          <w:color w:val="auto"/>
        </w:rPr>
      </w:pPr>
    </w:p>
    <w:p>
      <w:pPr>
        <w:jc w:val="both"/>
        <w:ind w:right="380" w:firstLine="486"/>
        <w:spacing w:after="0" w:line="286" w:lineRule="auto"/>
        <w:rPr>
          <w:sz w:val="20"/>
          <w:szCs w:val="20"/>
          <w:color w:val="auto"/>
        </w:rPr>
      </w:pPr>
      <w:r>
        <w:rPr>
          <w:rFonts w:ascii="Arial" w:cs="Arial" w:eastAsia="Arial" w:hAnsi="Arial"/>
          <w:sz w:val="17"/>
          <w:szCs w:val="17"/>
          <w:color w:val="auto"/>
        </w:rPr>
        <w:t>Our overall gross margin improved to 74%. Our subscription gross margin increased to 78% as efficiencies realized in managing our third-party cloud infrastructure costs more than offset the negative margin impact from the increasing percentage of revenue from MongoDB Atlas. The impact of higher services personnel costs and stock-based compensation resulted in negative services gross margin.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Sales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020" w:type="dxa"/>
            <w:vAlign w:val="bottom"/>
            <w:vMerge w:val="restart"/>
          </w:tcPr>
          <w:p>
            <w:pPr>
              <w:jc w:val="center"/>
              <w:ind w:right="3319"/>
              <w:spacing w:after="0"/>
              <w:rPr>
                <w:sz w:val="20"/>
                <w:szCs w:val="20"/>
                <w:color w:val="auto"/>
              </w:rPr>
            </w:pPr>
            <w:r>
              <w:rPr>
                <w:rFonts w:ascii="Arial" w:cs="Arial" w:eastAsia="Arial" w:hAnsi="Arial"/>
                <w:sz w:val="14"/>
                <w:szCs w:val="14"/>
                <w:b w:val="1"/>
                <w:bCs w:val="1"/>
                <w:color w:val="auto"/>
                <w:w w:val="92"/>
              </w:rPr>
              <w:t>(unaudited,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020" w:type="dxa"/>
            <w:vAlign w:val="bottom"/>
            <w:shd w:val="clear" w:color="auto" w:fill="CCEEFF"/>
          </w:tcPr>
          <w:p>
            <w:pPr>
              <w:jc w:val="center"/>
              <w:ind w:right="3359"/>
              <w:spacing w:after="0"/>
              <w:rPr>
                <w:sz w:val="20"/>
                <w:szCs w:val="20"/>
                <w:color w:val="auto"/>
              </w:rPr>
            </w:pPr>
            <w:r>
              <w:rPr>
                <w:rFonts w:ascii="Arial" w:cs="Arial" w:eastAsia="Arial" w:hAnsi="Arial"/>
                <w:sz w:val="18"/>
                <w:szCs w:val="18"/>
                <w:color w:val="auto"/>
                <w:w w:val="88"/>
              </w:rPr>
              <w:t>Sales and marketing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182,733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150,268</w:t>
            </w:r>
          </w:p>
        </w:tc>
        <w:tc>
          <w:tcPr>
            <w:tcW w:w="9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32,465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increase in sales and marketing expense included $24.4 million from higher personnel costs and stock-based compensation, driven by an increase in our sales and marketing headcount to 2,157 as of April 30, 2023 from 1,864 as of April 30, 2022, which includes non-quota-carrying hires in sales operations, customer success and marketing. Sales and marketing expense also increased $7.3 million from costs associated with our higher headcount, including higher travel costs, primarily due to certain in-person events occurring earlier this year compared to the prior year, and higher commissions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96,372</w:t>
            </w:r>
          </w:p>
        </w:tc>
        <w:tc>
          <w:tcPr>
            <w:tcW w:w="9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20,445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20" w:firstLine="486"/>
        <w:spacing w:after="0" w:line="277" w:lineRule="auto"/>
        <w:rPr>
          <w:sz w:val="20"/>
          <w:szCs w:val="20"/>
          <w:color w:val="auto"/>
        </w:rPr>
      </w:pPr>
      <w:r>
        <w:rPr>
          <w:rFonts w:ascii="Arial" w:cs="Arial" w:eastAsia="Arial" w:hAnsi="Arial"/>
          <w:sz w:val="18"/>
          <w:szCs w:val="18"/>
          <w:color w:val="auto"/>
        </w:rPr>
        <w:t>The increase in research and development expense was primarily driven by a $18.8 million increase in personnel costs and stock-based compensation as we increased our research and development headcount by 18%.</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April 30,</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5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39,828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w:t>
            </w:r>
          </w:p>
        </w:tc>
        <w:tc>
          <w:tcPr>
            <w:tcW w:w="96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increase in general and administrative expense was due to higher costs to support the growth of our business and to maintain compliance as a public company. In particular, these higher costs were driven by an increase in general and administrative personnel headcount resulting in $6.7 million higher personnel costs and stock-based compensation. The increase in general and administrative expense was partially offset by lower computer hardware costs and lower professional services fees.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Income (Expense),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00" w:type="dxa"/>
            <w:vAlign w:val="bottom"/>
          </w:tcPr>
          <w:p>
            <w:pPr>
              <w:spacing w:after="0"/>
              <w:rPr>
                <w:sz w:val="17"/>
                <w:szCs w:val="17"/>
                <w:color w:val="auto"/>
              </w:rPr>
            </w:pPr>
          </w:p>
        </w:tc>
        <w:tc>
          <w:tcPr>
            <w:tcW w:w="2520" w:type="dxa"/>
            <w:vAlign w:val="bottom"/>
            <w:gridSpan w:val="4"/>
          </w:tcPr>
          <w:p>
            <w:pPr>
              <w:ind w:left="560"/>
              <w:spacing w:after="0"/>
              <w:rPr>
                <w:sz w:val="20"/>
                <w:szCs w:val="20"/>
                <w:color w:val="auto"/>
              </w:rPr>
            </w:pPr>
            <w:r>
              <w:rPr>
                <w:rFonts w:ascii="Arial" w:cs="Arial" w:eastAsia="Arial" w:hAnsi="Arial"/>
                <w:sz w:val="14"/>
                <w:szCs w:val="14"/>
                <w:b w:val="1"/>
                <w:bCs w:val="1"/>
                <w:color w:val="auto"/>
                <w:w w:val="98"/>
              </w:rPr>
              <w:t>Three Months Ended April 30,</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gridSpan w:val="3"/>
          </w:tcPr>
          <w:p>
            <w:pPr>
              <w:ind w:left="880"/>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 in thousands)</w:t>
            </w: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00" w:type="dxa"/>
            <w:vAlign w:val="bottom"/>
            <w:vMerge w:val="continue"/>
          </w:tcPr>
          <w:p>
            <w:pPr>
              <w:spacing w:after="0"/>
              <w:rPr>
                <w:sz w:val="16"/>
                <w:szCs w:val="16"/>
                <w:color w:val="auto"/>
              </w:rPr>
            </w:pPr>
          </w:p>
        </w:tc>
        <w:tc>
          <w:tcPr>
            <w:tcW w:w="880" w:type="dxa"/>
            <w:vAlign w:val="bottom"/>
          </w:tcPr>
          <w:p>
            <w:pPr>
              <w:ind w:left="580"/>
              <w:spacing w:after="0"/>
              <w:rPr>
                <w:sz w:val="20"/>
                <w:szCs w:val="20"/>
                <w:color w:val="auto"/>
              </w:rPr>
            </w:pPr>
            <w:r>
              <w:rPr>
                <w:rFonts w:ascii="Arial" w:cs="Arial" w:eastAsia="Arial" w:hAnsi="Arial"/>
                <w:sz w:val="14"/>
                <w:szCs w:val="14"/>
                <w:b w:val="1"/>
                <w:bCs w:val="1"/>
                <w:color w:val="auto"/>
                <w:w w:val="89"/>
              </w:rPr>
              <w:t>2023</w:t>
            </w:r>
          </w:p>
        </w:tc>
        <w:tc>
          <w:tcPr>
            <w:tcW w:w="5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62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5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5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income (expense), net</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16,788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16,996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Other income (expense), net, for the three months ended April 30, 2023 improved primarily due to higher interest income from our short-term investments and unrealized gains related to our non-marketable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20" w:type="dxa"/>
            <w:vAlign w:val="bottom"/>
          </w:tcPr>
          <w:p>
            <w:pPr>
              <w:spacing w:after="0"/>
              <w:rPr>
                <w:sz w:val="17"/>
                <w:szCs w:val="17"/>
                <w:color w:val="auto"/>
              </w:rPr>
            </w:pPr>
          </w:p>
        </w:tc>
        <w:tc>
          <w:tcPr>
            <w:tcW w:w="2480" w:type="dxa"/>
            <w:vAlign w:val="bottom"/>
            <w:gridSpan w:val="4"/>
          </w:tcPr>
          <w:p>
            <w:pPr>
              <w:ind w:left="560"/>
              <w:spacing w:after="0"/>
              <w:rPr>
                <w:sz w:val="20"/>
                <w:szCs w:val="20"/>
                <w:color w:val="auto"/>
              </w:rPr>
            </w:pPr>
            <w:r>
              <w:rPr>
                <w:rFonts w:ascii="Arial" w:cs="Arial" w:eastAsia="Arial" w:hAnsi="Arial"/>
                <w:sz w:val="14"/>
                <w:szCs w:val="14"/>
                <w:b w:val="1"/>
                <w:bCs w:val="1"/>
                <w:color w:val="auto"/>
                <w:w w:val="96"/>
              </w:rPr>
              <w:t>Three Months Ended April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ind w:left="46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 in thousands)</w:t>
            </w: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20" w:type="dxa"/>
            <w:vAlign w:val="bottom"/>
            <w:vMerge w:val="continue"/>
          </w:tcPr>
          <w:p>
            <w:pPr>
              <w:spacing w:after="0"/>
              <w:rPr>
                <w:sz w:val="16"/>
                <w:szCs w:val="16"/>
                <w:color w:val="auto"/>
              </w:rPr>
            </w:pPr>
          </w:p>
        </w:tc>
        <w:tc>
          <w:tcPr>
            <w:tcW w:w="920" w:type="dxa"/>
            <w:vAlign w:val="bottom"/>
          </w:tcPr>
          <w:p>
            <w:pPr>
              <w:ind w:left="580"/>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6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5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1,146</w:t>
            </w:r>
          </w:p>
        </w:tc>
        <w:tc>
          <w:tcPr>
            <w:tcW w:w="96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increase in the provision for income taxes during the three months ended April 30, 2023 and 2022, was primarily due to an increase in foreign taxes as the Company continued its global expansion.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firstLine="486"/>
        <w:spacing w:after="0" w:line="220" w:lineRule="exact"/>
        <w:rPr>
          <w:sz w:val="20"/>
          <w:szCs w:val="20"/>
          <w:color w:val="auto"/>
        </w:rPr>
      </w:pPr>
      <w:r>
        <w:rPr>
          <w:rFonts w:ascii="Arial" w:cs="Arial" w:eastAsia="Arial" w:hAnsi="Arial"/>
          <w:sz w:val="16"/>
          <w:szCs w:val="16"/>
          <w:color w:val="auto"/>
        </w:rPr>
        <w:t>As of April 30, 2023, our principal sources of liquidity were cash, cash equivalents, short</w:t>
      </w:r>
      <w:r>
        <w:rPr>
          <w:rFonts w:ascii="MS PGothic" w:cs="MS PGothic" w:eastAsia="MS PGothic" w:hAnsi="MS PGothic"/>
          <w:sz w:val="16"/>
          <w:szCs w:val="16"/>
          <w:color w:val="auto"/>
        </w:rPr>
        <w:t>‑</w:t>
      </w:r>
      <w:r>
        <w:rPr>
          <w:rFonts w:ascii="Arial" w:cs="Arial" w:eastAsia="Arial" w:hAnsi="Arial"/>
          <w:sz w:val="16"/>
          <w:szCs w:val="16"/>
          <w:color w:val="auto"/>
        </w:rPr>
        <w:t>term investments and restricted cash totaling $1.9 billion. Our cash and cash equivalents primarily consist of bank deposits and money market funds. Our short</w:t>
      </w:r>
      <w:r>
        <w:rPr>
          <w:rFonts w:ascii="MS PGothic" w:cs="MS PGothic" w:eastAsia="MS PGothic" w:hAnsi="MS PGothic"/>
          <w:sz w:val="16"/>
          <w:szCs w:val="16"/>
          <w:color w:val="auto"/>
        </w:rPr>
        <w:t>‑</w:t>
      </w:r>
      <w:r>
        <w:rPr>
          <w:rFonts w:ascii="Arial" w:cs="Arial" w:eastAsia="Arial" w:hAnsi="Arial"/>
          <w:sz w:val="16"/>
          <w:szCs w:val="16"/>
          <w:color w:val="auto"/>
        </w:rPr>
        <w:t>term investments consist of U.S. government treasury securities, and our restricted cash represents collateral for our available credit on corporate credit cards. We believe our existing cash and cash equivalents and short</w:t>
      </w:r>
      <w:r>
        <w:rPr>
          <w:rFonts w:ascii="MS PGothic" w:cs="MS PGothic" w:eastAsia="MS PGothic" w:hAnsi="MS PGothic"/>
          <w:sz w:val="16"/>
          <w:szCs w:val="16"/>
          <w:color w:val="auto"/>
        </w:rPr>
        <w:t>‑</w:t>
      </w:r>
      <w:r>
        <w:rPr>
          <w:rFonts w:ascii="Arial" w:cs="Arial" w:eastAsia="Arial" w:hAnsi="Arial"/>
          <w:sz w:val="16"/>
          <w:szCs w:val="16"/>
          <w:color w:val="auto"/>
        </w:rPr>
        <w:t>term investments will be sufficient to fund our operating and capital needs for at least the next 12 months.</w:t>
      </w:r>
    </w:p>
    <w:p>
      <w:pPr>
        <w:spacing w:after="0" w:line="149"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We have generated significant operating losses and negative cash flows from operations as reflected in our accumulated deficit and historical consolidated statements of cash flows. As of April 30, 2023, we had an accumulated deficit of $1.6 billion. We expect to continue to incur operating losses, may continue to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and recent volatility in the banking sector,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assess our liquidity needs.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 (unaudited,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 April 30,</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8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65"/>
        </w:trPr>
        <w:tc>
          <w:tcPr>
            <w:tcW w:w="8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w:t>
            </w:r>
          </w:p>
        </w:tc>
      </w:tr>
      <w:tr>
        <w:trPr>
          <w:trHeight w:val="263"/>
        </w:trPr>
        <w:tc>
          <w:tcPr>
            <w:tcW w:w="8200" w:type="dxa"/>
            <w:vAlign w:val="bottom"/>
          </w:tcPr>
          <w:p>
            <w:pPr>
              <w:ind w:left="10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211,282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(28,803)</w:t>
            </w:r>
          </w:p>
        </w:tc>
      </w:tr>
      <w:tr>
        <w:trPr>
          <w:trHeight w:val="277"/>
        </w:trPr>
        <w:tc>
          <w:tcPr>
            <w:tcW w:w="8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Operating Activities</w:t>
      </w:r>
    </w:p>
    <w:p>
      <w:pPr>
        <w:spacing w:after="0" w:line="158" w:lineRule="exact"/>
        <w:rPr>
          <w:sz w:val="20"/>
          <w:szCs w:val="20"/>
          <w:color w:val="auto"/>
        </w:rPr>
      </w:pPr>
    </w:p>
    <w:p>
      <w:pPr>
        <w:ind w:right="60" w:firstLine="648"/>
        <w:spacing w:after="0" w:line="202" w:lineRule="exact"/>
        <w:rPr>
          <w:sz w:val="20"/>
          <w:szCs w:val="20"/>
          <w:color w:val="auto"/>
        </w:rPr>
      </w:pPr>
      <w:r>
        <w:rPr>
          <w:rFonts w:ascii="Arial" w:cs="Arial" w:eastAsia="Arial" w:hAnsi="Arial"/>
          <w:sz w:val="17"/>
          <w:szCs w:val="17"/>
          <w:color w:val="auto"/>
        </w:rPr>
        <w:t>Cash provided by operating activities during the three months ended April 30, 2023 was $53.7 million, driven primarily by an increase in our cash collections reflecting overall growth of our sales and expansion of our customer base. Accordingly, our accounts receivable decreased by $73.4 million. In addition, our net loss of $54.2 million, includes non</w:t>
      </w:r>
      <w:r>
        <w:rPr>
          <w:rFonts w:ascii="MS PGothic" w:cs="MS PGothic" w:eastAsia="MS PGothic" w:hAnsi="MS PGothic"/>
          <w:sz w:val="17"/>
          <w:szCs w:val="17"/>
          <w:color w:val="auto"/>
        </w:rPr>
        <w:t>‑</w:t>
      </w:r>
      <w:r>
        <w:rPr>
          <w:rFonts w:ascii="Arial" w:cs="Arial" w:eastAsia="Arial" w:hAnsi="Arial"/>
          <w:sz w:val="17"/>
          <w:szCs w:val="17"/>
          <w:color w:val="auto"/>
        </w:rPr>
        <w:t>cash charges of $104.0 million for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and $4.4 million for depreciation and amortization. Partially offsetting these benefits to our operating cash flow were a decrease of $12.6 million in accrued liabilities, reflecting lower expenses and timing of payments, and a decrease in deferred revenue of $47.3 million.</w:t>
      </w:r>
    </w:p>
    <w:p>
      <w:pPr>
        <w:spacing w:after="0" w:line="205" w:lineRule="exact"/>
        <w:rPr>
          <w:sz w:val="20"/>
          <w:szCs w:val="20"/>
          <w:color w:val="auto"/>
        </w:rPr>
      </w:pPr>
    </w:p>
    <w:p>
      <w:pPr>
        <w:ind w:right="120" w:firstLine="648"/>
        <w:spacing w:after="0" w:line="198" w:lineRule="exact"/>
        <w:rPr>
          <w:sz w:val="20"/>
          <w:szCs w:val="20"/>
          <w:color w:val="auto"/>
        </w:rPr>
      </w:pPr>
      <w:r>
        <w:rPr>
          <w:rFonts w:ascii="Arial" w:cs="Arial" w:eastAsia="Arial" w:hAnsi="Arial"/>
          <w:sz w:val="16"/>
          <w:szCs w:val="16"/>
          <w:color w:val="auto"/>
        </w:rPr>
        <w:t>Cash provided by operating activities during the three months ended April 30, 2022 was $11.6 million primarily driven by an increase in our cash collections reflecting overall growth of our sales and our expanding customer base. Accordingly, our accounts receivable decreased by $28.7 million. In addition, our net loss of $77.3 million, included non</w:t>
      </w:r>
      <w:r>
        <w:rPr>
          <w:rFonts w:ascii="MS PGothic" w:cs="MS PGothic" w:eastAsia="MS PGothic" w:hAnsi="MS PGothic"/>
          <w:sz w:val="16"/>
          <w:szCs w:val="16"/>
          <w:color w:val="auto"/>
        </w:rPr>
        <w:t>‑</w:t>
      </w:r>
      <w:r>
        <w:rPr>
          <w:rFonts w:ascii="Arial" w:cs="Arial" w:eastAsia="Arial" w:hAnsi="Arial"/>
          <w:sz w:val="16"/>
          <w:szCs w:val="16"/>
          <w:color w:val="auto"/>
        </w:rPr>
        <w:t>cash charges of $83.6 million for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$3.8 million for depreciation and amortization, $3.0 million for lease-related charges and $2.2 million for accretion of discount on our short-term investments. Partially offsetting these benefits to our operating cash flow were a decrease of $23.0 million in accrued liabilities and a decrease of $4.7 million in deferred commissions, driven primarily by higher commissions paid during the three months ended April 30, 2022, as well as higher prepaid expenses of $3.3 million.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Investing Activities</w:t>
      </w:r>
    </w:p>
    <w:p>
      <w:pPr>
        <w:spacing w:after="0" w:line="171"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Cash provided by investing activities during the three months ended April 30, 2023 was $211.3 million, primarily due to maturities of marketable securities, net of purchases, of $213.2 million and $1.3 million of additional investment in non-marketable securities.</w:t>
      </w:r>
    </w:p>
    <w:p>
      <w:pPr>
        <w:spacing w:after="0" w:line="116"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Cash used in investing activities during the three months ended April 30, 2022 was $28.8 million, primarily due to cash used to purchase marketable securities, net of maturities, of $25.1 million. In addition, we used $2.5 million for purchases of property and equipment and $1.1 million to invest in additional non-marketable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Financing Activities</w:t>
      </w:r>
    </w:p>
    <w:p>
      <w:pPr>
        <w:spacing w:after="0" w:line="17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Cash provided by financing activities during the three months ended April 30, 2023 was $0.1 million, due to proceeds from the exercise of stock options, partly offset by principal repayments of finance leases.</w:t>
      </w:r>
    </w:p>
    <w:p>
      <w:pPr>
        <w:spacing w:after="0" w:line="116"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Cash provided by financing activities during the three months ended April 30, 2022 was $1.1 million, due to proceeds from the exercise of stock options, partly offset by principal repayments of finance leases.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280" w:firstLine="486"/>
        <w:spacing w:after="0" w:line="255" w:lineRule="auto"/>
        <w:rPr>
          <w:sz w:val="20"/>
          <w:szCs w:val="20"/>
          <w:color w:val="auto"/>
        </w:rPr>
      </w:pPr>
      <w:r>
        <w:rPr>
          <w:rFonts w:ascii="Arial" w:cs="Arial" w:eastAsia="Arial" w:hAnsi="Arial"/>
          <w:sz w:val="18"/>
          <w:szCs w:val="18"/>
          <w:color w:val="auto"/>
        </w:rPr>
        <w:t>We have in the past and expect in the future to experience seasonal fluctuations in our revenue and operating results from time to time. We may experience variability and reduced comparability of our quarterly revenue and operating results with respect to the timing and nature of certain of our contracts, particularly multi-year contracts that contain a term license. We may also experience fluctuations as MongoDB Atlas revenue is recorded on a consumption basis and varies with usage, including due to seasonal factors. As MongoDB Atlas revenue continues to increase as a percentage of total revenue, these fluctuations may have a greater impact on our results of operations. We believe that seasonal fluctuations that we have experienced in the past may continue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 xml:space="preserve">During the three months ended April 30, 2023, there were no material changes outside the ordinary course of business to our contractual obligations and commitments from those disclosed in our 2023 Form 10-K. Refer to Note 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Note 7,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in our Notes to Unaudited Condensed Consolidated Financial Statements included in Part I, Item 1 of this Quarterly Report on Form 10-Q for further details.</w:t>
      </w: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There have been no material changes in our critical accounting estimates from those disclosed in Part II, Item 7, “Management’s Discussion and Analysis of Financial Condition and Results of Operations” of the 2023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QUANTITATIVE AND QUALITATIVE DISCLOSURES ABOUT MARKET RISK.</w:t>
      </w:r>
    </w:p>
    <w:p>
      <w:pPr>
        <w:spacing w:after="0" w:line="165"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Interest Rate Risk</w:t>
      </w:r>
    </w:p>
    <w:p>
      <w:pPr>
        <w:spacing w:after="0" w:line="17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cash and cash equivalents primarily consist of bank deposits and money market funds, and our short-term investments consist of U.S. government treasury securities. As of April 30, 2023, we had cash, cash equivalents, restricted cash and short-term investments of $1.9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April 30, 2023.</w:t>
      </w:r>
    </w:p>
    <w:p>
      <w:pPr>
        <w:spacing w:after="0" w:line="123"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In January 2020, we issued $1.15 billion aggregate principal amount of 0.25% convertible senior notes due 2026 in a private placement (the “2026 Notes”). The fair value of the 2026 Notes is subject to interest rate risk, market risk and other factors due to the conversion feature. The fair value of the 2026 Notes will generally increase as our common stock price increases and will generally decrease as our common stock price declines. The interest and market value changes affect the fair value of the 2026 Notes, but do not impact our financial position, cash flows or results of operations due to the fixed nature of the debt obligation. Additionally, we carry the 2026 Notes at face value less unamortized issuance costs on our balance sheet, and we present the fair value for required disclosure purposes only.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Foreign Currency Risk</w:t>
      </w:r>
    </w:p>
    <w:p>
      <w:pPr>
        <w:spacing w:after="0" w:line="171"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statements of operations. The effect of a hypothetical 10% change in foreign currency exchange rates applicable to our business would not have a material impact on our historical consolidated financial statements for either of the three-month periods ended April 30, 2023 and 2022.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C2C2C"/>
        </w:rPr>
        <w:t>Market Risk</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April 30, 2023 and January 31, 2023, the total amount of non-marketable securities included in other assets on our balance sheet was $13.3 million and $9.8 million, respectively.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38"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April 30, 2023. Based on the evaluation of our disclosure controls and procedures as of April 30, 2023, our Chief Executive Officer and Chief Financial Officer concluded that, as of such date, our disclosure controls and procedures were effective at the reasonable assurance level.</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340" w:firstLine="486"/>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Rule 15d-15(d) of the Exchange Act that occurred during the three months ended April 30, 2023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7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380"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PART II—OTHER INFORMATION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ITEM 1. LEGAL PROCEEDINGS.</w:t>
      </w:r>
    </w:p>
    <w:p>
      <w:pPr>
        <w:spacing w:after="0" w:line="165"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 xml:space="preserve">The information required to be set forth under this Item 1 is incorporated by reference to Note 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the Notes to Condensed Consolidated Financial Statements included in this Form 10-Q.</w:t>
      </w:r>
    </w:p>
    <w:p>
      <w:pPr>
        <w:spacing w:after="0" w:line="11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For example, on March 12, 2019, Realtime Data LLC (“Realtime”) filed a lawsuit against us in the United States District Court for the District of Delaware alleging that we are infringing three U.S. patents that it holds: U.S. Patent No. 9,116,908, U.S. Patent No. 9,667,751 and U.S. Patent No. 8,933,825. On May 4, 2021, in a consolidated action that includes Realtime's case against MongoDB, the District Court granted certain defendants' motion to dismiss without prejudice, finding that the patents are invalid under 35 U.S.C. § 101. Realtime filed an amended complaint against us on May 18, 2021, and we moved to dismiss that amended complaint on June 29, 2021. On August 23, 2021, the District Court granted our motion to dismiss. On August 25, 2021, Realtime filed a notice of appeal of the Delaware District Court’s order. Realtime filed its appellate brief on December 2, 2021 and the defendants (including MongoDB) filed a responsive brief on March 11, 2022. Realtime filed a reply brief on April 29, 2022. The oral argument took place before the U.S. Court of Appeals for the Federal Circuit on February 10, 2023.</w:t>
      </w:r>
    </w:p>
    <w:p>
      <w:pPr>
        <w:spacing w:after="0" w:line="14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5"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130"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materially and adversely affect our results of operations.</w:t>
      </w:r>
    </w:p>
    <w:p>
      <w:pPr>
        <w:spacing w:after="0" w:line="62" w:lineRule="exact"/>
        <w:rPr>
          <w:rFonts w:ascii="Arial" w:cs="Arial" w:eastAsia="Arial" w:hAnsi="Arial"/>
          <w:sz w:val="18"/>
          <w:szCs w:val="18"/>
          <w:color w:val="auto"/>
        </w:rPr>
      </w:pPr>
    </w:p>
    <w:p>
      <w:pPr>
        <w:jc w:val="both"/>
        <w:ind w:left="660" w:right="240" w:hanging="328"/>
        <w:spacing w:after="0" w:line="31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40"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fail to meet our publicly announced guidance or other expectations about our business and future operating results, which would cause our stock price to decline.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predict our future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have a history of losses and as our costs increase, we may not be able to generate sufficient revenue to achieve or sustain profitability.</w:t>
      </w:r>
    </w:p>
    <w:p>
      <w:pPr>
        <w:spacing w:after="0" w:line="128" w:lineRule="exact"/>
        <w:rPr>
          <w:rFonts w:ascii="Arial" w:cs="Arial" w:eastAsia="Arial" w:hAnsi="Arial"/>
          <w:sz w:val="17"/>
          <w:szCs w:val="17"/>
          <w:color w:val="auto"/>
        </w:rPr>
      </w:pPr>
    </w:p>
    <w:p>
      <w:pPr>
        <w:ind w:left="660" w:right="32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Because we derive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currently face significant competition and expect that intense competition will continue.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left="660" w:right="2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do not effectively expand our sales and marketing organization, we may be unable to add new customers or increase sales to our existing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decision to offer Community Server under the Server Side Public License (“SSPL”) may harm the adoption of Community Server.</w:t>
      </w:r>
    </w:p>
    <w:p>
      <w:pPr>
        <w:spacing w:after="0" w:line="128"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negatively impacted if the GNU Affero General Public License Version 3 (the “AGPL”), the SSPL and other open source licenses under which some of our software is licensed are not enforceable.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licensing model for Community Server could negatively affect our ability to monetize and protect our intellectual property rights.</w:t>
      </w:r>
    </w:p>
    <w:p>
      <w:pPr>
        <w:spacing w:after="0" w:line="11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38" w:lineRule="exact"/>
        <w:rPr>
          <w:rFonts w:ascii="Arial" w:cs="Arial" w:eastAsia="Arial" w:hAnsi="Arial"/>
          <w:sz w:val="17"/>
          <w:szCs w:val="17"/>
          <w:color w:val="auto"/>
        </w:rPr>
      </w:pPr>
    </w:p>
    <w:p>
      <w:pPr>
        <w:ind w:left="660" w:right="4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are not able to introduce new features or services successfully and to make enhancements to our software or services, our business and results of operations could be adversely affected.</w:t>
      </w:r>
    </w:p>
    <w:p>
      <w:pPr>
        <w:spacing w:after="0" w:line="62"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75" w:lineRule="exact"/>
        <w:rPr>
          <w:rFonts w:ascii="Arial" w:cs="Arial" w:eastAsia="Arial" w:hAnsi="Arial"/>
          <w:sz w:val="18"/>
          <w:szCs w:val="18"/>
          <w:color w:val="auto"/>
        </w:rPr>
      </w:pPr>
    </w:p>
    <w:p>
      <w:pPr>
        <w:jc w:val="both"/>
        <w:ind w:left="660" w:right="120" w:hanging="328"/>
        <w:spacing w:after="0" w:line="31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40" w:lineRule="exact"/>
        <w:rPr>
          <w:rFonts w:ascii="Arial" w:cs="Arial" w:eastAsia="Arial" w:hAnsi="Arial"/>
          <w:sz w:val="16"/>
          <w:szCs w:val="16"/>
          <w:color w:val="auto"/>
        </w:rPr>
      </w:pPr>
    </w:p>
    <w:p>
      <w:pPr>
        <w:ind w:left="660" w:right="4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are not able to maintain and enhance our brand, especially among developers, our business and results of operations may be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materially and adversely affect our results of operations.</w:t>
      </w:r>
    </w:p>
    <w:p>
      <w:pPr>
        <w:spacing w:after="0" w:line="184"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international trade relations and/or the imposition of trade tariffs, political turmoil, natural catastrophes, regional or global outbreaks of contagious diseases, such as the COVID-19 pandemic, recent volatility in the banking sector, warfare and terrorist attacks on the United States, Europe, the Asia Pacific region or elsewhere, could cause a decrease in business investments, including spending on information technology, disrupt the timing and cadence of key industry and marketing events and otherwise could materially and adversely affect the growth of our business.</w:t>
      </w:r>
    </w:p>
    <w:p>
      <w:pPr>
        <w:spacing w:after="0" w:line="21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Geopolitical risks, including those arising from trade tension and/or the imposition of trade tariffs, terrorist activity or acts of civil or international hostility, are increasing. Similarly, the ongoing military conflict between Russia and Ukraine has had negative impacts on the global economy, including by contributing to rapidly rising costs of living (driven largely by higher energy prices) in Europe and created uncertainty in the global capital markets and is expected to have further global economic consequences, including disruptions of the global supply chain and energy markets.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Any 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spacing w:after="0" w:line="21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w:t>
      </w:r>
    </w:p>
    <w:p>
      <w:pPr>
        <w:spacing w:after="0" w:line="201" w:lineRule="exact"/>
        <w:rPr>
          <w:sz w:val="20"/>
          <w:szCs w:val="20"/>
          <w:color w:val="auto"/>
        </w:rPr>
      </w:pPr>
    </w:p>
    <w:p>
      <w:pPr>
        <w:ind w:firstLine="486"/>
        <w:spacing w:after="0" w:line="270" w:lineRule="auto"/>
        <w:rPr>
          <w:sz w:val="20"/>
          <w:szCs w:val="20"/>
          <w:color w:val="auto"/>
        </w:rPr>
      </w:pPr>
      <w:r>
        <w:rPr>
          <w:rFonts w:ascii="Arial" w:cs="Arial" w:eastAsia="Arial" w:hAnsi="Arial"/>
          <w:sz w:val="16"/>
          <w:szCs w:val="16"/>
          <w:color w:val="auto"/>
        </w:rPr>
        <w:t>In addition, the banking sector has recently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 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spacing w:after="0" w:line="20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results of operations.</w:t>
      </w:r>
    </w:p>
    <w:p>
      <w:pPr>
        <w:spacing w:after="0" w:line="171"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losses and as our costs increase, we may not be able to generate sufficient revenue to achieve or sustain profitability.</w:t>
      </w:r>
    </w:p>
    <w:p>
      <w:pPr>
        <w:spacing w:after="0" w:line="194"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We have incurred net losses in each period since our inception, including net losses of $345.4 million, $306.9 million and $266.9 million for the fiscal years ended January 31, 2023, 2022 and 2021, respectively. We had an accumulated deficit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of $1.6 billion as of April 30, 2023.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3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Because we derive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70"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We derive and expect to continue to derive the majority of our revenue from MongoDB Atlas, our database-as-a-service offering, which is primarily recognized on a usage-basis. As such, market adoption and usage of MongoDB Atlas is critical to our continued success. Although MongoDB Atlas has seen rapid adoption since its commercial launch in June 2016, and though we intend to continue to direct a significant portion of our financial and operating resources to develop and grow MongoDB Atlas, including offering a free tier of MongoDB Atlas to generate developer usage and awareness, we cannot guarantee that rate of adoption will continue at the same pace or at all. Demand for MongoDB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For instance, among other factors, the adverse macroeconomic conditions resulted in slower than historical growth of our existing Atlas applications for the three months ended April 30, 2023. If we are unable to continue to meet the demands of our customers and the developer community, our business operations, financial results and growth prospects will be materially and adversely affected. In addition, because our customer’s usage of MongoDB Atlas may vary for a number of reasons, our visibility into the timing of revenue recognition is limited. There is a risk that customers will consume our MongoDB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MongoDB Atlas.</w:t>
      </w:r>
    </w:p>
    <w:p>
      <w:pPr>
        <w:spacing w:after="0" w:line="130" w:lineRule="exact"/>
        <w:rPr>
          <w:sz w:val="20"/>
          <w:szCs w:val="20"/>
          <w:color w:val="auto"/>
        </w:rPr>
      </w:pPr>
    </w:p>
    <w:p>
      <w:pPr>
        <w:jc w:val="both"/>
        <w:ind w:right="540"/>
        <w:spacing w:after="0" w:line="311" w:lineRule="auto"/>
        <w:rPr>
          <w:sz w:val="20"/>
          <w:szCs w:val="20"/>
          <w:color w:val="auto"/>
        </w:rPr>
      </w:pPr>
      <w:r>
        <w:rPr>
          <w:rFonts w:ascii="Arial" w:cs="Arial" w:eastAsia="Arial" w:hAnsi="Arial"/>
          <w:sz w:val="16"/>
          <w:szCs w:val="16"/>
          <w:b w:val="1"/>
          <w:bCs w:val="1"/>
          <w:i w:val="1"/>
          <w:iCs w:val="1"/>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95" w:lineRule="exact"/>
        <w:rPr>
          <w:sz w:val="20"/>
          <w:szCs w:val="20"/>
          <w:color w:val="auto"/>
        </w:rPr>
      </w:pPr>
    </w:p>
    <w:p>
      <w:pPr>
        <w:ind w:right="100" w:firstLine="486"/>
        <w:spacing w:after="0" w:line="286" w:lineRule="auto"/>
        <w:rPr>
          <w:sz w:val="20"/>
          <w:szCs w:val="20"/>
          <w:color w:val="auto"/>
        </w:rPr>
      </w:pPr>
      <w:r>
        <w:rPr>
          <w:rFonts w:ascii="Arial" w:cs="Arial" w:eastAsia="Arial" w:hAnsi="Arial"/>
          <w:sz w:val="16"/>
          <w:szCs w:val="16"/>
          <w:color w:val="auto"/>
        </w:rPr>
        <w:t>Our subscription offerings are term-based and a majority of our subscription contracts were one year in duration in fiscal year 2023.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spacing w:after="0" w:line="12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Arial" w:cs="Arial" w:eastAsia="Arial" w:hAnsi="Arial"/>
          <w:sz w:val="18"/>
          <w:szCs w:val="18"/>
          <w:i w:val="1"/>
          <w:iCs w:val="1"/>
          <w:color w:val="auto"/>
        </w:rPr>
        <w:t>Unfavorable conditions in our industry</w:t>
      </w:r>
    </w:p>
    <w:p>
      <w:pPr>
        <w:spacing w:after="0" w:line="200" w:lineRule="exact"/>
        <w:rPr>
          <w:sz w:val="20"/>
          <w:szCs w:val="20"/>
          <w:color w:val="auto"/>
        </w:rPr>
      </w:pPr>
    </w:p>
    <w:p>
      <w:pPr>
        <w:spacing w:after="0" w:line="36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or the global economy or reductions in information technology spending could limit our ability to grow our business and materially and adversely affect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face significant competition and expect that intense competition will continue.</w:t>
      </w:r>
    </w:p>
    <w:p>
      <w:pPr>
        <w:spacing w:after="0" w:line="17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database software market, for both relational and non-relational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27" w:lineRule="exact"/>
        <w:rPr>
          <w:sz w:val="20"/>
          <w:szCs w:val="20"/>
          <w:color w:val="auto"/>
        </w:rPr>
      </w:pPr>
    </w:p>
    <w:p>
      <w:pPr>
        <w:jc w:val="both"/>
        <w:ind w:right="280" w:firstLine="486"/>
        <w:spacing w:after="0" w:line="311" w:lineRule="auto"/>
        <w:rPr>
          <w:sz w:val="20"/>
          <w:szCs w:val="20"/>
          <w:color w:val="auto"/>
        </w:rPr>
      </w:pPr>
      <w:r>
        <w:rPr>
          <w:rFonts w:ascii="Arial" w:cs="Arial" w:eastAsia="Arial" w:hAnsi="Arial"/>
          <w:sz w:val="16"/>
          <w:szCs w:val="16"/>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non-relational database software providers. In addition, other large software and internet companies may seek to enter our market.</w:t>
      </w:r>
    </w:p>
    <w:p>
      <w:pPr>
        <w:spacing w:after="0" w:line="95"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such as the ones we announced during fiscal year 2022,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2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3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do not effectively expand our sales and marketing organization, we may be unable to add new customers or increase sales to our existing customers.</w:t>
      </w:r>
    </w:p>
    <w:p>
      <w:pPr>
        <w:spacing w:after="0" w:line="116"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productivity, particularly in new or developing sales territories. Our recent hires and planned hires may not become as productive as quickly as we expect, including as a result of the COVID-19 pandemic and remote work arrangements, and we may be unable to hire or retain sufficient numbers of qualified individuals in the future in the markets where we do business, particularly during the current period of heightened employee attrition in the United States and other countries.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adoption strategies include offering Community Server and a free tier of MongoDB Atlas and we may not be able to realize the intended benefits of these strategies.</w:t>
      </w:r>
    </w:p>
    <w:p>
      <w:pPr>
        <w:spacing w:after="0" w:line="11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decision to offer Community Server under the SSPL, may harm the adoption of Community Server.</w:t>
      </w:r>
    </w:p>
    <w:p>
      <w:pPr>
        <w:spacing w:after="0" w:line="171"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spacing w:after="0" w:line="11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spacing w:after="0" w:line="211"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We track certain operational metrics, including annualized recurring revenue (“ARR”), annualized monthly recurring revenue (“MRR”), ARR expansion rate, Total Customers, Direct Sales Customers, MongoDB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could be negatively impacted if the AGPL, the SSPL and other open source licenses under which some of our software is licensed are not enforceable.</w:t>
      </w:r>
    </w:p>
    <w:p>
      <w:pPr>
        <w:spacing w:after="0" w:line="116"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 to offer MongoDB as a third-party service must open source the software that it uses to offer such service. It is possible that a court would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licensing model for Community Server could negatively affect our ability to monetize and protect our intellectual property rights.</w:t>
      </w:r>
    </w:p>
    <w:p>
      <w:pPr>
        <w:spacing w:after="0" w:line="183" w:lineRule="exact"/>
        <w:rPr>
          <w:sz w:val="20"/>
          <w:szCs w:val="20"/>
          <w:color w:val="auto"/>
        </w:rPr>
      </w:pPr>
    </w:p>
    <w:p>
      <w:pPr>
        <w:ind w:right="120" w:firstLine="486"/>
        <w:spacing w:after="0" w:line="269" w:lineRule="auto"/>
        <w:rPr>
          <w:sz w:val="20"/>
          <w:szCs w:val="20"/>
          <w:color w:val="auto"/>
        </w:rPr>
      </w:pPr>
      <w:r>
        <w:rPr>
          <w:rFonts w:ascii="Arial" w:cs="Arial" w:eastAsia="Arial" w:hAnsi="Arial"/>
          <w:sz w:val="17"/>
          <w:szCs w:val="17"/>
          <w:color w:val="auto"/>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13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software incorporates third-party open source software, which could negatively affect our ability to sell our products and subject us to possible litigation.</w:t>
      </w:r>
    </w:p>
    <w:p>
      <w:pPr>
        <w:spacing w:after="0" w:line="116"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1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38"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In addition to risks related to license requirements, the use of third-party open source software can lead to greater risks than the use of third-party commercial software, as open source licensors generally do not provide warranties, indemnities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that rely on open source software.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2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Any of these risks could be difficult to eliminate or manage and if not addressed, could have a negative effect on our business, results of operations and financial condition.</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16"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artificial intelligence (“AI”) and machine learning,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1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3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1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future quarterly results may fluctuate significantly and if we fail to meet the expectations of analysts or investors, our stock price could decline substantially.</w:t>
      </w:r>
    </w:p>
    <w:p>
      <w:pPr>
        <w:spacing w:after="0" w:line="11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13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actual and anticipated growth rates of our revenue, customers and other key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product announcements, pricing changes and other actions by competitors;</w:t>
      </w:r>
    </w:p>
    <w:p>
      <w:pPr>
        <w:spacing w:after="0" w:line="117" w:lineRule="exact"/>
        <w:rPr>
          <w:rFonts w:ascii="Arial" w:cs="Arial" w:eastAsia="Arial" w:hAnsi="Arial"/>
          <w:sz w:val="18"/>
          <w:szCs w:val="18"/>
          <w:color w:val="auto"/>
        </w:rPr>
      </w:pPr>
    </w:p>
    <w:p>
      <w:pPr>
        <w:ind w:left="660" w:right="120" w:hanging="328"/>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mix of revenue and associated costs attributable to subscriptions for our MongoDB Atlas and MongoDB Enterprise Advanced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57"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sales where subscriptions are bundled with services versus sold on a standalone basis and sales by us and our partners;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effectively expand our sales and marketing capabilities and teams;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retain customers and expand their usage of our software, particularly for our largest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enforce the AGPL or SSPL;</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revenue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mix of revenue attributable to larger transactions as opposed to smaller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budgeting cycles and purchasing decisions;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customers’ consumption of our platform;</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customers and potential customers opting for alternative products, including developing their own in-house solutions, or opting to use only the free version of our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significant security breaches or other security incidents, technical difficulties, or interruptions with respect to the delivery and use of our software;</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failure to maintain the level of service uptime and performance required by our customers;</w:t>
      </w:r>
    </w:p>
    <w:p>
      <w:pPr>
        <w:spacing w:after="0" w:line="117"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collectability of receivables from customers and resellers, which may be hindered or delayed if these customers or resellers experience financial distress;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political and economic conditions, in domestic or international markets;</w:t>
      </w:r>
    </w:p>
    <w:p>
      <w:pPr>
        <w:spacing w:after="0" w:line="117"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including warfare and terrorist attacks on the United States and other regions in which we or our customers operate, such as the Russia-Ukraine conflict, as well as economic conditions specifically affecting industries in which our customers participate;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new accounting pronouncements;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ongoing geopolitical instability resulting from the conflict between Russia and Ukraine, severely diminished liquidity and credit availability, declines in consumer confidence, declines in economic growth, increases in unemployment rates, instability in the banking sector, increases in inflation rates, higher interest rates and uncertainty about economic stability. In response to the concerns over inflation risk, the U.S. Federal Reserve has raised interest rates multiple times, and signaled that they will continue to adjust interest rates to stabilize and reduce current levels of inflation.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materially and adversely affect our business, results of operations and financial condition. For instance, among other factors, the adverse macroeconomic conditions resulted in slower than historical growth of our existing Atlas applications for the three months ended April 30, 2023.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3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have experienced rapid growth in our business, operations and employee headcount. For fiscal years 2023, 2022 and 2021, our total revenue was $1,284.0 million, $873.8 million and $590.4 million, respectively, representing a 47% and 48% growth rate, respectively. We expect to continue to expand our operations and employee headcount in the near term. Our success will depend in part on our ability to continue to grow and to manage this growth, domestically and internationally, effectively.</w:t>
      </w:r>
    </w:p>
    <w:p>
      <w:pPr>
        <w:spacing w:after="0" w:line="133"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2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9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Cyberattacks, malicious internet-based activity, and online and offline fraud, and other similar activities threaten the confidentiality, integrity and availability of our personal, proprietary, confidential and other sensitive data and our information technology systems, and those of the third parties upon which we rely to help deliver services to our customers. Such threats are prevalent, increasing in frequency, evolving in nature and becoming increasingly difficult to detect. These threats come from a variety 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systems, operations and supply chain. We and the third parties upon which we rely may be subject to a variety of evolving threats, including but not limited to social-engineering attacks (including through phishing</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attacks), malicious code (such as viruses and worms), malware (including as a result of advanced persistent threat intrusions), denial-of-service attacks (such as credential stuffing), credential harvesting, personnel misconduct or error, fraud, ransomware attacks, supply-chain attacks, software bugs, server malfunctions, software or hardware failures, loss of data or other information technology assets, adware, telecommunications failures, pandemics, earthquakes, fires, floods, and other similar threats.</w:t>
      </w:r>
    </w:p>
    <w:p>
      <w:pPr>
        <w:spacing w:after="0" w:line="13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w:t>
      </w:r>
    </w:p>
    <w:p>
      <w:pPr>
        <w:spacing w:after="0" w:line="141"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the United States government has raised concerns about a potential increase in cyberattacks generally as a result of the military conflict between Russia and Ukraine and the related sanctions imposed by the United States and other countries.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spacing w:after="0" w:line="111"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or personal, proprietary, confidential or other sensitive information, or those of the third parties upon whom we rely. A security breach or other security incident could disrupt our ability (and that of third parties upon whom we rely) to provide our platform, products, and services.</w:t>
      </w:r>
    </w:p>
    <w:p>
      <w:pPr>
        <w:spacing w:after="0" w:line="103"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personal, proprietary, confidential or other sensitive information.</w:t>
      </w:r>
    </w:p>
    <w:p>
      <w:pPr>
        <w:spacing w:after="0" w:line="133"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(including our products), our efforts may not be successful. Further, we may experience delays in developing and deploying remedial measures designed to address any such identified vulnerabilities.</w:t>
      </w:r>
    </w:p>
    <w:p>
      <w:pPr>
        <w:spacing w:after="0" w:line="124"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Applicable data privacy and security obligations may require us to notify relevant stakeholders of security breaches and other security incidents.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disclosures are costly, and the disclosures or the failure to comply with such requirements could lead to adverse consequences.</w:t>
      </w:r>
    </w:p>
    <w:p>
      <w:pPr>
        <w:spacing w:after="0" w:line="157"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may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11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116"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 may be long and is unpredictable and our sales efforts require considerable time and expense.</w:t>
      </w:r>
    </w:p>
    <w:p>
      <w:pPr>
        <w:spacing w:after="0" w:line="17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4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sales force, in particular new sales people as we increase the size of our sales force;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obstacles placed by a customer’s procurement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convert users of our free offerings to paying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conditions and other factors impacting customer budgets;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evaluation of competing products during the purchasing process;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evolving customer demands.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forced to reduce prices for our subscription offerings and as a result our revenue and results of operations will be harmed.</w:t>
      </w:r>
    </w:p>
    <w:p>
      <w:pPr>
        <w:spacing w:after="0" w:line="183"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1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3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Even if we do attract new customers, the cost of new customer acquisition, product implementation and ongoing customer support may prove so high as to prevent us from achieving or sustaining profitability. For example, in fiscal years 2023, 2022 and 2021, total sales and marketing expense represented 54%, 54% and 55%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 .local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spacing w:after="0" w:line="171"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16"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failures or bugs in our software could also impair our ability to attract new customers, retain existing customers or expand their use of our software, which would adversely affect our business, results of operations and financial condition.</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are subject to stringent and evolving U.S. and foreign laws, regulations, rules, standards, contractual obligations, policies and other obligations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spacing w:after="0" w:line="133"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Data privacy has become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spacing w:after="0" w:line="123"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 For example, in August 2022 California’s Attorney General reached a settlement with Sephora, Inc. (“Sephora”) for failing to satisfy certain obligations under the CCPA, including the disclosure and processing of opt-out requests, with respect to the for using third-party tracking software on Sephora's website that could, among other things, create profiles about website visitors that the California Attorney General interpreted as a "sale" of customer information given the benefits that both the software provider and Sephora received from the relationship. This action may signal a priority of enforcement and interpretation that such use of analytics products on the internet may introduce new web-based marketing complexities and compliance challenges under the CCPA.</w:t>
      </w:r>
    </w:p>
    <w:p>
      <w:pPr>
        <w:spacing w:after="0" w:line="109" w:lineRule="exact"/>
        <w:rPr>
          <w:sz w:val="20"/>
          <w:szCs w:val="20"/>
          <w:color w:val="auto"/>
        </w:rPr>
      </w:pPr>
    </w:p>
    <w:p>
      <w:pPr>
        <w:ind w:firstLine="486"/>
        <w:spacing w:after="0" w:line="270" w:lineRule="auto"/>
        <w:rPr>
          <w:sz w:val="20"/>
          <w:szCs w:val="20"/>
          <w:color w:val="auto"/>
        </w:rPr>
      </w:pPr>
      <w:r>
        <w:rPr>
          <w:rFonts w:ascii="Arial" w:cs="Arial" w:eastAsia="Arial" w:hAnsi="Arial"/>
          <w:sz w:val="16"/>
          <w:szCs w:val="16"/>
          <w:color w:val="auto"/>
        </w:rPr>
        <w:t>A number of other U.S. states have also enacted, or are considering enacting, comprehensive data privacy laws that share similarities with the CCPA, with at least four such laws (in Virginia, Colorado, Utah and Connecticut) having taken effect, or scheduled to take effect, in 2023. Iowa recently passed a similarly broad consumer privacy law that will take effect in 2025. Certain state laws and regulations may be more stringent, broader in scope, or offer greater individual rights, with respect to personal data than federal or other state laws and regulations, and such laws and regulations may differ from each other, which may complicate compliance efforts and increase legal risk and compliance costs for us and the third parties upon whom we rely. There is also discussion in Congress of a new federal data privacy and security law to which we may become subject if it is enacted.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spacing w:after="0" w:line="20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Additionally, in March 2022, the Securities and Exchange Commission (the “SEC”) proposed cybersecurity disclosure rules for public companies that would require disclosure regarding cybersecurity risk management (including cybersecurity-related business activities, decision-making processes, and a corporate board’s role in overseeing cybersecurity) and material cybersecurity incidents in periodic filings. While the notice-and-comment period has closed, we do not have an expected date of when these rules would go into effect.</w:t>
      </w:r>
    </w:p>
    <w:p>
      <w:pPr>
        <w:spacing w:after="0" w:line="133"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Furthermore,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other applicable laws. Additionally, the Executive Order called for the development of secure software development practices or criteria for a consumer software labeling program reflecting a baseline level of secure practices for development of software sold to the U.S. federal government.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spacing w:after="0" w:line="10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w:t>
      </w:r>
    </w:p>
    <w:p>
      <w:pPr>
        <w:spacing w:after="0" w:line="13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w:t>
      </w:r>
    </w:p>
    <w:p>
      <w:pPr>
        <w:spacing w:after="0" w:line="123"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Countries outside Europe are implementing significant limitations on the processing of personal data, similar to those in the GDPR. For example, Brazil has enacted the General Data Protection Law (Lei Geral Proteção de Dados Pessoais, or “LGPD”) (Law No. 13,709/2018). In addition, on June 5, 2020, Japan passed amendments to its Act on the Protection of Personal data, or APPI. Both of these laws broadly regulate the processing of personal data in a manner comparable to the GDPR, and violators of the LGPD and APPI face substantial penalties.</w:t>
      </w:r>
    </w:p>
    <w:p>
      <w:pPr>
        <w:spacing w:after="0" w:line="117"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Some foreign data privacy and security laws, including, without limitation, the GDPR and U.K. GDPR, may restrict the cross-border transfer of personal data, such as transfers of data to the United States from the E.E.A., or U.K.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While the European Commission published on December 13, 2022 a draft adequacy decision on the level of protection of personal data under the EU-U.S. Data Privacy Framework and on February 28, 2023, the European Data Protection Board adopted its opinion the draft adequacy decision, no formal agreement has been finalized, and any such agreement, if formalized, is likely to face challenge at the Court of Justice of the European Union. In addition, the U.K. similarly restricts personal data transfers outside of the U.K. jurisdiction to countries such as the United States that the U.K. government does not consider to provide an adequate level of personal data protection, and the U.K. government has adopted its own standard International Data Transfer Agreement for use under such circumstances, as well as an international data transfer addendum that can be used with the SCCs for the same purpose.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such cross-border data transfer or localization laws; or require us to increase our personal data processing capabilities and infrastructure in foreign jurisdictions at significant expense.</w:t>
      </w:r>
    </w:p>
    <w:p>
      <w:pPr>
        <w:spacing w:after="0" w:line="11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For example, it is anticipated that the ePrivacy Regulation, which is still being negotiated, and national implementing laws will replace the current national laws implementing the ePrivacy Directive. Compliance with these laws and regulations may require us to make significant operational changes, limit the effectiveness of our marketing activities, divert the attention of our technology personnel, adversely affect our margins, and subject us to liabilities.</w:t>
      </w:r>
    </w:p>
    <w:p>
      <w:pPr>
        <w:spacing w:after="0" w:line="138"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w:t>
      </w:r>
    </w:p>
    <w:p>
      <w:pPr>
        <w:spacing w:after="0" w:line="130"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112"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spacing w:after="0" w:line="11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116"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Our market opportunity estimates and growth forecasts are subject to significant uncertainty and are based on third-party assumptions and estimates that may not prove to be accurate. The market in which we compete may not meet these size 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92" w:lineRule="exact"/>
        <w:rPr>
          <w:sz w:val="20"/>
          <w:szCs w:val="20"/>
          <w:color w:val="auto"/>
        </w:rPr>
      </w:pPr>
    </w:p>
    <w:p>
      <w:pPr>
        <w:ind w:right="80" w:firstLine="486"/>
        <w:spacing w:after="0" w:line="268" w:lineRule="auto"/>
        <w:rPr>
          <w:sz w:val="20"/>
          <w:szCs w:val="20"/>
          <w:color w:val="auto"/>
        </w:rPr>
      </w:pPr>
      <w:r>
        <w:rPr>
          <w:rFonts w:ascii="Arial" w:cs="Arial" w:eastAsia="Arial" w:hAnsi="Arial"/>
          <w:sz w:val="17"/>
          <w:szCs w:val="17"/>
          <w:color w:val="auto"/>
        </w:rPr>
        <w:t>Our success and ability to compete depend in part upon our intellectual property rights. As of January 31, 2023, we had 68 issued patents and 37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An adverse determination of any litigation proceedings could put our intellectual property at risk of being invalidated or interpreted narrowly and could put our related intellectual property at risk of not issuing or being canceled.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28"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116"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 For example, Realtime Data (“Realtime”) filed a lawsuit against us in the United States District Court for the District of Delaware in March 2019 alleging that we are infringing three U.S. patents that it holds: the 908 Patent, the 751 Patent and the 825 Patent. See the section titled “Part II, Item 1. Legal Proceedings.”</w:t>
      </w:r>
    </w:p>
    <w:p>
      <w:pPr>
        <w:spacing w:after="0" w:line="123"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successful relationships with our partners, our business, results of operations and financial condition could be harmed.</w:t>
      </w:r>
    </w:p>
    <w:p>
      <w:pPr>
        <w:spacing w:after="0" w:line="20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16" w:lineRule="exact"/>
        <w:rPr>
          <w:sz w:val="20"/>
          <w:szCs w:val="20"/>
          <w:color w:val="auto"/>
        </w:rPr>
      </w:pPr>
    </w:p>
    <w:p>
      <w:pPr>
        <w:ind w:right="40" w:firstLine="486"/>
        <w:spacing w:after="0" w:line="267" w:lineRule="auto"/>
        <w:rPr>
          <w:sz w:val="20"/>
          <w:szCs w:val="20"/>
          <w:color w:val="auto"/>
        </w:rPr>
      </w:pPr>
      <w:r>
        <w:rPr>
          <w:rFonts w:ascii="Arial" w:cs="Arial" w:eastAsia="Arial" w:hAnsi="Arial"/>
          <w:sz w:val="17"/>
          <w:szCs w:val="17"/>
          <w:color w:val="auto"/>
        </w:rPr>
        <w:t>We outsource substantially all of the infrastructure relating to MongoDB Atlas across AWS, Microsoft Azure and GCP to host our cloud offering. If the hosting of MongoDB Atlas is disrupted or interfered with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16"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or cyberattacks.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16"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Our database software and related services are designed to be deployed in a wide variety of technology environments, including in large-scale, complex technology environments and we believe our future success will depend at least, in part, 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24"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meet our service level commitments, our business, results of operations and financial condition could be adversely affected.</w:t>
      </w:r>
    </w:p>
    <w:p>
      <w:pPr>
        <w:spacing w:after="0" w:line="183"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141"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46"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spacing w:after="0" w:line="7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38"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and considering the current period of heightened employee attrition in the United States and other countries.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maintain and enhance our brand, especially among developers, our business and results of operations may be adversely affected.</w:t>
      </w:r>
    </w:p>
    <w:p>
      <w:pPr>
        <w:spacing w:after="0" w:line="206"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.local events,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2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13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We believe that our culture has been and will continue to be a key contributor to our success. Our workforce has increased significantly from January 31, 2017 and we expect to continue to hire as we expand, especially among research and development and sales and marketing personnel. Such headcount growth may result in a change to our corporate culture.</w:t>
      </w:r>
    </w:p>
    <w:p>
      <w:pPr>
        <w:spacing w:after="0" w:line="130" w:lineRule="exact"/>
        <w:rPr>
          <w:sz w:val="20"/>
          <w:szCs w:val="20"/>
          <w:color w:val="auto"/>
        </w:rPr>
      </w:pPr>
    </w:p>
    <w:p>
      <w:pPr>
        <w:ind w:right="180" w:firstLine="486"/>
        <w:spacing w:after="0" w:line="301" w:lineRule="auto"/>
        <w:rPr>
          <w:sz w:val="20"/>
          <w:szCs w:val="20"/>
          <w:color w:val="auto"/>
        </w:rPr>
      </w:pPr>
      <w:r>
        <w:rPr>
          <w:rFonts w:ascii="Arial" w:cs="Arial" w:eastAsia="Arial" w:hAnsi="Arial"/>
          <w:sz w:val="16"/>
          <w:szCs w:val="16"/>
          <w:color w:val="auto"/>
        </w:rPr>
        <w:t>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w:t>
      </w:r>
    </w:p>
    <w:p>
      <w:pPr>
        <w:spacing w:after="0" w:line="10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If we do not continue to maintain and develop our corporate culture, we may be unable to execute effectively and foster the innovation, creativity and entrepreneurial spirit we believe we need to support our growth, which could harm our business.</w:t>
      </w:r>
    </w:p>
    <w:p>
      <w:pPr>
        <w:spacing w:after="0" w:line="11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116"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0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could expose us to substantial liability for data breaches, intellectual property infringement and other losses.</w:t>
      </w:r>
    </w:p>
    <w:p>
      <w:pPr>
        <w:spacing w:after="0" w:line="116"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sales to customers outside the United States, our business is susceptible to risks associated with international operations.</w:t>
      </w:r>
    </w:p>
    <w:p>
      <w:pPr>
        <w:spacing w:after="0" w:line="116"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 significant portion of our revenue is derived internationally and we are susceptible to risks related to our international operations. In the fiscal years ended January 31, 2023, 2022 and 2021, total revenue generated from customers outside the United States was 45%, 46% and 44%, respectively, of our total revenue. We currently have international offices outside of North America in Europe, the Middle East and Africa (“EMEA”), the Asia-Pacific region and South America,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3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taxes or trade laws;</w:t>
      </w:r>
    </w:p>
    <w:p>
      <w:pPr>
        <w:spacing w:after="0" w:line="117"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shelter-in-place, occupancy limitations or similar orders, private travel limitation, or business disruption in regions affecting our operations, stemming from actual, imminent or perceived outbreak of contagious disease;</w:t>
      </w:r>
    </w:p>
    <w:p>
      <w:pPr>
        <w:spacing w:after="0" w:line="62"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more stringent regulations relating to data privacy and security and the unauthorized use of, or access to, commercial and personal data, particularly in EMEA;</w:t>
      </w:r>
    </w:p>
    <w:p>
      <w:pPr>
        <w:spacing w:after="0" w:line="62"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62"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costs associated with international operations, including travel, real estate, infrastructure and legal compliance costs;</w:t>
      </w:r>
    </w:p>
    <w:p>
      <w:pPr>
        <w:spacing w:after="0" w:line="117"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other economic factors, including inflation, pricing and currency devaluation;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limitations on our ability to reinvest earnings from operations in one country to fund the capital needs of our operations in other countries;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117" w:lineRule="exact"/>
        <w:rPr>
          <w:rFonts w:ascii="Arial" w:cs="Arial" w:eastAsia="Arial" w:hAnsi="Arial"/>
          <w:sz w:val="18"/>
          <w:szCs w:val="18"/>
          <w:color w:val="auto"/>
        </w:rPr>
      </w:pPr>
    </w:p>
    <w:p>
      <w:pPr>
        <w:ind w:left="660" w:right="9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enforcing our intellectual property;</w:t>
      </w:r>
    </w:p>
    <w:p>
      <w:pPr>
        <w:spacing w:after="0" w:line="117" w:lineRule="exact"/>
        <w:rPr>
          <w:rFonts w:ascii="Arial" w:cs="Arial" w:eastAsia="Arial" w:hAnsi="Arial"/>
          <w:sz w:val="18"/>
          <w:szCs w:val="18"/>
          <w:color w:val="auto"/>
        </w:rPr>
      </w:pPr>
    </w:p>
    <w:p>
      <w:pPr>
        <w:jc w:val="both"/>
        <w:ind w:left="660" w:right="8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instability, including any escalation in the geopolitical tensions between China and Taiwan, social unrest, terrorist activities, acts of civil or international hostility, such as the current military conflict and escalating tensions between Russia and Ukraine, natural disasters or regional or global outbreaks of contagious diseases, such as the COVID-19 pandemic;</w:t>
      </w:r>
    </w:p>
    <w:p>
      <w:pPr>
        <w:spacing w:after="0" w:line="7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U.K. Bribery Act and similar laws and regulations in other jurisdictions;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17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70"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currency exchange rates fluctuate substantially in the future, our financial results, which are reported in U.S. dollars, could be adversely affected.</w:t>
      </w:r>
    </w:p>
    <w:p>
      <w:pPr>
        <w:spacing w:after="0" w:line="194"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1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16"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1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1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spacing w:after="0" w:line="70"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b w:val="1"/>
          <w:bCs w:val="1"/>
          <w:i w:val="1"/>
          <w:iCs w:val="1"/>
          <w:color w:val="auto"/>
        </w:rPr>
        <w:t>We may expand through acquisitions or investments in strategic partnerships or transactions with other companies, each of which may divert our management’s attention, result in additional dilution to our stockholders, increase expenses, disrupt our operations, and harm our results of operations.</w:t>
      </w:r>
    </w:p>
    <w:p>
      <w:pPr>
        <w:spacing w:after="0" w:line="188" w:lineRule="exact"/>
        <w:rPr>
          <w:sz w:val="20"/>
          <w:szCs w:val="20"/>
          <w:color w:val="auto"/>
        </w:rPr>
      </w:pPr>
    </w:p>
    <w:p>
      <w:pPr>
        <w:ind w:right="140" w:firstLine="486"/>
        <w:spacing w:after="0" w:line="243" w:lineRule="auto"/>
        <w:rPr>
          <w:sz w:val="20"/>
          <w:szCs w:val="20"/>
          <w:color w:val="auto"/>
        </w:rPr>
      </w:pPr>
      <w:r>
        <w:rPr>
          <w:rFonts w:ascii="Arial" w:cs="Arial" w:eastAsia="Arial" w:hAnsi="Arial"/>
          <w:sz w:val="18"/>
          <w:szCs w:val="18"/>
          <w:color w:val="auto"/>
        </w:rPr>
        <w:t>Our success will depend, in part, on our ability to grow our business in response to changing technologies, customer demands and competitive pressures. In some circumstances, we may choose to do so through acquisitions or investments in strategic partnerships or transactions with other companies, rather than through internal development. The identification of suitable acquisition candidates can be difficult, time-consuming and costly and we may not be able to successfully complete identified acquisitions.</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risks we face in connection with any acquisitions or strategic investments include:</w:t>
      </w:r>
    </w:p>
    <w:p>
      <w:pPr>
        <w:spacing w:after="0" w:line="171" w:lineRule="exact"/>
        <w:rPr>
          <w:sz w:val="20"/>
          <w:szCs w:val="20"/>
          <w:color w:val="auto"/>
        </w:rPr>
      </w:pPr>
    </w:p>
    <w:p>
      <w:pPr>
        <w:ind w:left="660" w:right="2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spacing w:after="0" w:line="78" w:lineRule="exact"/>
        <w:rPr>
          <w:rFonts w:ascii="Arial" w:cs="Arial" w:eastAsia="Arial" w:hAnsi="Arial"/>
          <w:sz w:val="18"/>
          <w:szCs w:val="18"/>
          <w:color w:val="auto"/>
        </w:rPr>
      </w:pPr>
    </w:p>
    <w:p>
      <w:pPr>
        <w:ind w:left="660" w:right="54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acquisition or strategic investment may disrupt our ongoing business, divert resources, increase our expenses and distract our management;</w:t>
      </w:r>
    </w:p>
    <w:p>
      <w:pPr>
        <w:spacing w:after="0" w:line="140" w:lineRule="exact"/>
        <w:rPr>
          <w:rFonts w:ascii="Arial" w:cs="Arial" w:eastAsia="Arial" w:hAnsi="Arial"/>
          <w:sz w:val="16"/>
          <w:szCs w:val="16"/>
          <w:color w:val="auto"/>
        </w:rPr>
      </w:pPr>
    </w:p>
    <w:p>
      <w:pPr>
        <w:ind w:left="660" w:right="20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encounter challenges integrating the employees of the acquired company into our company culture;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successfully sell any acquired products or increase adoption or usage of acquired products, or increase spend by acquired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use of cash to pay for acquisitions or strategic investment would limit other potential uses for our cash;</w:t>
      </w:r>
    </w:p>
    <w:p>
      <w:pPr>
        <w:spacing w:after="0" w:line="117"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incur debt to fund any acquisitions, such debt may subject us to material restrictions on our ability to conduct our business, including financial maintenance covenants; and</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issue a significant amount of equity securities in connection with future acquisitions, existing stockholders may be diluted and earnings per share may decrease.</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occurrence of any of these risks could have an adverse effect on our business, results of operations and financial condition.</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116" w:lineRule="exact"/>
        <w:rPr>
          <w:sz w:val="20"/>
          <w:szCs w:val="20"/>
          <w:color w:val="auto"/>
        </w:rPr>
      </w:pPr>
    </w:p>
    <w:p>
      <w:pPr>
        <w:ind w:right="260" w:firstLine="486"/>
        <w:spacing w:after="0" w:line="311" w:lineRule="auto"/>
        <w:rPr>
          <w:sz w:val="20"/>
          <w:szCs w:val="20"/>
          <w:color w:val="auto"/>
        </w:rPr>
      </w:pPr>
      <w:r>
        <w:rPr>
          <w:rFonts w:ascii="Arial" w:cs="Arial" w:eastAsia="Arial" w:hAnsi="Arial"/>
          <w:sz w:val="16"/>
          <w:szCs w:val="16"/>
          <w:color w:val="auto"/>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spacing w:after="0" w:line="95"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We record all fair value adjustments of our non-marketable securities through the consolidated statements of operations. As a result, we may experience additional volatility to our statements of operations due to the valuation and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jc w:val="both"/>
        <w:ind w:right="400"/>
        <w:spacing w:after="0" w:line="279" w:lineRule="auto"/>
        <w:rPr>
          <w:sz w:val="20"/>
          <w:szCs w:val="20"/>
          <w:color w:val="auto"/>
        </w:rPr>
      </w:pPr>
      <w:r>
        <w:rPr>
          <w:rFonts w:ascii="Arial" w:cs="Arial" w:eastAsia="Arial" w:hAnsi="Arial"/>
          <w:sz w:val="17"/>
          <w:szCs w:val="17"/>
          <w:color w:val="auto"/>
        </w:rPr>
        <w:t>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anti-bribery, anti-corruption and anti-money laundering laws could subject us to penalties and other adverse consequences.</w:t>
      </w:r>
    </w:p>
    <w:p>
      <w:pPr>
        <w:spacing w:after="0" w:line="194"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83"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06"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in the Notes to Unaudited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and Unaudited Condensed Consolidated Financial Statements include those related to revenue recognition, allowances for doubtful accounts, the incremental borrowing rate related to our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1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3"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12"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112"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16" w:lineRule="exact"/>
        <w:rPr>
          <w:sz w:val="20"/>
          <w:szCs w:val="20"/>
          <w:color w:val="auto"/>
        </w:rPr>
      </w:pPr>
    </w:p>
    <w:p>
      <w:pPr>
        <w:ind w:right="360" w:firstLine="486"/>
        <w:spacing w:after="0" w:line="272"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3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with a distributed workforce facing increasingly complex tax issues in many jurisdictions and we could be obligated to pay additional taxes in various jurisdictions.</w:t>
      </w:r>
    </w:p>
    <w:p>
      <w:pPr>
        <w:spacing w:after="0" w:line="11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1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spacing w:after="0" w:line="134"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recently enacted Inflation Reduction Act (“IRA”). The Company has determined that it is not currently subject to the tax effects of the IRA, which includes a corporate alternative minimum tax and an excise tax on stock buybacks. In addition, the Organisation for Economic Co-operation and Development (the “OECD”), has issued guidelines that change long-standing tax principles and may introduce tax uncertainty as countries amend their tax laws to adopt certain parts of the guidelines. In December 2022, the European Union (“EU”) reached unanimous agreement, in principle, to implement the global minimum tax. EU members will be required to institute local laws in 2023, which are intended to be effective for tax years beginning after 2023. Additional changes to global tax laws are likely to occur, and such changes may adversely affect our tax liability.</w:t>
      </w:r>
    </w:p>
    <w:p>
      <w:pPr>
        <w:spacing w:after="0" w:line="114" w:lineRule="exact"/>
        <w:rPr>
          <w:sz w:val="20"/>
          <w:szCs w:val="20"/>
          <w:color w:val="auto"/>
        </w:rPr>
      </w:pPr>
    </w:p>
    <w:p>
      <w:pPr>
        <w:jc w:val="both"/>
        <w:ind w:right="560" w:firstLine="486"/>
        <w:spacing w:after="0" w:line="263" w:lineRule="auto"/>
        <w:rPr>
          <w:sz w:val="20"/>
          <w:szCs w:val="20"/>
          <w:color w:val="auto"/>
        </w:rPr>
      </w:pPr>
      <w:r>
        <w:rPr>
          <w:rFonts w:ascii="Arial" w:cs="Arial" w:eastAsia="Arial" w:hAnsi="Arial"/>
          <w:sz w:val="18"/>
          <w:szCs w:val="18"/>
          <w:color w:val="auto"/>
        </w:rPr>
        <w:t>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71" w:lineRule="exact"/>
        <w:rPr>
          <w:sz w:val="20"/>
          <w:szCs w:val="20"/>
          <w:color w:val="auto"/>
        </w:rPr>
      </w:pPr>
    </w:p>
    <w:p>
      <w:pPr>
        <w:ind w:right="120" w:firstLine="486"/>
        <w:spacing w:after="0" w:line="291" w:lineRule="auto"/>
        <w:rPr>
          <w:sz w:val="20"/>
          <w:szCs w:val="20"/>
          <w:color w:val="auto"/>
        </w:rPr>
      </w:pPr>
      <w:r>
        <w:rPr>
          <w:rFonts w:ascii="Arial" w:cs="Arial" w:eastAsia="Arial" w:hAnsi="Arial"/>
          <w:sz w:val="16"/>
          <w:szCs w:val="16"/>
          <w:color w:val="auto"/>
        </w:rPr>
        <w:t>As of January 31, 2023,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9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70"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1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16"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70"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2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33" w:lineRule="exact"/>
        <w:rPr>
          <w:sz w:val="20"/>
          <w:szCs w:val="20"/>
          <w:color w:val="auto"/>
        </w:rPr>
      </w:pPr>
    </w:p>
    <w:p>
      <w:pPr>
        <w:ind w:right="420" w:firstLine="486"/>
        <w:spacing w:after="0" w:line="286" w:lineRule="auto"/>
        <w:rPr>
          <w:sz w:val="20"/>
          <w:szCs w:val="20"/>
          <w:color w:val="auto"/>
        </w:rPr>
      </w:pPr>
      <w:r>
        <w:rPr>
          <w:rFonts w:ascii="Arial" w:cs="Arial" w:eastAsia="Arial" w:hAnsi="Arial"/>
          <w:sz w:val="17"/>
          <w:szCs w:val="17"/>
          <w:color w:val="auto"/>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1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4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Our business is subject to the risks of earthquakes, fire, floods, pandemics and public health emergencies and other natural catastrophic events and to interruption by man-made problems such as power disruptions, security breaches or other security incidents, or terrorism.</w:t>
      </w:r>
    </w:p>
    <w:p>
      <w:pPr>
        <w:spacing w:after="0" w:line="92"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As of April 30, 2023, we have customers in over 100 countries and employees in over 25 countries. A significant natural disaster or man-made problem, such as an earthquake, fire, flood, an act of terrorism, the regional or global outbreak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20"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30" w:lineRule="exact"/>
        <w:rPr>
          <w:sz w:val="20"/>
          <w:szCs w:val="20"/>
          <w:color w:val="auto"/>
        </w:rPr>
      </w:pPr>
    </w:p>
    <w:p>
      <w:pPr>
        <w:jc w:val="both"/>
        <w:ind w:right="440" w:firstLine="486"/>
        <w:spacing w:after="0" w:line="263" w:lineRule="auto"/>
        <w:rPr>
          <w:sz w:val="20"/>
          <w:szCs w:val="20"/>
          <w:color w:val="auto"/>
        </w:rPr>
      </w:pPr>
      <w:r>
        <w:rPr>
          <w:rFonts w:ascii="Arial" w:cs="Arial" w:eastAsia="Arial" w:hAnsi="Arial"/>
          <w:sz w:val="18"/>
          <w:szCs w:val="18"/>
          <w:color w:val="auto"/>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our environmental, social, and governance activities and disclosures</w:t>
      </w:r>
      <w:r>
        <w:rPr>
          <w:rFonts w:ascii="Arial" w:cs="Arial" w:eastAsia="Arial" w:hAnsi="Arial"/>
          <w:sz w:val="18"/>
          <w:szCs w:val="18"/>
          <w:color w:val="auto"/>
        </w:rPr>
        <w:t>.</w:t>
      </w:r>
    </w:p>
    <w:p>
      <w:pPr>
        <w:spacing w:after="0" w:line="158" w:lineRule="exact"/>
        <w:rPr>
          <w:sz w:val="20"/>
          <w:szCs w:val="20"/>
          <w:color w:val="auto"/>
        </w:rPr>
      </w:pPr>
    </w:p>
    <w:p>
      <w:pPr>
        <w:jc w:val="both"/>
        <w:ind w:right="80" w:firstLine="486"/>
        <w:spacing w:after="0" w:line="243" w:lineRule="auto"/>
        <w:rPr>
          <w:sz w:val="20"/>
          <w:szCs w:val="20"/>
          <w:color w:val="auto"/>
        </w:rPr>
      </w:pPr>
      <w:r>
        <w:rPr>
          <w:rFonts w:ascii="Arial" w:cs="Arial" w:eastAsia="Arial" w:hAnsi="Arial"/>
          <w:sz w:val="18"/>
          <w:szCs w:val="18"/>
          <w:color w:val="auto"/>
        </w:rPr>
        <w:t>We are in the process of developing our sustainability initiatives. The implementation of such initiatives may require considerable investment and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w:t>
      </w:r>
    </w:p>
    <w:p>
      <w:pPr>
        <w:spacing w:after="0" w:line="134" w:lineRule="exact"/>
        <w:rPr>
          <w:sz w:val="20"/>
          <w:szCs w:val="20"/>
          <w:color w:val="auto"/>
        </w:rPr>
      </w:pPr>
    </w:p>
    <w:p>
      <w:pPr>
        <w:ind w:right="60" w:firstLine="486"/>
        <w:spacing w:after="0" w:line="237" w:lineRule="auto"/>
        <w:rPr>
          <w:sz w:val="20"/>
          <w:szCs w:val="20"/>
          <w:color w:val="auto"/>
        </w:rPr>
      </w:pPr>
      <w:r>
        <w:rPr>
          <w:rFonts w:ascii="Arial" w:cs="Arial" w:eastAsia="Arial" w:hAnsi="Arial"/>
          <w:sz w:val="18"/>
          <w:szCs w:val="18"/>
          <w:color w:val="auto"/>
        </w:rPr>
        <w:t>In addition, there is an increasing focus from regulators, certain investors and other stakeholders concerning environmental, social, and governance (“ESG”) matters, both in the United States and internationally. We communicate certain ESG-related initiatives and goals regarding environmental matters, diversity and other matters in our annually released Corporate Sustainability Report, on our website and elsewhere. Any of our current or future initiatives, goals and commitments could be difficult to achieve and costly to implement. We could fail to achieve, or be perceived to fail to achieve, our ESG-related initiatives, goals and commitments. In addition, we could be criticized for the timing, scope or nature of these initiatives, goals and commitments, or for any revisions to them.</w:t>
      </w:r>
    </w:p>
    <w:p>
      <w:pPr>
        <w:spacing w:after="0" w:line="137" w:lineRule="exact"/>
        <w:rPr>
          <w:sz w:val="20"/>
          <w:szCs w:val="20"/>
          <w:color w:val="auto"/>
        </w:rPr>
      </w:pPr>
    </w:p>
    <w:p>
      <w:pPr>
        <w:ind w:firstLine="486"/>
        <w:spacing w:after="0" w:line="241" w:lineRule="auto"/>
        <w:rPr>
          <w:sz w:val="20"/>
          <w:szCs w:val="20"/>
          <w:color w:val="auto"/>
        </w:rPr>
      </w:pPr>
      <w:r>
        <w:rPr>
          <w:rFonts w:ascii="Arial" w:cs="Arial" w:eastAsia="Arial" w:hAnsi="Arial"/>
          <w:sz w:val="18"/>
          <w:szCs w:val="18"/>
          <w:color w:val="auto"/>
        </w:rPr>
        <w:t>Additionally,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in the United States and elsewhere may be substantial. Furthermore, industry and market practices may further develop to become even more robust than what is required under any new laws and regulations, and we may have to expend significant efforts and resources to keep up with market trends and stay competitive among our peers.</w:t>
      </w:r>
    </w:p>
    <w:p>
      <w:pPr>
        <w:spacing w:after="0" w:line="13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Social, ethical and security issues relating to the use of new and evolving technologies, such as AI, in our offerings or partnerships may result in reputational harm and liability.</w:t>
      </w:r>
    </w:p>
    <w:p>
      <w:pPr>
        <w:spacing w:after="0" w:line="198" w:lineRule="exact"/>
        <w:rPr>
          <w:sz w:val="20"/>
          <w:szCs w:val="20"/>
          <w:color w:val="auto"/>
        </w:rPr>
      </w:pPr>
    </w:p>
    <w:p>
      <w:pPr>
        <w:ind w:right="180" w:firstLine="486"/>
        <w:spacing w:after="0" w:line="248" w:lineRule="auto"/>
        <w:rPr>
          <w:sz w:val="20"/>
          <w:szCs w:val="20"/>
          <w:color w:val="auto"/>
        </w:rPr>
      </w:pPr>
      <w:r>
        <w:rPr>
          <w:rFonts w:ascii="Arial" w:cs="Arial" w:eastAsia="Arial" w:hAnsi="Arial"/>
          <w:sz w:val="18"/>
          <w:szCs w:val="18"/>
          <w:color w:val="auto"/>
        </w:rPr>
        <w:t>Social, ethical and security issues relating to the use of new and evolving technologies such as AI in our offerings or partnerships, may result in reputational harm and liability, and may cause us to incur additional research and development costs to resolve such issues. As with many innovations, AI presents risks and challenges that could affect its adoption, and</w:t>
      </w:r>
    </w:p>
    <w:p>
      <w:pPr>
        <w:spacing w:after="0" w:line="200" w:lineRule="exact"/>
        <w:rPr>
          <w:sz w:val="20"/>
          <w:szCs w:val="20"/>
          <w:color w:val="auto"/>
        </w:rPr>
      </w:pPr>
    </w:p>
    <w:p>
      <w:pPr>
        <w:spacing w:after="0" w:line="36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therefore our business. If we enable or offer solutions that draw controversy due to their perceived or actual impact on society,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The rapid evolution of AI will require the application of resources to develop, test and maintain any potential offerings or partnerships to help ensure that AI is implemented ethically in order to minimize unintended, harmful impact.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trading price of our common stock has been and is likely to continue to be volatile, which could cause the value of our common stock to decline.</w:t>
      </w:r>
    </w:p>
    <w:p>
      <w:pPr>
        <w:spacing w:after="0" w:line="20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spacing w:after="0" w:line="11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acquisitions or other events by us or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how customers perceive the benefits of our product and future product offerings and releases;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large blocks of our common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data breach involving our software;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major catastrophic events in our domestic and foreign markets;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“flash crashes,” “freeze flashes” or other glitches that disrupt trading on the securities exchange on which we are listed.</w:t>
      </w:r>
    </w:p>
    <w:p>
      <w:pPr>
        <w:spacing w:after="0" w:line="17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03" w:lineRule="exact"/>
        <w:rPr>
          <w:sz w:val="20"/>
          <w:szCs w:val="20"/>
          <w:color w:val="auto"/>
        </w:rPr>
      </w:pPr>
    </w:p>
    <w:p>
      <w:pPr>
        <w:ind w:right="140" w:firstLine="486"/>
        <w:spacing w:after="0" w:line="251" w:lineRule="auto"/>
        <w:rPr>
          <w:sz w:val="20"/>
          <w:szCs w:val="20"/>
          <w:color w:val="auto"/>
        </w:rPr>
      </w:pPr>
      <w:r>
        <w:rPr>
          <w:rFonts w:ascii="Arial" w:cs="Arial" w:eastAsia="Arial" w:hAnsi="Arial"/>
          <w:sz w:val="17"/>
          <w:szCs w:val="17"/>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w:t>
      </w:r>
    </w:p>
    <w:p>
      <w:pPr>
        <w:spacing w:after="0" w:line="200" w:lineRule="exact"/>
        <w:rPr>
          <w:sz w:val="20"/>
          <w:szCs w:val="20"/>
          <w:color w:val="auto"/>
        </w:rPr>
      </w:pPr>
    </w:p>
    <w:p>
      <w:pPr>
        <w:spacing w:after="0" w:line="37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05"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 between Russia and Ukraine, severely diminished liquidity and credit availability, declines in consumer confidence, declines in economic growth, increases in unemployment rates, increases 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22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33"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1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171" w:lineRule="exact"/>
        <w:rPr>
          <w:sz w:val="20"/>
          <w:szCs w:val="20"/>
          <w:color w:val="auto"/>
        </w:rPr>
      </w:pPr>
    </w:p>
    <w:p>
      <w:pPr>
        <w:jc w:val="both"/>
        <w:ind w:right="240" w:firstLine="486"/>
        <w:spacing w:after="0" w:line="263" w:lineRule="auto"/>
        <w:rPr>
          <w:sz w:val="20"/>
          <w:szCs w:val="20"/>
          <w:color w:val="auto"/>
        </w:rPr>
      </w:pPr>
      <w:r>
        <w:rPr>
          <w:rFonts w:ascii="Arial" w:cs="Arial" w:eastAsia="Arial" w:hAnsi="Arial"/>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spacing w:after="0" w:line="13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116" w:lineRule="exact"/>
        <w:rPr>
          <w:sz w:val="20"/>
          <w:szCs w:val="20"/>
          <w:color w:val="auto"/>
        </w:rPr>
      </w:pPr>
    </w:p>
    <w:p>
      <w:pPr>
        <w:ind w:right="140" w:firstLine="486"/>
        <w:spacing w:after="0" w:line="269"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3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03"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95"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1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71" w:lineRule="exact"/>
        <w:rPr>
          <w:sz w:val="20"/>
          <w:szCs w:val="20"/>
          <w:color w:val="auto"/>
        </w:rPr>
      </w:pPr>
    </w:p>
    <w:p>
      <w:pPr>
        <w:ind w:right="80" w:firstLine="486"/>
        <w:spacing w:after="0" w:line="268" w:lineRule="auto"/>
        <w:rPr>
          <w:sz w:val="20"/>
          <w:szCs w:val="20"/>
          <w:color w:val="auto"/>
        </w:rPr>
      </w:pPr>
      <w:r>
        <w:rPr>
          <w:rFonts w:ascii="Arial" w:cs="Arial" w:eastAsia="Arial" w:hAnsi="Arial"/>
          <w:sz w:val="17"/>
          <w:szCs w:val="17"/>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r>
        <w:rPr>
          <w:rFonts w:ascii="Arial" w:cs="Arial" w:eastAsia="Arial" w:hAnsi="Arial"/>
          <w:sz w:val="17"/>
          <w:szCs w:val="17"/>
          <w:color w:val="212529"/>
        </w:rPr>
        <w:t>While the Delaware courts have</w:t>
      </w:r>
      <w:r>
        <w:rPr>
          <w:rFonts w:ascii="Arial" w:cs="Arial" w:eastAsia="Arial" w:hAnsi="Arial"/>
          <w:sz w:val="17"/>
          <w:szCs w:val="17"/>
          <w:color w:val="auto"/>
        </w:rPr>
        <w:t xml:space="preserve"> </w:t>
      </w:r>
      <w:r>
        <w:rPr>
          <w:rFonts w:ascii="Arial" w:cs="Arial" w:eastAsia="Arial" w:hAnsi="Arial"/>
          <w:sz w:val="17"/>
          <w:szCs w:val="17"/>
          <w:color w:val="212529"/>
        </w:rPr>
        <w:t>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Delaware law and our corporate charter and bylaws contain anti-takeover provisions that could delay or discourage takeover attempts that stockholders may consider favorable.</w:t>
      </w:r>
    </w:p>
    <w:p>
      <w:pPr>
        <w:spacing w:after="0" w:line="116" w:lineRule="exact"/>
        <w:rPr>
          <w:sz w:val="20"/>
          <w:szCs w:val="20"/>
          <w:color w:val="auto"/>
        </w:rPr>
      </w:pPr>
    </w:p>
    <w:p>
      <w:pPr>
        <w:jc w:val="both"/>
        <w:ind w:right="160" w:firstLine="486"/>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95" w:lineRule="exact"/>
        <w:rPr>
          <w:sz w:val="20"/>
          <w:szCs w:val="20"/>
          <w:color w:val="auto"/>
        </w:rPr>
      </w:pPr>
    </w:p>
    <w:p>
      <w:pPr>
        <w:ind w:left="660" w:right="4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jc w:val="both"/>
        <w:ind w:left="660" w:right="56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5" w:lineRule="exact"/>
        <w:rPr>
          <w:rFonts w:ascii="Arial" w:cs="Arial" w:eastAsia="Arial" w:hAnsi="Arial"/>
          <w:sz w:val="16"/>
          <w:szCs w:val="16"/>
          <w:color w:val="auto"/>
        </w:rPr>
      </w:pPr>
    </w:p>
    <w:p>
      <w:pPr>
        <w:ind w:left="660" w:right="72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left="660" w:right="7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75"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78" w:lineRule="exact"/>
        <w:rPr>
          <w:rFonts w:ascii="Arial" w:cs="Arial" w:eastAsia="Arial" w:hAnsi="Arial"/>
          <w:sz w:val="18"/>
          <w:szCs w:val="18"/>
          <w:color w:val="auto"/>
        </w:rPr>
      </w:pPr>
    </w:p>
    <w:p>
      <w:pPr>
        <w:ind w:left="660" w:right="60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15" w:lineRule="exact"/>
        <w:rPr>
          <w:rFonts w:ascii="Arial" w:cs="Arial" w:eastAsia="Arial" w:hAnsi="Arial"/>
          <w:sz w:val="16"/>
          <w:szCs w:val="16"/>
          <w:color w:val="auto"/>
        </w:rPr>
      </w:pPr>
    </w:p>
    <w:p>
      <w:pPr>
        <w:jc w:val="both"/>
        <w:ind w:left="660" w:right="32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30" w:lineRule="exact"/>
        <w:rPr>
          <w:sz w:val="20"/>
          <w:szCs w:val="20"/>
          <w:color w:val="auto"/>
        </w:rPr>
      </w:pPr>
    </w:p>
    <w:p>
      <w:pPr>
        <w:ind w:right="220" w:firstLine="486"/>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or the perception that they might occur, could cause the market price of our common stock to decline.</w:t>
      </w:r>
    </w:p>
    <w:p>
      <w:pPr>
        <w:spacing w:after="0" w:line="116" w:lineRule="exact"/>
        <w:rPr>
          <w:sz w:val="20"/>
          <w:szCs w:val="20"/>
          <w:color w:val="auto"/>
        </w:rPr>
      </w:pPr>
    </w:p>
    <w:p>
      <w:pPr>
        <w:ind w:right="520" w:firstLine="486"/>
        <w:spacing w:after="0" w:line="342" w:lineRule="auto"/>
        <w:rPr>
          <w:sz w:val="20"/>
          <w:szCs w:val="20"/>
          <w:color w:val="auto"/>
        </w:rPr>
      </w:pPr>
      <w:r>
        <w:rPr>
          <w:rFonts w:ascii="Arial" w:cs="Arial" w:eastAsia="Arial" w:hAnsi="Arial"/>
          <w:sz w:val="16"/>
          <w:szCs w:val="16"/>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7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w:t>
      </w:r>
    </w:p>
    <w:p>
      <w:pPr>
        <w:spacing w:after="0" w:line="134"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Furthermore, a substantial number of shares of our common stock is reserved for issuance upon the exercise of the 2026 Notes (as defined below). If we elect to satisfy our conversion obligation on the 2026 Notes solely in shares of our common stock upon conversion of the 2026 Notes, we will be required to deliver shares of our common stock, together with cash for any fractional share.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Notes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incurred a significant amount of debt and may in the future incur additional indebtedness. We may not have sufficient cash flow from our business to make payments on our substantial debt when due.</w:t>
      </w:r>
    </w:p>
    <w:p>
      <w:pPr>
        <w:spacing w:after="0" w:line="11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June and July 2018, we issued $300.0 million aggregate principal amount of 0.75% convertible senior notes due 2024 (the “2024 Notes”), which were redeemed on December 3, 2021, in a private placement and in January 2020, we issued $1.15 billion aggregate principal amount of 0.25% convertible senior notes due 2026 (the “2026 Notes” and, together with the 2024 Notes, the “Notes”) in a private placement and concurrently repurchased for cash approximately $210.0 million of the aggregate principal amount of the 2024 Notes.</w:t>
      </w:r>
    </w:p>
    <w:p>
      <w:pPr>
        <w:spacing w:after="0" w:line="133"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We may be required to use a substantial portion of our cash flows from operations to pay interest and principal on our indebtedness. Our ability to make scheduled payments of the principal of, to pay interest on or to refinance our indebtedness, including the 2026 Notes,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w:t>
      </w:r>
    </w:p>
    <w:p>
      <w:pPr>
        <w:spacing w:after="0" w:line="110"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In addition, we and our subsidiaries may incur substantial additional debt in the future, subject to the restrictions contained in our future debt agreements, some of which may be secured debt. We are not restricted under the terms of the indentures governing the 2026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Notes that could have the effect of diminishing our ability to make payments on the Notes when due. Additionally, weakness and volatility in capital markets and the economy, in general or as a result of macroeconomic conditions such as rising inflation, could limit our access to capital markets and increase our costs of borrowing.</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if triggered, may adversely affect our financial condition and operating results.</w:t>
      </w:r>
    </w:p>
    <w:p>
      <w:pPr>
        <w:spacing w:after="0" w:line="18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the event the conditional conversion feature of the 2026 Notes is triggered, holders of the 2026 Notes will be entitled to convert their 2026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We also may not have enough available cash or be able to obtain financing at the time the 2026 Notes mature. Our failure to pay any cash payable on future conversions of the 2026 Notes as required by the indenture would constitute a default under the indenture for the 2026 Notes. In addition, even if holders of 2026 Notes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24"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The conditional conversion feature of the 2026 Notes was not triggered during the three months ended April 30, 2023, as the last reported sale price of our common stock was not more than or equal to 130% of the applicable conversion price for each series of Notes for at least 20 trading days in the period of 30 consecutive trading days ending on April 28, 2023 (the last trading day of the fiscal quarter). Therefore, the 2026 Notes are not convertible at the option of the holders thereof, in whole or in part, from May 1, 2023 through July 31, 2023. Whether the 2026 Notes will be convertible following such fiscal quarter will depend on the continued satisfaction of this condition or another conversion condition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2026 Notes and our common stock.</w:t>
      </w:r>
    </w:p>
    <w:p>
      <w:pPr>
        <w:spacing w:after="0" w:line="171" w:lineRule="exact"/>
        <w:rPr>
          <w:sz w:val="20"/>
          <w:szCs w:val="20"/>
          <w:color w:val="auto"/>
        </w:rPr>
      </w:pPr>
    </w:p>
    <w:p>
      <w:pPr>
        <w:ind w:right="240" w:firstLine="486"/>
        <w:spacing w:after="0" w:line="296" w:lineRule="auto"/>
        <w:rPr>
          <w:sz w:val="20"/>
          <w:szCs w:val="20"/>
          <w:color w:val="auto"/>
        </w:rPr>
      </w:pPr>
      <w:r>
        <w:rPr>
          <w:rFonts w:ascii="Arial" w:cs="Arial" w:eastAsia="Arial" w:hAnsi="Arial"/>
          <w:sz w:val="16"/>
          <w:szCs w:val="16"/>
          <w:color w:val="auto"/>
        </w:rPr>
        <w:t>In connection with the pricing of the 2026 Notes, we entered into privately negotiated capped call transactions with certain counterparties. The capped call transactions cover, subject to customary adjustments, the number of shares of our common stock initially underlying the 2026 Notes. The capped call transactions are expected to offset the potential dilution to our common stock upon any conversion of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 including with certain investors in the 2026 Notes.</w:t>
      </w:r>
    </w:p>
    <w:p>
      <w:pPr>
        <w:spacing w:after="0" w:line="107"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2026 Notes (and are likely to do so on each exercise date of the capped call transactions, which are scheduled to occur during the observation period relating to any conversion of the 2026 Notes on or after October 15, 2025), or following any termination of any portion of the capped call transactions in connection with any repurchase, redemption or early conversions of the 2026 Notes or otherwise.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spacing w:after="0" w:line="200" w:lineRule="exact"/>
        <w:rPr>
          <w:sz w:val="20"/>
          <w:szCs w:val="20"/>
          <w:color w:val="auto"/>
        </w:rPr>
      </w:pPr>
    </w:p>
    <w:p>
      <w:pPr>
        <w:spacing w:after="0" w:line="35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4" w:name="page65"/>
    <w:bookmarkEnd w:id="64"/>
    <w:p>
      <w:pPr>
        <w:ind w:left="33"/>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ind w:left="4933"/>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3"/>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186" w:lineRule="exact"/>
        <w:rPr>
          <w:sz w:val="20"/>
          <w:szCs w:val="20"/>
          <w:color w:val="auto"/>
        </w:rPr>
      </w:pPr>
    </w:p>
    <w:p>
      <w:pPr>
        <w:ind w:left="533" w:right="6079" w:hanging="492"/>
        <w:spacing w:after="0" w:line="446" w:lineRule="auto"/>
        <w:tabs>
          <w:tab w:leader="none" w:pos="533"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ind w:left="533" w:right="8439" w:hanging="492"/>
        <w:spacing w:after="0" w:line="493" w:lineRule="auto"/>
        <w:tabs>
          <w:tab w:leader="none" w:pos="533"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Use of Proceeds </w:t>
      </w:r>
      <w:r>
        <w:rPr>
          <w:rFonts w:ascii="Arial" w:cs="Arial" w:eastAsia="Arial" w:hAnsi="Arial"/>
          <w:sz w:val="16"/>
          <w:szCs w:val="16"/>
          <w:color w:val="auto"/>
        </w:rPr>
        <w:t>None.</w:t>
      </w:r>
    </w:p>
    <w:p>
      <w:pPr>
        <w:ind w:left="533" w:right="6839" w:hanging="533"/>
        <w:spacing w:after="0" w:line="470" w:lineRule="auto"/>
        <w:tabs>
          <w:tab w:leader="none" w:pos="49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355" w:lineRule="exact"/>
        <w:rPr>
          <w:sz w:val="20"/>
          <w:szCs w:val="20"/>
          <w:color w:val="auto"/>
        </w:rPr>
      </w:pPr>
    </w:p>
    <w:p>
      <w:pPr>
        <w:ind w:left="33"/>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165" w:lineRule="exact"/>
        <w:rPr>
          <w:sz w:val="20"/>
          <w:szCs w:val="20"/>
          <w:color w:val="auto"/>
        </w:rPr>
      </w:pPr>
    </w:p>
    <w:p>
      <w:pPr>
        <w:ind w:left="493"/>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33"/>
        <w:spacing w:after="0"/>
        <w:rPr>
          <w:sz w:val="20"/>
          <w:szCs w:val="20"/>
          <w:color w:val="auto"/>
        </w:rPr>
      </w:pPr>
      <w:r>
        <w:rPr>
          <w:rFonts w:ascii="Arial" w:cs="Arial" w:eastAsia="Arial" w:hAnsi="Arial"/>
          <w:sz w:val="22"/>
          <w:szCs w:val="22"/>
          <w:b w:val="1"/>
          <w:bCs w:val="1"/>
          <w:color w:val="auto"/>
        </w:rPr>
        <w:t>ITEM 4. MINE SAFETY DISCLOSURES.</w:t>
      </w:r>
    </w:p>
    <w:p>
      <w:pPr>
        <w:spacing w:after="0" w:line="165" w:lineRule="exact"/>
        <w:rPr>
          <w:sz w:val="20"/>
          <w:szCs w:val="20"/>
          <w:color w:val="auto"/>
        </w:rPr>
      </w:pPr>
    </w:p>
    <w:p>
      <w:pPr>
        <w:ind w:left="493"/>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33"/>
        <w:spacing w:after="0"/>
        <w:rPr>
          <w:sz w:val="20"/>
          <w:szCs w:val="20"/>
          <w:color w:val="auto"/>
        </w:rPr>
      </w:pPr>
      <w:r>
        <w:rPr>
          <w:rFonts w:ascii="Arial" w:cs="Arial" w:eastAsia="Arial" w:hAnsi="Arial"/>
          <w:sz w:val="22"/>
          <w:szCs w:val="22"/>
          <w:b w:val="1"/>
          <w:bCs w:val="1"/>
          <w:color w:val="auto"/>
        </w:rPr>
        <w:t>ITEM 5. OTHER INFORMATION.</w:t>
      </w:r>
    </w:p>
    <w:p>
      <w:pPr>
        <w:spacing w:after="0" w:line="165" w:lineRule="exact"/>
        <w:rPr>
          <w:sz w:val="20"/>
          <w:szCs w:val="20"/>
          <w:color w:val="auto"/>
        </w:rPr>
      </w:pPr>
    </w:p>
    <w:p>
      <w:pPr>
        <w:ind w:left="493"/>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13"/>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173355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72"/>
          </w:cols>
          <w:pgMar w:left="287" w:top="134" w:right="1440"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ectPr>
          <w:pgSz w:w="11900" w:h="16838" w:orient="portrait"/>
          <w:cols w:equalWidth="0" w:num="1">
            <w:col w:w="11200"/>
          </w:cols>
          <w:pgMar w:left="320" w:top="134" w:right="379" w:bottom="1440" w:gutter="0" w:footer="0" w:header="0"/>
        </w:sect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20" w:type="dxa"/>
            <w:vAlign w:val="bottom"/>
            <w:gridSpan w:val="3"/>
          </w:tcPr>
          <w:p>
            <w:pPr>
              <w:ind w:left="6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74"/>
        </w:trPr>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000" w:type="dxa"/>
            <w:vAlign w:val="bottom"/>
          </w:tcPr>
          <w:p>
            <w:pPr>
              <w:ind w:left="280"/>
              <w:spacing w:after="0" w:line="133"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980" w:type="dxa"/>
            <w:vAlign w:val="bottom"/>
            <w:gridSpan w:val="1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4"/>
                <w:szCs w:val="14"/>
                <w:b w:val="1"/>
                <w:bCs w:val="1"/>
                <w:color w:val="auto"/>
              </w:rPr>
              <w:t>Form</w:t>
            </w:r>
          </w:p>
        </w:tc>
        <w:tc>
          <w:tcPr>
            <w:tcW w:w="1260" w:type="dxa"/>
            <w:vAlign w:val="bottom"/>
          </w:tcPr>
          <w:p>
            <w:pPr>
              <w:ind w:left="220"/>
              <w:spacing w:after="0" w:line="133" w:lineRule="exact"/>
              <w:rPr>
                <w:sz w:val="20"/>
                <w:szCs w:val="20"/>
                <w:color w:val="auto"/>
              </w:rPr>
            </w:pPr>
            <w:r>
              <w:rPr>
                <w:rFonts w:ascii="Arial" w:cs="Arial" w:eastAsia="Arial" w:hAnsi="Arial"/>
                <w:sz w:val="14"/>
                <w:szCs w:val="14"/>
                <w:b w:val="1"/>
                <w:bCs w:val="1"/>
                <w:color w:val="auto"/>
              </w:rPr>
              <w:t>File No.</w:t>
            </w:r>
          </w:p>
        </w:tc>
        <w:tc>
          <w:tcPr>
            <w:tcW w:w="760" w:type="dxa"/>
            <w:vAlign w:val="bottom"/>
          </w:tcPr>
          <w:p>
            <w:pPr>
              <w:ind w:left="180"/>
              <w:spacing w:after="0" w:line="133" w:lineRule="exact"/>
              <w:rPr>
                <w:sz w:val="20"/>
                <w:szCs w:val="20"/>
                <w:color w:val="auto"/>
              </w:rPr>
            </w:pPr>
            <w:r>
              <w:rPr>
                <w:rFonts w:ascii="Arial" w:cs="Arial" w:eastAsia="Arial" w:hAnsi="Arial"/>
                <w:sz w:val="14"/>
                <w:szCs w:val="14"/>
                <w:b w:val="1"/>
                <w:bCs w:val="1"/>
                <w:color w:val="auto"/>
              </w:rPr>
              <w:t>Exhibit</w:t>
            </w:r>
          </w:p>
        </w:tc>
        <w:tc>
          <w:tcPr>
            <w:tcW w:w="1400" w:type="dxa"/>
            <w:vAlign w:val="bottom"/>
          </w:tcPr>
          <w:p>
            <w:pPr>
              <w:ind w:left="140"/>
              <w:spacing w:after="0" w:line="133" w:lineRule="exact"/>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92"/>
        </w:trPr>
        <w:tc>
          <w:tcPr>
            <w:tcW w:w="10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980" w:type="dxa"/>
            <w:vAlign w:val="bottom"/>
            <w:gridSpan w:val="13"/>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00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13"/>
          </w:tcPr>
          <w:p>
            <w:pPr>
              <w:spacing w:after="0"/>
              <w:rPr>
                <w:rFonts w:ascii="Arial" w:cs="Arial" w:eastAsia="Arial" w:hAnsi="Arial"/>
                <w:sz w:val="18"/>
                <w:szCs w:val="18"/>
                <w:color w:val="0000FF"/>
                <w:w w:val="96"/>
              </w:rPr>
            </w:pPr>
            <w:hyperlink r:id="rId142">
              <w:r>
                <w:rPr>
                  <w:rFonts w:ascii="Arial" w:cs="Arial" w:eastAsia="Arial" w:hAnsi="Arial"/>
                  <w:sz w:val="18"/>
                  <w:szCs w:val="18"/>
                  <w:color w:val="0000FF"/>
                  <w:w w:val="96"/>
                </w:rPr>
                <w:t>Amended and Restated Certificate of Incorporation of Registrant</w:t>
              </w:r>
            </w:hyperlink>
          </w:p>
        </w:tc>
        <w:tc>
          <w:tcPr>
            <w:tcW w:w="12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260" w:type="dxa"/>
            <w:vAlign w:val="bottom"/>
          </w:tcPr>
          <w:p>
            <w:pPr>
              <w:ind w:left="220"/>
              <w:spacing w:after="0"/>
              <w:rPr>
                <w:sz w:val="20"/>
                <w:szCs w:val="20"/>
                <w:color w:val="auto"/>
              </w:rPr>
            </w:pPr>
            <w:r>
              <w:rPr>
                <w:rFonts w:ascii="Arial" w:cs="Arial" w:eastAsia="Arial" w:hAnsi="Arial"/>
                <w:sz w:val="18"/>
                <w:szCs w:val="18"/>
                <w:color w:val="auto"/>
              </w:rPr>
              <w:t>001-38240</w:t>
            </w:r>
          </w:p>
        </w:tc>
        <w:tc>
          <w:tcPr>
            <w:tcW w:w="760" w:type="dxa"/>
            <w:vAlign w:val="bottom"/>
          </w:tcPr>
          <w:p>
            <w:pPr>
              <w:ind w:left="180"/>
              <w:spacing w:after="0"/>
              <w:rPr>
                <w:sz w:val="20"/>
                <w:szCs w:val="20"/>
                <w:color w:val="auto"/>
              </w:rPr>
            </w:pPr>
            <w:r>
              <w:rPr>
                <w:rFonts w:ascii="Arial" w:cs="Arial" w:eastAsia="Arial" w:hAnsi="Arial"/>
                <w:sz w:val="18"/>
                <w:szCs w:val="18"/>
                <w:color w:val="auto"/>
              </w:rPr>
              <w:t>3.1</w:t>
            </w:r>
          </w:p>
        </w:tc>
        <w:tc>
          <w:tcPr>
            <w:tcW w:w="1400" w:type="dxa"/>
            <w:vAlign w:val="bottom"/>
          </w:tcPr>
          <w:p>
            <w:pPr>
              <w:ind w:left="140"/>
              <w:spacing w:after="0"/>
              <w:rPr>
                <w:sz w:val="20"/>
                <w:szCs w:val="20"/>
                <w:color w:val="auto"/>
              </w:rPr>
            </w:pPr>
            <w:r>
              <w:rPr>
                <w:rFonts w:ascii="Arial" w:cs="Arial" w:eastAsia="Arial" w:hAnsi="Arial"/>
                <w:sz w:val="18"/>
                <w:szCs w:val="18"/>
                <w:color w:val="auto"/>
              </w:rPr>
              <w:t>10/25/2017</w:t>
            </w:r>
          </w:p>
        </w:tc>
        <w:tc>
          <w:tcPr>
            <w:tcW w:w="0" w:type="dxa"/>
            <w:vAlign w:val="bottom"/>
          </w:tcPr>
          <w:p>
            <w:pPr>
              <w:spacing w:after="0"/>
              <w:rPr>
                <w:sz w:val="1"/>
                <w:szCs w:val="1"/>
                <w:color w:val="auto"/>
              </w:rPr>
            </w:pPr>
          </w:p>
        </w:tc>
      </w:tr>
      <w:tr>
        <w:trPr>
          <w:trHeight w:val="304"/>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r:id="rId143">
              <w:r>
                <w:rPr>
                  <w:rFonts w:ascii="Arial" w:cs="Arial" w:eastAsia="Arial" w:hAnsi="Arial"/>
                  <w:sz w:val="18"/>
                  <w:szCs w:val="18"/>
                  <w:color w:val="0000FF"/>
                  <w:w w:val="91"/>
                </w:rPr>
                <w:t>Certificate of Retirement</w:t>
              </w:r>
            </w:hyperlink>
          </w:p>
        </w:tc>
        <w:tc>
          <w:tcPr>
            <w:tcW w:w="2860" w:type="dxa"/>
            <w:vAlign w:val="bottom"/>
            <w:tcBorders>
              <w:top w:val="single" w:sz="8" w:color="0000FF"/>
            </w:tcBorders>
            <w:gridSpan w:val="3"/>
          </w:tcPr>
          <w:p>
            <w:pPr>
              <w:spacing w:after="0"/>
              <w:rPr>
                <w:sz w:val="24"/>
                <w:szCs w:val="24"/>
                <w:color w:val="auto"/>
              </w:rPr>
            </w:pPr>
          </w:p>
        </w:tc>
        <w:tc>
          <w:tcPr>
            <w:tcW w:w="32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260" w:type="dxa"/>
            <w:vAlign w:val="bottom"/>
          </w:tcPr>
          <w:p>
            <w:pPr>
              <w:ind w:left="220"/>
              <w:spacing w:after="0"/>
              <w:rPr>
                <w:sz w:val="20"/>
                <w:szCs w:val="20"/>
                <w:color w:val="auto"/>
              </w:rPr>
            </w:pPr>
            <w:r>
              <w:rPr>
                <w:rFonts w:ascii="Arial" w:cs="Arial" w:eastAsia="Arial" w:hAnsi="Arial"/>
                <w:sz w:val="18"/>
                <w:szCs w:val="18"/>
                <w:color w:val="auto"/>
              </w:rPr>
              <w:t>001-38240</w:t>
            </w:r>
          </w:p>
        </w:tc>
        <w:tc>
          <w:tcPr>
            <w:tcW w:w="760" w:type="dxa"/>
            <w:vAlign w:val="bottom"/>
          </w:tcPr>
          <w:p>
            <w:pPr>
              <w:ind w:left="180"/>
              <w:spacing w:after="0"/>
              <w:rPr>
                <w:sz w:val="20"/>
                <w:szCs w:val="20"/>
                <w:color w:val="auto"/>
              </w:rPr>
            </w:pPr>
            <w:r>
              <w:rPr>
                <w:rFonts w:ascii="Arial" w:cs="Arial" w:eastAsia="Arial" w:hAnsi="Arial"/>
                <w:sz w:val="18"/>
                <w:szCs w:val="18"/>
                <w:color w:val="auto"/>
              </w:rPr>
              <w:t>3.1</w:t>
            </w:r>
          </w:p>
        </w:tc>
        <w:tc>
          <w:tcPr>
            <w:tcW w:w="1400" w:type="dxa"/>
            <w:vAlign w:val="bottom"/>
          </w:tcPr>
          <w:p>
            <w:pPr>
              <w:ind w:left="140"/>
              <w:spacing w:after="0"/>
              <w:rPr>
                <w:sz w:val="20"/>
                <w:szCs w:val="20"/>
                <w:color w:val="auto"/>
              </w:rPr>
            </w:pPr>
            <w:r>
              <w:rPr>
                <w:rFonts w:ascii="Arial" w:cs="Arial" w:eastAsia="Arial" w:hAnsi="Arial"/>
                <w:sz w:val="18"/>
                <w:szCs w:val="18"/>
                <w:color w:val="auto"/>
              </w:rPr>
              <w:t>6/16/2020</w:t>
            </w:r>
          </w:p>
        </w:tc>
        <w:tc>
          <w:tcPr>
            <w:tcW w:w="0" w:type="dxa"/>
            <w:vAlign w:val="bottom"/>
          </w:tcPr>
          <w:p>
            <w:pPr>
              <w:spacing w:after="0"/>
              <w:rPr>
                <w:sz w:val="1"/>
                <w:szCs w:val="1"/>
                <w:color w:val="auto"/>
              </w:rPr>
            </w:pPr>
          </w:p>
        </w:tc>
      </w:tr>
      <w:tr>
        <w:trPr>
          <w:trHeight w:val="263"/>
        </w:trPr>
        <w:tc>
          <w:tcPr>
            <w:tcW w:w="100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40" w:type="dxa"/>
            <w:vAlign w:val="bottom"/>
            <w:tcBorders>
              <w:bottom w:val="single" w:sz="8" w:color="0000FF"/>
            </w:tcBorders>
            <w:gridSpan w:val="4"/>
          </w:tcPr>
          <w:p>
            <w:pPr>
              <w:spacing w:after="0"/>
              <w:rPr>
                <w:rFonts w:ascii="Arial" w:cs="Arial" w:eastAsia="Arial" w:hAnsi="Arial"/>
                <w:sz w:val="18"/>
                <w:szCs w:val="18"/>
                <w:color w:val="0000FF"/>
                <w:w w:val="89"/>
              </w:rPr>
            </w:pPr>
            <w:hyperlink r:id="rId144">
              <w:r>
                <w:rPr>
                  <w:rFonts w:ascii="Arial" w:cs="Arial" w:eastAsia="Arial" w:hAnsi="Arial"/>
                  <w:sz w:val="18"/>
                  <w:szCs w:val="18"/>
                  <w:color w:val="0000FF"/>
                  <w:w w:val="89"/>
                </w:rPr>
                <w:t>Amended and Restated Bylaws of Registrant</w:t>
              </w:r>
            </w:hyperlink>
          </w:p>
        </w:tc>
        <w:tc>
          <w:tcPr>
            <w:tcW w:w="1740" w:type="dxa"/>
            <w:vAlign w:val="bottom"/>
            <w:gridSpan w:val="9"/>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260" w:type="dxa"/>
            <w:vAlign w:val="bottom"/>
          </w:tcPr>
          <w:p>
            <w:pPr>
              <w:ind w:left="220"/>
              <w:spacing w:after="0"/>
              <w:rPr>
                <w:sz w:val="20"/>
                <w:szCs w:val="20"/>
                <w:color w:val="auto"/>
              </w:rPr>
            </w:pPr>
            <w:r>
              <w:rPr>
                <w:rFonts w:ascii="Arial" w:cs="Arial" w:eastAsia="Arial" w:hAnsi="Arial"/>
                <w:sz w:val="18"/>
                <w:szCs w:val="18"/>
                <w:color w:val="auto"/>
              </w:rPr>
              <w:t>333-220557</w:t>
            </w:r>
          </w:p>
        </w:tc>
        <w:tc>
          <w:tcPr>
            <w:tcW w:w="760" w:type="dxa"/>
            <w:vAlign w:val="bottom"/>
          </w:tcPr>
          <w:p>
            <w:pPr>
              <w:ind w:left="180"/>
              <w:spacing w:after="0"/>
              <w:rPr>
                <w:sz w:val="20"/>
                <w:szCs w:val="20"/>
                <w:color w:val="auto"/>
              </w:rPr>
            </w:pPr>
            <w:r>
              <w:rPr>
                <w:rFonts w:ascii="Arial" w:cs="Arial" w:eastAsia="Arial" w:hAnsi="Arial"/>
                <w:sz w:val="18"/>
                <w:szCs w:val="18"/>
                <w:color w:val="auto"/>
              </w:rPr>
              <w:t>3.4</w:t>
            </w:r>
          </w:p>
        </w:tc>
        <w:tc>
          <w:tcPr>
            <w:tcW w:w="1400" w:type="dxa"/>
            <w:vAlign w:val="bottom"/>
          </w:tcPr>
          <w:p>
            <w:pPr>
              <w:ind w:left="140"/>
              <w:spacing w:after="0"/>
              <w:rPr>
                <w:sz w:val="20"/>
                <w:szCs w:val="20"/>
                <w:color w:val="auto"/>
              </w:rPr>
            </w:pPr>
            <w:r>
              <w:rPr>
                <w:rFonts w:ascii="Arial" w:cs="Arial" w:eastAsia="Arial" w:hAnsi="Arial"/>
                <w:sz w:val="18"/>
                <w:szCs w:val="18"/>
                <w:color w:val="auto"/>
              </w:rPr>
              <w:t>9/21/2017</w:t>
            </w: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0000FF"/>
                <w:w w:val="91"/>
              </w:rPr>
              <w:t>Addendum to Employment Agreement, dated February 22, 2023, by</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89"/>
              </w:rPr>
              <w:t>and between the Registrant and Mark Porter</w:t>
            </w:r>
          </w:p>
        </w:tc>
        <w:tc>
          <w:tcPr>
            <w:tcW w:w="17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0000FF"/>
                <w:w w:val="95"/>
              </w:rPr>
              <w:t>Certification of Principal Executive Officer Pursuant to Rules 13a-</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9"/>
          </w:tcPr>
          <w:p>
            <w:pPr>
              <w:spacing w:after="0" w:line="169" w:lineRule="exact"/>
              <w:rPr>
                <w:sz w:val="20"/>
                <w:szCs w:val="20"/>
                <w:color w:val="auto"/>
              </w:rPr>
            </w:pPr>
            <w:r>
              <w:rPr>
                <w:rFonts w:ascii="Arial" w:cs="Arial" w:eastAsia="Arial" w:hAnsi="Arial"/>
                <w:sz w:val="18"/>
                <w:szCs w:val="18"/>
                <w:color w:val="0000FF"/>
                <w:w w:val="89"/>
              </w:rPr>
              <w:t>14(a) and 15d-14(a) under the Securities Exchange Act of 1934, as</w:t>
            </w: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2"/>
              </w:rPr>
              <w:t>Certification of Principal Financial Officer Pursuant to Rules 13a-</w:t>
            </w:r>
          </w:p>
        </w:tc>
        <w:tc>
          <w:tcPr>
            <w:tcW w:w="220" w:type="dxa"/>
            <w:vAlign w:val="bottom"/>
            <w:gridSpan w:val="5"/>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bottom w:val="single" w:sz="8" w:color="0000FF"/>
            </w:tcBorders>
            <w:gridSpan w:val="9"/>
          </w:tcPr>
          <w:p>
            <w:pPr>
              <w:spacing w:after="0" w:line="169" w:lineRule="exact"/>
              <w:rPr>
                <w:sz w:val="20"/>
                <w:szCs w:val="20"/>
                <w:color w:val="auto"/>
              </w:rPr>
            </w:pPr>
            <w:r>
              <w:rPr>
                <w:rFonts w:ascii="Arial" w:cs="Arial" w:eastAsia="Arial" w:hAnsi="Arial"/>
                <w:sz w:val="18"/>
                <w:szCs w:val="18"/>
                <w:color w:val="0000FF"/>
                <w:w w:val="89"/>
              </w:rPr>
              <w:t>14(a) and 15d-14(a) under the Securities Exchange Act of 1934, as</w:t>
            </w:r>
          </w:p>
        </w:tc>
        <w:tc>
          <w:tcPr>
            <w:tcW w:w="18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0000FF"/>
                <w:w w:val="97"/>
              </w:rPr>
              <w:t>Certification of Principal Executive Officer Pursuant to 18 U.S.C.</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88"/>
              </w:rPr>
              <w:t>Section 1350, as Adopted Pursuant to Section 906 of the Sarbanes</w:t>
            </w:r>
          </w:p>
        </w:tc>
        <w:tc>
          <w:tcPr>
            <w:tcW w:w="80" w:type="dxa"/>
            <w:vAlign w:val="bottom"/>
            <w:tcBorders>
              <w:bottom w:val="single" w:sz="8" w:color="0000FF"/>
            </w:tcBorders>
            <w:gridSpan w:val="3"/>
          </w:tcPr>
          <w:p>
            <w:pPr>
              <w:jc w:val="right"/>
              <w:spacing w:after="0" w:line="169" w:lineRule="exact"/>
              <w:rPr>
                <w:sz w:val="20"/>
                <w:szCs w:val="20"/>
                <w:color w:val="auto"/>
              </w:rPr>
            </w:pPr>
            <w:r>
              <w:rPr>
                <w:rFonts w:ascii="Arial" w:cs="Arial" w:eastAsia="Arial" w:hAnsi="Arial"/>
                <w:sz w:val="18"/>
                <w:szCs w:val="18"/>
                <w:color w:val="0000FF"/>
                <w:w w:val="99"/>
              </w:rPr>
              <w:t>-</w:t>
            </w:r>
          </w:p>
        </w:tc>
        <w:tc>
          <w:tcPr>
            <w:tcW w:w="1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92"/>
              </w:rPr>
              <w:t>Oxley Act of 2002</w:t>
            </w:r>
          </w:p>
        </w:tc>
        <w:tc>
          <w:tcPr>
            <w:tcW w:w="3480" w:type="dxa"/>
            <w:vAlign w:val="bottom"/>
            <w:gridSpan w:val="9"/>
          </w:tcPr>
          <w:p>
            <w:pPr>
              <w:spacing w:after="0"/>
              <w:rPr>
                <w:sz w:val="13"/>
                <w:szCs w:val="13"/>
                <w:color w:val="auto"/>
              </w:rPr>
            </w:pPr>
          </w:p>
        </w:tc>
        <w:tc>
          <w:tcPr>
            <w:tcW w:w="1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0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0000FF"/>
                <w:w w:val="98"/>
              </w:rPr>
              <w:t>Certification of Principal Financial Officer Pursuant to 18 U.S.C.</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87"/>
              </w:rPr>
              <w:t>Section 1350, as Adopted Pursuant to Section 906 of the Sarbanes</w:t>
            </w:r>
          </w:p>
        </w:tc>
        <w:tc>
          <w:tcPr>
            <w:tcW w:w="300" w:type="dxa"/>
            <w:vAlign w:val="bottom"/>
            <w:gridSpan w:val="7"/>
          </w:tcPr>
          <w:p>
            <w:pPr>
              <w:jc w:val="right"/>
              <w:ind w:right="160"/>
              <w:spacing w:after="0" w:line="169" w:lineRule="exact"/>
              <w:rPr>
                <w:sz w:val="20"/>
                <w:szCs w:val="20"/>
                <w:color w:val="auto"/>
              </w:rPr>
            </w:pPr>
            <w:r>
              <w:rPr>
                <w:rFonts w:ascii="Arial" w:cs="Arial" w:eastAsia="Arial" w:hAnsi="Arial"/>
                <w:sz w:val="18"/>
                <w:szCs w:val="18"/>
                <w:color w:val="0000FF"/>
              </w:rPr>
              <w: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2"/>
              </w:rPr>
              <w:t>Oxley Act of 2002</w:t>
            </w:r>
          </w:p>
        </w:tc>
        <w:tc>
          <w:tcPr>
            <w:tcW w:w="3480" w:type="dxa"/>
            <w:vAlign w:val="bottom"/>
            <w:tcBorders>
              <w:top w:val="single" w:sz="8" w:color="0000FF"/>
            </w:tcBorders>
            <w:gridSpan w:val="9"/>
          </w:tcPr>
          <w:p>
            <w:pPr>
              <w:spacing w:after="0"/>
              <w:rPr>
                <w:sz w:val="13"/>
                <w:szCs w:val="13"/>
                <w:color w:val="auto"/>
              </w:rPr>
            </w:pPr>
          </w:p>
        </w:tc>
        <w:tc>
          <w:tcPr>
            <w:tcW w:w="1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rPr>
              <w:t>Inline XBRL Instance Document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0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w w:val="94"/>
              </w:rPr>
              <w:t>Inline XBRL Taxonomy Extension Calculation Linkbase Document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w w:val="96"/>
              </w:rPr>
              <w:t>Inline XBRL Taxonomy Extension Definition Linkbase Document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Arial" w:cs="Arial" w:eastAsia="Arial" w:hAnsi="Arial"/>
                <w:sz w:val="18"/>
                <w:szCs w:val="18"/>
                <w:color w:val="auto"/>
                <w:w w:val="92"/>
              </w:rPr>
              <w:t>Inline XBRL Taxonomy Extension Presentation Linkbase Document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40" w:right="5280" w:hanging="1114"/>
        <w:spacing w:after="0" w:line="246"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80645</wp:posOffset>
            </wp:positionV>
            <wp:extent cx="5575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303530</wp:posOffset>
            </wp:positionV>
            <wp:extent cx="5575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x</w:t>
      </w:r>
    </w:p>
    <w:p>
      <w:pPr>
        <w:spacing w:after="0" w:line="2695" w:lineRule="exact"/>
        <w:rPr>
          <w:sz w:val="20"/>
          <w:szCs w:val="20"/>
          <w:color w:val="auto"/>
        </w:rPr>
      </w:pPr>
    </w:p>
    <w:p>
      <w:pPr>
        <w:sectPr>
          <w:pgSz w:w="11900" w:h="16838" w:orient="portrait"/>
          <w:cols w:equalWidth="0" w:num="2">
            <w:col w:w="10240" w:space="280"/>
            <w:col w:w="680"/>
          </w:cols>
          <w:pgMar w:left="320" w:top="134" w:right="379" w:bottom="1440" w:gutter="0" w:footer="0" w:header="0"/>
          <w:type w:val="continuous"/>
        </w:sectPr>
      </w:pPr>
    </w:p>
    <w:p>
      <w:pPr>
        <w:ind w:left="1140" w:hanging="679"/>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36" w:lineRule="exact"/>
        <w:rPr>
          <w:sz w:val="20"/>
          <w:szCs w:val="20"/>
          <w:color w:val="auto"/>
        </w:rPr>
      </w:pPr>
    </w:p>
    <w:p>
      <w:pPr>
        <w:ind w:left="1140" w:hanging="679"/>
        <w:spacing w:after="0" w:line="224"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18"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6440" w:type="dxa"/>
            <w:vAlign w:val="bottom"/>
            <w:gridSpan w:val="3"/>
          </w:tcPr>
          <w:p>
            <w:pPr>
              <w:ind w:left="1260"/>
              <w:spacing w:after="0"/>
              <w:rPr>
                <w:sz w:val="20"/>
                <w:szCs w:val="20"/>
                <w:color w:val="auto"/>
              </w:rPr>
            </w:pPr>
            <w:r>
              <w:rPr>
                <w:rFonts w:ascii="Arial" w:cs="Arial" w:eastAsia="Arial" w:hAnsi="Arial"/>
                <w:sz w:val="18"/>
                <w:szCs w:val="18"/>
                <w:b w:val="1"/>
                <w:bCs w:val="1"/>
                <w:color w:val="auto"/>
              </w:rPr>
              <w:t>MONGODB, INC.</w:t>
            </w:r>
          </w:p>
        </w:tc>
      </w:tr>
      <w:tr>
        <w:trPr>
          <w:trHeight w:val="898"/>
        </w:trPr>
        <w:tc>
          <w:tcPr>
            <w:tcW w:w="2620" w:type="dxa"/>
            <w:vAlign w:val="bottom"/>
          </w:tcPr>
          <w:p>
            <w:pPr>
              <w:spacing w:after="0"/>
              <w:rPr>
                <w:sz w:val="20"/>
                <w:szCs w:val="20"/>
                <w:color w:val="auto"/>
              </w:rPr>
            </w:pPr>
            <w:r>
              <w:rPr>
                <w:rFonts w:ascii="Arial" w:cs="Arial" w:eastAsia="Arial" w:hAnsi="Arial"/>
                <w:sz w:val="18"/>
                <w:szCs w:val="18"/>
                <w:color w:val="auto"/>
              </w:rPr>
              <w:t>Date: June 2, 2023</w:t>
            </w:r>
          </w:p>
        </w:tc>
        <w:tc>
          <w:tcPr>
            <w:tcW w:w="2400" w:type="dxa"/>
            <w:vAlign w:val="bottom"/>
            <w:gridSpan w:val="2"/>
          </w:tcPr>
          <w:p>
            <w:pPr>
              <w:ind w:left="1260"/>
              <w:spacing w:after="0"/>
              <w:rPr>
                <w:sz w:val="20"/>
                <w:szCs w:val="20"/>
                <w:color w:val="auto"/>
              </w:rPr>
            </w:pPr>
            <w:r>
              <w:rPr>
                <w:rFonts w:ascii="Arial" w:cs="Arial" w:eastAsia="Arial" w:hAnsi="Arial"/>
                <w:sz w:val="18"/>
                <w:szCs w:val="18"/>
                <w:color w:val="auto"/>
              </w:rPr>
              <w:t>By:</w:t>
            </w:r>
          </w:p>
        </w:tc>
        <w:tc>
          <w:tcPr>
            <w:tcW w:w="4040" w:type="dxa"/>
            <w:vAlign w:val="bottom"/>
          </w:tcPr>
          <w:p>
            <w:pPr>
              <w:ind w:left="80"/>
              <w:spacing w:after="0"/>
              <w:rPr>
                <w:sz w:val="20"/>
                <w:szCs w:val="20"/>
                <w:color w:val="auto"/>
              </w:rPr>
            </w:pPr>
            <w:r>
              <w:rPr>
                <w:rFonts w:ascii="Arial" w:cs="Arial" w:eastAsia="Arial" w:hAnsi="Arial"/>
                <w:sz w:val="18"/>
                <w:szCs w:val="18"/>
                <w:color w:val="auto"/>
              </w:rPr>
              <w:t>/s/ Dev Ittycheria</w:t>
            </w:r>
          </w:p>
        </w:tc>
      </w:tr>
      <w:tr>
        <w:trPr>
          <w:trHeight w:val="257"/>
        </w:trPr>
        <w:tc>
          <w:tcPr>
            <w:tcW w:w="2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0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Dev Ittycheria</w:t>
            </w:r>
          </w:p>
        </w:tc>
      </w:tr>
      <w:tr>
        <w:trPr>
          <w:trHeight w:val="270"/>
        </w:trPr>
        <w:tc>
          <w:tcPr>
            <w:tcW w:w="2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0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2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1006"/>
        </w:trPr>
        <w:tc>
          <w:tcPr>
            <w:tcW w:w="2620" w:type="dxa"/>
            <w:vAlign w:val="bottom"/>
          </w:tcPr>
          <w:p>
            <w:pPr>
              <w:spacing w:after="0"/>
              <w:rPr>
                <w:sz w:val="24"/>
                <w:szCs w:val="24"/>
                <w:color w:val="auto"/>
              </w:rPr>
            </w:pPr>
          </w:p>
        </w:tc>
        <w:tc>
          <w:tcPr>
            <w:tcW w:w="2400" w:type="dxa"/>
            <w:vAlign w:val="bottom"/>
            <w:gridSpan w:val="2"/>
          </w:tcPr>
          <w:p>
            <w:pPr>
              <w:ind w:left="1260"/>
              <w:spacing w:after="0"/>
              <w:rPr>
                <w:sz w:val="20"/>
                <w:szCs w:val="20"/>
                <w:color w:val="auto"/>
              </w:rPr>
            </w:pPr>
            <w:r>
              <w:rPr>
                <w:rFonts w:ascii="Arial" w:cs="Arial" w:eastAsia="Arial" w:hAnsi="Arial"/>
                <w:sz w:val="18"/>
                <w:szCs w:val="18"/>
                <w:color w:val="auto"/>
              </w:rPr>
              <w:t>By:</w:t>
            </w:r>
          </w:p>
        </w:tc>
        <w:tc>
          <w:tcPr>
            <w:tcW w:w="4040" w:type="dxa"/>
            <w:vAlign w:val="bottom"/>
          </w:tcPr>
          <w:p>
            <w:pPr>
              <w:ind w:left="80"/>
              <w:spacing w:after="0"/>
              <w:rPr>
                <w:sz w:val="20"/>
                <w:szCs w:val="20"/>
                <w:color w:val="auto"/>
              </w:rPr>
            </w:pPr>
            <w:r>
              <w:rPr>
                <w:rFonts w:ascii="Arial" w:cs="Arial" w:eastAsia="Arial" w:hAnsi="Arial"/>
                <w:sz w:val="18"/>
                <w:szCs w:val="18"/>
                <w:color w:val="auto"/>
              </w:rPr>
              <w:t>/s/ Michael Gordon</w:t>
            </w:r>
          </w:p>
        </w:tc>
      </w:tr>
      <w:tr>
        <w:trPr>
          <w:trHeight w:val="257"/>
        </w:trPr>
        <w:tc>
          <w:tcPr>
            <w:tcW w:w="2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0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Michael Gordon</w:t>
            </w:r>
          </w:p>
        </w:tc>
      </w:tr>
      <w:tr>
        <w:trPr>
          <w:trHeight w:val="270"/>
        </w:trPr>
        <w:tc>
          <w:tcPr>
            <w:tcW w:w="2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040" w:type="dxa"/>
            <w:vAlign w:val="bottom"/>
          </w:tcPr>
          <w:p>
            <w:pPr>
              <w:ind w:left="80"/>
              <w:spacing w:after="0"/>
              <w:rPr>
                <w:sz w:val="20"/>
                <w:szCs w:val="20"/>
                <w:color w:val="auto"/>
              </w:rPr>
            </w:pPr>
            <w:r>
              <w:rPr>
                <w:rFonts w:ascii="Arial" w:cs="Arial" w:eastAsia="Arial" w:hAnsi="Arial"/>
                <w:sz w:val="18"/>
                <w:szCs w:val="18"/>
                <w:color w:val="auto"/>
                <w:w w:val="98"/>
              </w:rPr>
              <w:t>Chief Operating Officer and Chief Financial Officer</w:t>
            </w:r>
          </w:p>
        </w:tc>
      </w:tr>
      <w:tr>
        <w:trPr>
          <w:trHeight w:val="270"/>
        </w:trPr>
        <w:tc>
          <w:tcPr>
            <w:tcW w:w="2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4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34" w:right="3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2325370</wp:posOffset>
            </wp:positionH>
            <wp:positionV relativeFrom="page">
              <wp:posOffset>492125</wp:posOffset>
            </wp:positionV>
            <wp:extent cx="1619885" cy="4457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619885" cy="4457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Employment Agreement Addendum</w:t>
      </w:r>
    </w:p>
    <w:p>
      <w:pPr>
        <w:spacing w:after="0" w:line="200" w:lineRule="exact"/>
        <w:rPr>
          <w:sz w:val="20"/>
          <w:szCs w:val="20"/>
          <w:color w:val="auto"/>
        </w:rPr>
      </w:pPr>
    </w:p>
    <w:p>
      <w:pPr>
        <w:spacing w:after="0" w:line="35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Mark Porter [via email]</w:t>
      </w:r>
    </w:p>
    <w:p>
      <w:pPr>
        <w:spacing w:after="0" w:line="200" w:lineRule="exact"/>
        <w:rPr>
          <w:sz w:val="20"/>
          <w:szCs w:val="20"/>
          <w:color w:val="auto"/>
        </w:rPr>
      </w:pPr>
    </w:p>
    <w:p>
      <w:pPr>
        <w:spacing w:after="0" w:line="322" w:lineRule="exact"/>
        <w:rPr>
          <w:sz w:val="20"/>
          <w:szCs w:val="20"/>
          <w:color w:val="auto"/>
        </w:rPr>
      </w:pPr>
    </w:p>
    <w:p>
      <w:pPr>
        <w:ind w:left="100"/>
        <w:spacing w:after="0" w:line="293" w:lineRule="auto"/>
        <w:rPr>
          <w:sz w:val="20"/>
          <w:szCs w:val="20"/>
          <w:color w:val="auto"/>
        </w:rPr>
      </w:pPr>
      <w:r>
        <w:rPr>
          <w:rFonts w:ascii="Arial" w:cs="Arial" w:eastAsia="Arial" w:hAnsi="Arial"/>
          <w:sz w:val="18"/>
          <w:szCs w:val="18"/>
          <w:color w:val="auto"/>
        </w:rPr>
        <w:t>THIS ADDENDUM TO EMPLOYMENT AGREEMENT (the “Addendum”) is made and entered into as of the date written above by and between Mark Porter and MongoDB, Inc. (together, the “Parties”).</w:t>
      </w:r>
    </w:p>
    <w:p>
      <w:pPr>
        <w:spacing w:after="0" w:line="224" w:lineRule="exact"/>
        <w:rPr>
          <w:sz w:val="20"/>
          <w:szCs w:val="20"/>
          <w:color w:val="auto"/>
        </w:rPr>
      </w:pPr>
    </w:p>
    <w:p>
      <w:pPr>
        <w:ind w:left="100"/>
        <w:spacing w:after="0" w:line="293" w:lineRule="auto"/>
        <w:rPr>
          <w:sz w:val="20"/>
          <w:szCs w:val="20"/>
          <w:color w:val="auto"/>
        </w:rPr>
      </w:pPr>
      <w:r>
        <w:rPr>
          <w:rFonts w:ascii="Arial" w:cs="Arial" w:eastAsia="Arial" w:hAnsi="Arial"/>
          <w:sz w:val="18"/>
          <w:szCs w:val="18"/>
          <w:color w:val="auto"/>
        </w:rPr>
        <w:t>This Addendum amends and modifies as follows that certain Employment Agreement (as amended and/or supplemented and in effect from time to time, the “Employment Agreement”) dated December 21, 2021 and made and entered into by the parties hereto.</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Change in Location</w:t>
      </w:r>
    </w:p>
    <w:p>
      <w:pPr>
        <w:spacing w:after="0" w:line="333" w:lineRule="exact"/>
        <w:rPr>
          <w:sz w:val="20"/>
          <w:szCs w:val="20"/>
          <w:color w:val="auto"/>
        </w:rPr>
      </w:pPr>
    </w:p>
    <w:p>
      <w:pPr>
        <w:ind w:left="100"/>
        <w:spacing w:after="0" w:line="308" w:lineRule="auto"/>
        <w:rPr>
          <w:sz w:val="20"/>
          <w:szCs w:val="20"/>
          <w:color w:val="auto"/>
        </w:rPr>
      </w:pPr>
      <w:r>
        <w:rPr>
          <w:rFonts w:ascii="Arial" w:cs="Arial" w:eastAsia="Arial" w:hAnsi="Arial"/>
          <w:sz w:val="18"/>
          <w:szCs w:val="18"/>
          <w:color w:val="auto"/>
        </w:rPr>
        <w:t>As discussed between the Parties in December 2022, effective December 21, 2022, Mark Porter will be based out of MongoDB, Inc.’s Miami, Florida office on a hybrid workplace model consisting of a combination of in-office and remote workdays.</w:t>
      </w:r>
    </w:p>
    <w:p>
      <w:pPr>
        <w:spacing w:after="0" w:line="198" w:lineRule="exact"/>
        <w:rPr>
          <w:sz w:val="20"/>
          <w:szCs w:val="20"/>
          <w:color w:val="auto"/>
        </w:rPr>
      </w:pPr>
    </w:p>
    <w:p>
      <w:pPr>
        <w:ind w:left="100"/>
        <w:spacing w:after="0" w:line="308" w:lineRule="auto"/>
        <w:rPr>
          <w:sz w:val="20"/>
          <w:szCs w:val="20"/>
          <w:color w:val="auto"/>
        </w:rPr>
      </w:pPr>
      <w:r>
        <w:rPr>
          <w:rFonts w:ascii="Arial" w:cs="Arial" w:eastAsia="Arial" w:hAnsi="Arial"/>
          <w:sz w:val="18"/>
          <w:szCs w:val="18"/>
          <w:color w:val="auto"/>
        </w:rPr>
        <w:t>Except as expressly modified by this Addendum, the Parties agree that all terms and conditions of the Employment Agreement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WITNESS WHEREOF, the Parties have executed this Addendum on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w:t>
      </w:r>
    </w:p>
    <w:p>
      <w:pPr>
        <w:spacing w:after="0" w:line="18" w:lineRule="exact"/>
        <w:rPr>
          <w:sz w:val="20"/>
          <w:szCs w:val="20"/>
          <w:color w:val="auto"/>
        </w:rPr>
      </w:pPr>
    </w:p>
    <w:p>
      <w:pPr>
        <w:ind w:left="100"/>
        <w:spacing w:after="0"/>
        <w:tabs>
          <w:tab w:leader="none" w:pos="1280" w:val="left"/>
        </w:tabs>
        <w:rPr>
          <w:sz w:val="20"/>
          <w:szCs w:val="20"/>
          <w:color w:val="auto"/>
        </w:rPr>
      </w:pPr>
      <w:r>
        <w:rPr>
          <w:rFonts w:ascii="Arial" w:cs="Arial" w:eastAsia="Arial" w:hAnsi="Arial"/>
          <w:sz w:val="18"/>
          <w:szCs w:val="18"/>
          <w:color w:val="auto"/>
        </w:rPr>
        <w:t>Harsha Jalihal</w:t>
      </w:r>
      <w:r>
        <w:rPr>
          <w:sz w:val="20"/>
          <w:szCs w:val="20"/>
          <w:color w:val="auto"/>
        </w:rPr>
        <w:tab/>
      </w:r>
      <w:r>
        <w:rPr>
          <w:rFonts w:ascii="Arial" w:cs="Arial" w:eastAsia="Arial" w:hAnsi="Arial"/>
          <w:sz w:val="16"/>
          <w:szCs w:val="16"/>
          <w:color w:val="auto"/>
        </w:rPr>
        <w:t>Date</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People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w:t>
      </w:r>
    </w:p>
    <w:p>
      <w:pPr>
        <w:spacing w:after="0" w:line="18"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8"/>
          <w:szCs w:val="18"/>
          <w:color w:val="auto"/>
        </w:rPr>
        <w:t>Mark Porter</w:t>
      </w:r>
      <w:r>
        <w:rPr>
          <w:sz w:val="20"/>
          <w:szCs w:val="20"/>
          <w:color w:val="auto"/>
        </w:rPr>
        <w:tab/>
      </w:r>
      <w:r>
        <w:rPr>
          <w:rFonts w:ascii="Arial" w:cs="Arial" w:eastAsia="Arial" w:hAnsi="Arial"/>
          <w:sz w:val="16"/>
          <w:szCs w:val="16"/>
          <w:color w:val="auto"/>
        </w:rPr>
        <w:t>Date</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4920615" cy="8743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4920615" cy="87439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Dev Ittycheria, certify that:</w:t>
      </w:r>
    </w:p>
    <w:p>
      <w:pPr>
        <w:spacing w:after="0" w:line="25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MongoDB, Inc. (the “registrant”);</w:t>
      </w:r>
    </w:p>
    <w:p>
      <w:pPr>
        <w:spacing w:after="0" w:line="36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8"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1" w:lineRule="exact"/>
        <w:rPr>
          <w:rFonts w:ascii="Arial" w:cs="Arial" w:eastAsia="Arial" w:hAnsi="Arial"/>
          <w:sz w:val="17"/>
          <w:szCs w:val="17"/>
          <w:color w:val="auto"/>
        </w:rPr>
      </w:pPr>
    </w:p>
    <w:p>
      <w:pPr>
        <w:jc w:val="both"/>
        <w:ind w:left="660" w:right="14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8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8"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1040"/>
        <w:spacing w:after="0"/>
        <w:tabs>
          <w:tab w:leader="none" w:pos="5800" w:val="left"/>
          <w:tab w:leader="none" w:pos="7020" w:val="left"/>
        </w:tabs>
        <w:rPr>
          <w:sz w:val="20"/>
          <w:szCs w:val="20"/>
          <w:color w:val="auto"/>
        </w:rPr>
      </w:pPr>
      <w:r>
        <w:rPr>
          <w:rFonts w:ascii="Arial" w:cs="Arial" w:eastAsia="Arial" w:hAnsi="Arial"/>
          <w:sz w:val="18"/>
          <w:szCs w:val="18"/>
          <w:color w:val="auto"/>
        </w:rPr>
        <w:t>Date: June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23495</wp:posOffset>
            </wp:positionV>
            <wp:extent cx="24942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02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7"/>
          <w:szCs w:val="17"/>
          <w:color w:val="auto"/>
        </w:rPr>
        <w:t>Dev Ittycheria</w:t>
      </w:r>
    </w:p>
    <w:p>
      <w:pPr>
        <w:spacing w:after="0" w:line="63" w:lineRule="exact"/>
        <w:rPr>
          <w:sz w:val="20"/>
          <w:szCs w:val="20"/>
          <w:color w:val="auto"/>
        </w:rPr>
      </w:pPr>
    </w:p>
    <w:p>
      <w:pPr>
        <w:ind w:left="6340"/>
        <w:spacing w:after="0"/>
        <w:tabs>
          <w:tab w:leader="none" w:pos="70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Gordon, certify that:</w:t>
      </w:r>
    </w:p>
    <w:p>
      <w:pPr>
        <w:spacing w:after="0" w:line="25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MongoDB, Inc. (the “registrant”);</w:t>
      </w:r>
    </w:p>
    <w:p>
      <w:pPr>
        <w:spacing w:after="0" w:line="36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8"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1" w:lineRule="exact"/>
        <w:rPr>
          <w:rFonts w:ascii="Arial" w:cs="Arial" w:eastAsia="Arial" w:hAnsi="Arial"/>
          <w:sz w:val="17"/>
          <w:szCs w:val="17"/>
          <w:color w:val="auto"/>
        </w:rPr>
      </w:pPr>
    </w:p>
    <w:p>
      <w:pPr>
        <w:jc w:val="both"/>
        <w:ind w:left="660" w:right="14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80" w:hanging="324"/>
        <w:spacing w:after="0" w:line="263"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8"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1040"/>
        <w:spacing w:after="0"/>
        <w:tabs>
          <w:tab w:leader="none" w:pos="4980" w:val="left"/>
          <w:tab w:leader="none" w:pos="6200" w:val="left"/>
        </w:tabs>
        <w:rPr>
          <w:sz w:val="20"/>
          <w:szCs w:val="20"/>
          <w:color w:val="auto"/>
        </w:rPr>
      </w:pPr>
      <w:r>
        <w:rPr>
          <w:rFonts w:ascii="Arial" w:cs="Arial" w:eastAsia="Arial" w:hAnsi="Arial"/>
          <w:sz w:val="18"/>
          <w:szCs w:val="18"/>
          <w:color w:val="auto"/>
        </w:rPr>
        <w:t>Date: June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23495</wp:posOffset>
            </wp:positionV>
            <wp:extent cx="30086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53" w:lineRule="exact"/>
        <w:rPr>
          <w:sz w:val="20"/>
          <w:szCs w:val="20"/>
          <w:color w:val="auto"/>
        </w:rPr>
      </w:pPr>
    </w:p>
    <w:p>
      <w:pPr>
        <w:ind w:left="5520"/>
        <w:spacing w:after="0"/>
        <w:tabs>
          <w:tab w:leader="none" w:pos="62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Operating Officer and Chief Financial Officer</w:t>
      </w:r>
    </w:p>
    <w:p>
      <w:pPr>
        <w:spacing w:after="0" w:line="6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 Dev Ittycheria, certify, pursuant to 18 U.S.C. Section 1350, as adopted pursuant to Section 906 of the Sarbanes-Oxley Act of 2002, that the Quarterly Report on Form 10-Q of MongoDB, Inc. for the period ended April 30, 2023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60"/>
        <w:spacing w:after="0"/>
        <w:tabs>
          <w:tab w:leader="none" w:pos="5780" w:val="left"/>
          <w:tab w:leader="none" w:pos="7000" w:val="left"/>
        </w:tabs>
        <w:rPr>
          <w:sz w:val="20"/>
          <w:szCs w:val="20"/>
          <w:color w:val="auto"/>
        </w:rPr>
      </w:pPr>
      <w:r>
        <w:rPr>
          <w:rFonts w:ascii="Arial" w:cs="Arial" w:eastAsia="Arial" w:hAnsi="Arial"/>
          <w:sz w:val="18"/>
          <w:szCs w:val="18"/>
          <w:color w:val="auto"/>
        </w:rPr>
        <w:t>Date: June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24860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9" w:lineRule="exact"/>
        <w:rPr>
          <w:sz w:val="20"/>
          <w:szCs w:val="20"/>
          <w:color w:val="auto"/>
        </w:rPr>
      </w:pPr>
    </w:p>
    <w:p>
      <w:pPr>
        <w:ind w:left="6320"/>
        <w:spacing w:after="0"/>
        <w:tabs>
          <w:tab w:leader="none" w:pos="70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7"/>
          <w:szCs w:val="17"/>
          <w:color w:val="auto"/>
        </w:rPr>
        <w:t>Dev Ittycheria</w:t>
      </w:r>
    </w:p>
    <w:p>
      <w:pPr>
        <w:spacing w:after="0" w:line="63" w:lineRule="exact"/>
        <w:rPr>
          <w:sz w:val="20"/>
          <w:szCs w:val="20"/>
          <w:color w:val="auto"/>
        </w:rPr>
      </w:pPr>
    </w:p>
    <w:p>
      <w:pPr>
        <w:ind w:left="6320"/>
        <w:spacing w:after="0"/>
        <w:tabs>
          <w:tab w:leader="none" w:pos="70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7"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347"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Michael Gordon, certify, pursuant to 18 U.S.C. Section 1350, as adopted pursuant to Section 906 of the Sarbanes-Oxley Act of 2002, that the Quarterly Report on Form 10-Q of MongoDB, Inc. for the period ended April 30, 2023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40"/>
        <w:spacing w:after="0"/>
        <w:tabs>
          <w:tab w:leader="none" w:pos="4980" w:val="left"/>
          <w:tab w:leader="none" w:pos="6200" w:val="left"/>
        </w:tabs>
        <w:rPr>
          <w:sz w:val="20"/>
          <w:szCs w:val="20"/>
          <w:color w:val="auto"/>
        </w:rPr>
      </w:pPr>
      <w:r>
        <w:rPr>
          <w:rFonts w:ascii="Arial" w:cs="Arial" w:eastAsia="Arial" w:hAnsi="Arial"/>
          <w:sz w:val="18"/>
          <w:szCs w:val="18"/>
          <w:color w:val="auto"/>
        </w:rPr>
        <w:t>Date: June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14605</wp:posOffset>
            </wp:positionV>
            <wp:extent cx="30086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9" w:lineRule="exact"/>
        <w:rPr>
          <w:sz w:val="20"/>
          <w:szCs w:val="20"/>
          <w:color w:val="auto"/>
        </w:rPr>
      </w:pPr>
    </w:p>
    <w:p>
      <w:pPr>
        <w:ind w:left="5520"/>
        <w:spacing w:after="0"/>
        <w:tabs>
          <w:tab w:leader="none" w:pos="62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Michael Gordon</w:t>
      </w:r>
    </w:p>
    <w:p>
      <w:pPr>
        <w:spacing w:after="0" w:line="63" w:lineRule="exact"/>
        <w:rPr>
          <w:sz w:val="20"/>
          <w:szCs w:val="20"/>
          <w:color w:val="auto"/>
        </w:rPr>
      </w:pPr>
    </w:p>
    <w:p>
      <w:pPr>
        <w:ind w:left="5520"/>
        <w:spacing w:after="0"/>
        <w:tabs>
          <w:tab w:leader="none" w:pos="62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Operating Officer and Chief Financial Officer</w:t>
      </w:r>
    </w:p>
    <w:p>
      <w:pPr>
        <w:spacing w:after="0" w:line="6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347"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9"/>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96"/>
    </w:lvl>
  </w:abstractNum>
  <w:abstractNum w:abstractNumId="5">
    <w:nsid w:val="721DA317"/>
    <w:multiLevelType w:val="hybridMultilevel"/>
    <w:lvl w:ilvl="0">
      <w:lvlJc w:val="left"/>
      <w:lvlText w:val="%1"/>
      <w:numFmt w:val="decimal"/>
      <w:start w:val="21"/>
    </w:lvl>
  </w:abstractNum>
  <w:abstractNum w:abstractNumId="6">
    <w:nsid w:val="2443A858"/>
    <w:multiLevelType w:val="hybridMultilevel"/>
    <w:lvl w:ilvl="0">
      <w:lvlJc w:val="left"/>
      <w:lvlText w:val="%1"/>
      <w:numFmt w:val="decimal"/>
      <w:start w:val="26"/>
    </w:lvl>
  </w:abstractNum>
  <w:abstractNum w:abstractNumId="7">
    <w:nsid w:val="2D1D5AE9"/>
    <w:multiLevelType w:val="hybridMultilevel"/>
    <w:lvl w:ilvl="0">
      <w:lvlJc w:val="left"/>
      <w:lvlText w:val="%1"/>
      <w:numFmt w:val="decimal"/>
      <w:start w:val="74"/>
    </w:lvl>
  </w:abstractNum>
  <w:abstractNum w:abstractNumId="8">
    <w:nsid w:val="6763845E"/>
    <w:multiLevelType w:val="hybridMultilevel"/>
    <w:lvl w:ilvl="0">
      <w:lvlJc w:val="left"/>
      <w:lvlText w:val="%1"/>
      <w:numFmt w:val="decimal"/>
      <w:start w:val="50"/>
    </w:lvl>
  </w:abstractNum>
  <w:abstractNum w:abstractNumId="9">
    <w:nsid w:val="75A2A8D4"/>
    <w:multiLevelType w:val="hybridMultilevel"/>
    <w:lvl w:ilvl="0">
      <w:lvlJc w:val="left"/>
      <w:lvlText w:val="%1"/>
      <w:numFmt w:val="decimal"/>
      <w:start w:val="32"/>
    </w:lvl>
  </w:abstractNum>
  <w:abstractNum w:abstractNumId="10">
    <w:nsid w:val="8EDBDAB"/>
    <w:multiLevelType w:val="hybridMultilevel"/>
    <w:lvl w:ilvl="0">
      <w:lvlJc w:val="left"/>
      <w:lvlText w:val="%1"/>
      <w:numFmt w:val="decimal"/>
      <w:start w:val="11"/>
    </w:lvl>
  </w:abstractNum>
  <w:abstractNum w:abstractNumId="11">
    <w:nsid w:val="79838CB2"/>
    <w:multiLevelType w:val="hybridMultilevel"/>
    <w:lvl w:ilvl="0">
      <w:lvlJc w:val="left"/>
      <w:lvlText w:val="%1"/>
      <w:numFmt w:val="decimal"/>
      <w:start w:val="93"/>
    </w:lvl>
  </w:abstractNum>
  <w:abstractNum w:abstractNumId="12">
    <w:nsid w:val="4353D0CD"/>
    <w:multiLevelType w:val="hybridMultilevel"/>
    <w:lvl w:ilvl="0">
      <w:lvlJc w:val="left"/>
      <w:lvlText w:val="5"/>
      <w:numFmt w:val="bullet"/>
      <w:start w:val="1"/>
    </w:lvl>
  </w:abstractNum>
  <w:abstractNum w:abstractNumId="13">
    <w:nsid w:val="B03E0C6"/>
    <w:multiLevelType w:val="hybridMultilevel"/>
    <w:lvl w:ilvl="0">
      <w:lvlJc w:val="left"/>
      <w:lvlText w:val="%1"/>
      <w:numFmt w:val="decimal"/>
      <w:start w:val="96"/>
    </w:lvl>
  </w:abstractNum>
  <w:abstractNum w:abstractNumId="14">
    <w:nsid w:val="189A769B"/>
    <w:multiLevelType w:val="hybridMultilevel"/>
    <w:lvl w:ilvl="0">
      <w:lvlJc w:val="left"/>
      <w:lvlText w:val="%1"/>
      <w:numFmt w:val="decimal"/>
      <w:start w:val="22"/>
    </w:lvl>
  </w:abstractNum>
  <w:abstractNum w:abstractNumId="15">
    <w:nsid w:val="54E49EB4"/>
    <w:multiLevelType w:val="hybridMultilevel"/>
    <w:lvl w:ilvl="0">
      <w:lvlJc w:val="left"/>
      <w:lvlText w:val="%1"/>
      <w:numFmt w:val="decimal"/>
      <w:start w:val="27"/>
    </w:lvl>
  </w:abstractNum>
  <w:abstractNum w:abstractNumId="16">
    <w:nsid w:val="71F32454"/>
    <w:multiLevelType w:val="hybridMultilevel"/>
    <w:lvl w:ilvl="0">
      <w:lvlJc w:val="left"/>
      <w:lvlText w:val="%1"/>
      <w:numFmt w:val="decimal"/>
      <w:start w:val="73"/>
    </w:lvl>
  </w:abstractNum>
  <w:abstractNum w:abstractNumId="17">
    <w:nsid w:val="2CA88611"/>
    <w:multiLevelType w:val="hybridMultilevel"/>
    <w:lvl w:ilvl="0">
      <w:lvlJc w:val="left"/>
      <w:lvlText w:val="%1"/>
      <w:numFmt w:val="decimal"/>
      <w:start w:val="53"/>
    </w:lvl>
  </w:abstractNum>
  <w:abstractNum w:abstractNumId="18">
    <w:nsid w:val="836C40E"/>
    <w:multiLevelType w:val="hybridMultilevel"/>
    <w:lvl w:ilvl="0">
      <w:lvlJc w:val="left"/>
      <w:lvlText w:val="%1"/>
      <w:numFmt w:val="decimal"/>
      <w:start w:val="34"/>
    </w:lvl>
  </w:abstractNum>
  <w:abstractNum w:abstractNumId="19">
    <w:nsid w:val="2901D82"/>
    <w:multiLevelType w:val="hybridMultilevel"/>
    <w:lvl w:ilvl="0">
      <w:lvlJc w:val="left"/>
      <w:lvlText w:val="%1"/>
      <w:numFmt w:val="decimal"/>
      <w:start w:val="13"/>
    </w:lvl>
  </w:abstractNum>
  <w:abstractNum w:abstractNumId="20">
    <w:nsid w:val="3A95F874"/>
    <w:multiLevelType w:val="hybridMultilevel"/>
    <w:lvl w:ilvl="0">
      <w:lvlJc w:val="left"/>
      <w:lvlText w:val="%1"/>
      <w:numFmt w:val="decimal"/>
      <w:start w:val="100"/>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3"/>
    </w:lvl>
  </w:abstractNum>
  <w:abstractNum w:abstractNumId="33">
    <w:nsid w:val="5072367"/>
    <w:multiLevelType w:val="hybridMultilevel"/>
    <w:lvl w:ilvl="0">
      <w:lvlJc w:val="left"/>
      <w:lvlText w:val="%1"/>
      <w:numFmt w:val="decimal"/>
      <w:start w:val="104"/>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jpeg"/><Relationship Id="rId149" Type="http://schemas.openxmlformats.org/officeDocument/2006/relationships/image" Target="media/image139.jpe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42" Type="http://schemas.openxmlformats.org/officeDocument/2006/relationships/hyperlink" Target="http://www.sec.gov/Archives/edgar/data/1441816/000110465917063753/a17-24439_1ex3d1.htm" TargetMode="External"/><Relationship Id="rId143" Type="http://schemas.openxmlformats.org/officeDocument/2006/relationships/hyperlink" Target="http://www.sec.gov/Archives/edgar/data/1441816/000144181620000114/mdb-certificateofretir.htm" TargetMode="External"/><Relationship Id="rId144" Type="http://schemas.openxmlformats.org/officeDocument/2006/relationships/hyperlink" Target="http://www.sec.gov/Archives/edgar/data/1441816/000104746917006014/a2233365zex-3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2023-06-02T15:15:24Z</dcterms:created>
  <dcterms:modified xsi:type="dcterms:W3CDTF">2023-06-02T15:15:24Z</dcterms:modified>
</cp:coreProperties>
</file>