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602615</wp:posOffset>
            </wp:positionH>
            <wp:positionV relativeFrom="page">
              <wp:posOffset>706120</wp:posOffset>
            </wp:positionV>
            <wp:extent cx="66522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732155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9" w:lineRule="exact"/>
        <w:rPr>
          <w:rFonts w:ascii="MS PGothic" w:cs="MS PGothic" w:eastAsia="MS PGothic" w:hAnsi="MS PGothic"/>
          <w:sz w:val="22"/>
          <w:szCs w:val="22"/>
          <w:color w:val="auto"/>
        </w:rPr>
      </w:pPr>
    </w:p>
    <w:p>
      <w:pPr>
        <w:ind w:left="37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October 31, 2024</w:t>
      </w:r>
    </w:p>
    <w:p>
      <w:pPr>
        <w:spacing w:after="0" w:line="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8"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4018915</wp:posOffset>
            </wp:positionH>
            <wp:positionV relativeFrom="paragraph">
              <wp:posOffset>-12700</wp:posOffset>
            </wp:positionV>
            <wp:extent cx="60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001-38240</w:t>
      </w:r>
    </w:p>
    <w:p>
      <w:pPr>
        <w:spacing w:after="0" w:line="6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7" w:lineRule="exact"/>
        <w:rPr>
          <w:sz w:val="24"/>
          <w:szCs w:val="24"/>
          <w:color w:val="auto"/>
        </w:rPr>
      </w:pPr>
    </w:p>
    <w:tbl>
      <w:tblPr>
        <w:tblLayout w:type="fixed"/>
        <w:tblInd w:w="2080" w:type="dxa"/>
        <w:tblCellMar>
          <w:top w:w="0" w:type="dxa"/>
          <w:left w:w="0" w:type="dxa"/>
          <w:bottom w:w="0" w:type="dxa"/>
          <w:right w:w="0" w:type="dxa"/>
        </w:tblCellMar>
      </w:tblPr>
      <w:tr>
        <w:trPr>
          <w:trHeight w:val="227"/>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26-1463205</w:t>
            </w:r>
          </w:p>
        </w:tc>
      </w:tr>
      <w:tr>
        <w:trPr>
          <w:trHeight w:val="146"/>
        </w:trPr>
        <w:tc>
          <w:tcPr>
            <w:tcW w:w="3880" w:type="dxa"/>
            <w:vAlign w:val="bottom"/>
          </w:tcPr>
          <w:p>
            <w:pPr>
              <w:jc w:val="center"/>
              <w:ind w:right="13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60" w:type="dxa"/>
            <w:vAlign w:val="bottom"/>
          </w:tcPr>
          <w:p>
            <w:pPr>
              <w:jc w:val="center"/>
              <w:ind w:left="132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1633 Broadway, 38th Floor</w:t>
            </w:r>
          </w:p>
        </w:tc>
        <w:tc>
          <w:tcPr>
            <w:tcW w:w="2560" w:type="dxa"/>
            <w:vAlign w:val="bottom"/>
          </w:tcPr>
          <w:p>
            <w:pPr>
              <w:spacing w:after="0"/>
              <w:rPr>
                <w:sz w:val="24"/>
                <w:szCs w:val="24"/>
                <w:color w:val="auto"/>
              </w:rPr>
            </w:pPr>
          </w:p>
        </w:tc>
      </w:tr>
      <w:tr>
        <w:trPr>
          <w:trHeight w:val="286"/>
        </w:trPr>
        <w:tc>
          <w:tcPr>
            <w:tcW w:w="38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56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190"/>
        </w:trPr>
        <w:tc>
          <w:tcPr>
            <w:tcW w:w="388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6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646-727-4092</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69"/>
        </w:trPr>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Common Stock, par value $0.001 per</w:t>
            </w:r>
          </w:p>
        </w:tc>
        <w:tc>
          <w:tcPr>
            <w:tcW w:w="140" w:type="dxa"/>
            <w:vAlign w:val="bottom"/>
          </w:tcPr>
          <w:p>
            <w:pPr>
              <w:spacing w:after="0"/>
              <w:rPr>
                <w:sz w:val="14"/>
                <w:szCs w:val="14"/>
                <w:color w:val="auto"/>
              </w:rPr>
            </w:pPr>
          </w:p>
        </w:tc>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MDB</w:t>
            </w:r>
          </w:p>
        </w:tc>
        <w:tc>
          <w:tcPr>
            <w:tcW w:w="140" w:type="dxa"/>
            <w:vAlign w:val="bottom"/>
          </w:tcPr>
          <w:p>
            <w:pPr>
              <w:spacing w:after="0"/>
              <w:rPr>
                <w:sz w:val="14"/>
                <w:szCs w:val="14"/>
                <w:color w:val="auto"/>
              </w:rPr>
            </w:pPr>
          </w:p>
        </w:tc>
        <w:tc>
          <w:tcPr>
            <w:tcW w:w="3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27" w:lineRule="exact"/>
        <w:rPr>
          <w:sz w:val="24"/>
          <w:szCs w:val="24"/>
          <w:color w:val="auto"/>
        </w:rPr>
      </w:pPr>
    </w:p>
    <w:p>
      <w:pPr>
        <w:ind w:firstLine="44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42" w:lineRule="exact"/>
        <w:tabs>
          <w:tab w:leader="none" w:pos="2140" w:val="left"/>
        </w:tabs>
        <w:rPr>
          <w:sz w:val="20"/>
          <w:szCs w:val="20"/>
          <w:color w:val="auto"/>
        </w:rPr>
      </w:pPr>
      <w:r>
        <w:rPr>
          <w:rFonts w:ascii="Times New Roman" w:cs="Times New Roman" w:eastAsia="Times New Roman" w:hAnsi="Times New Roman"/>
          <w:sz w:val="17"/>
          <w:szCs w:val="17"/>
          <w:color w:val="auto"/>
        </w:rPr>
        <w:t xml:space="preserve">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1"/>
          <w:szCs w:val="21"/>
          <w:color w:val="auto"/>
        </w:rPr>
        <w:t>☐</w:t>
      </w:r>
    </w:p>
    <w:p>
      <w:pPr>
        <w:spacing w:after="0" w:line="61" w:lineRule="exact"/>
        <w:rPr>
          <w:sz w:val="24"/>
          <w:szCs w:val="24"/>
          <w:color w:val="auto"/>
        </w:rPr>
      </w:pPr>
    </w:p>
    <w:p>
      <w:pPr>
        <w:ind w:right="20" w:firstLine="445"/>
        <w:spacing w:after="0" w:line="24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220" w:firstLine="445"/>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4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0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16" w:lineRule="exact"/>
        <w:rPr>
          <w:sz w:val="24"/>
          <w:szCs w:val="24"/>
          <w:color w:val="auto"/>
        </w:rPr>
      </w:pPr>
    </w:p>
    <w:p>
      <w:pPr>
        <w:ind w:right="20" w:firstLine="445"/>
        <w:spacing w:after="0" w:line="26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left="460" w:right="1740"/>
        <w:spacing w:after="0" w:line="26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December 6, 2024, there were 74,470,596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95885</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121285</wp:posOffset>
            </wp:positionV>
            <wp:extent cx="6652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ectPr>
          <w:pgSz w:w="11900" w:h="16838" w:orient="portrait"/>
          <w:cols w:equalWidth="0" w:num="1">
            <w:col w:w="11160"/>
          </w:cols>
          <w:pgMar w:left="320" w:top="1235" w:right="419" w:bottom="1440" w:gutter="0" w:footer="0" w:header="0"/>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ectPr>
          <w:pgSz w:w="11900" w:h="16838" w:orient="portrait"/>
          <w:cols w:equalWidth="0" w:num="1">
            <w:col w:w="10840"/>
          </w:cols>
          <w:pgMar w:left="540" w:top="12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0"/>
        <w:spacing w:after="0" w:line="380" w:lineRule="auto"/>
        <w:rPr>
          <w:sz w:val="20"/>
          <w:szCs w:val="20"/>
          <w:color w:val="auto"/>
        </w:rPr>
      </w:pPr>
      <w:r>
        <w:rPr>
          <w:rFonts w:ascii="Times New Roman" w:cs="Times New Roman" w:eastAsia="Times New Roman" w:hAnsi="Times New Roman"/>
          <w:sz w:val="18"/>
          <w:szCs w:val="18"/>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360" w:type="dxa"/>
            <w:vAlign w:val="bottom"/>
            <w:gridSpan w:val="6"/>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60" w:type="dxa"/>
            <w:vAlign w:val="bottom"/>
            <w:tcBorders>
              <w:bottom w:val="single" w:sz="8" w:color="0000FF"/>
            </w:tcBorders>
            <w:gridSpan w:val="5"/>
            <w:vMerge w:val="continue"/>
          </w:tcPr>
          <w:p>
            <w:pPr>
              <w:spacing w:after="0"/>
              <w:rPr>
                <w:sz w:val="14"/>
                <w:szCs w:val="14"/>
                <w:color w:val="auto"/>
              </w:rPr>
            </w:pPr>
          </w:p>
        </w:tc>
        <w:tc>
          <w:tcPr>
            <w:tcW w:w="336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October 31, 2024 and January 31, 2024</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9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nine months ended October 31, 2024 and 2023</w:t>
            </w:r>
          </w:p>
        </w:tc>
        <w:tc>
          <w:tcPr>
            <w:tcW w:w="6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and nine months ended October 31, 2024</w:t>
            </w:r>
          </w:p>
        </w:tc>
        <w:tc>
          <w:tcPr>
            <w:tcW w:w="40" w:type="dxa"/>
            <w:vAlign w:val="bottom"/>
          </w:tcPr>
          <w:p>
            <w:pPr>
              <w:spacing w:after="0"/>
              <w:rPr>
                <w:sz w:val="18"/>
                <w:szCs w:val="18"/>
                <w:color w:val="auto"/>
              </w:rPr>
            </w:pPr>
          </w:p>
        </w:tc>
        <w:tc>
          <w:tcPr>
            <w:tcW w:w="5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gridSpan w:val="3"/>
            <w:vMerge w:val="restart"/>
          </w:tcPr>
          <w:p>
            <w:pPr>
              <w:spacing w:after="0" w:line="169" w:lineRule="exact"/>
              <w:rPr>
                <w:sz w:val="20"/>
                <w:szCs w:val="20"/>
                <w:color w:val="auto"/>
              </w:rPr>
            </w:pPr>
            <w:r>
              <w:rPr>
                <w:rFonts w:ascii="Times New Roman" w:cs="Times New Roman" w:eastAsia="Times New Roman" w:hAnsi="Times New Roman"/>
                <w:sz w:val="18"/>
                <w:szCs w:val="18"/>
                <w:color w:val="0000FF"/>
                <w:w w:val="99"/>
              </w:rPr>
              <w:t>and 2023</w:t>
            </w:r>
          </w:p>
        </w:tc>
        <w:tc>
          <w:tcPr>
            <w:tcW w:w="8160" w:type="dxa"/>
            <w:vAlign w:val="bottom"/>
            <w:gridSpan w:val="16"/>
            <w:vMerge w:val="restart"/>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Borders>
              <w:bottom w:val="single" w:sz="8" w:color="0000FF"/>
            </w:tcBorders>
            <w:gridSpan w:val="3"/>
            <w:vMerge w:val="continue"/>
          </w:tcPr>
          <w:p>
            <w:pPr>
              <w:spacing w:after="0"/>
              <w:rPr>
                <w:sz w:val="6"/>
                <w:szCs w:val="6"/>
                <w:color w:val="auto"/>
              </w:rPr>
            </w:pPr>
          </w:p>
        </w:tc>
        <w:tc>
          <w:tcPr>
            <w:tcW w:w="8160" w:type="dxa"/>
            <w:vAlign w:val="bottom"/>
            <w:gridSpan w:val="16"/>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and nine months ended October 31, 2024</w:t>
            </w:r>
          </w:p>
        </w:tc>
        <w:tc>
          <w:tcPr>
            <w:tcW w:w="5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680" w:type="dxa"/>
            <w:vAlign w:val="bottom"/>
            <w:tcBorders>
              <w:top w:val="single" w:sz="8" w:color="0000FF"/>
            </w:tcBorders>
            <w:gridSpan w:val="3"/>
            <w:vMerge w:val="restart"/>
          </w:tcPr>
          <w:p>
            <w:pPr>
              <w:spacing w:after="0" w:line="169" w:lineRule="exact"/>
              <w:rPr>
                <w:sz w:val="20"/>
                <w:szCs w:val="20"/>
                <w:color w:val="auto"/>
              </w:rPr>
            </w:pPr>
            <w:r>
              <w:rPr>
                <w:rFonts w:ascii="Times New Roman" w:cs="Times New Roman" w:eastAsia="Times New Roman" w:hAnsi="Times New Roman"/>
                <w:sz w:val="18"/>
                <w:szCs w:val="18"/>
                <w:color w:val="0000FF"/>
                <w:w w:val="99"/>
              </w:rPr>
              <w:t>and 2023</w:t>
            </w:r>
          </w:p>
        </w:tc>
        <w:tc>
          <w:tcPr>
            <w:tcW w:w="8120" w:type="dxa"/>
            <w:vAlign w:val="bottom"/>
            <w:tcBorders>
              <w:top w:val="single" w:sz="8" w:color="0000FF"/>
            </w:tcBorders>
            <w:gridSpan w:val="15"/>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Borders>
              <w:top w:val="single" w:sz="8" w:color="0000FF"/>
              <w:bottom w:val="single" w:sz="8" w:color="0000FF"/>
            </w:tcBorders>
            <w:gridSpan w:val="3"/>
            <w:vMerge w:val="continue"/>
          </w:tcPr>
          <w:p>
            <w:pPr>
              <w:spacing w:after="0"/>
              <w:rPr>
                <w:sz w:val="6"/>
                <w:szCs w:val="6"/>
                <w:color w:val="auto"/>
              </w:rPr>
            </w:pPr>
          </w:p>
        </w:tc>
        <w:tc>
          <w:tcPr>
            <w:tcW w:w="8120" w:type="dxa"/>
            <w:vAlign w:val="bottom"/>
            <w:tcBorders>
              <w:top w:val="single" w:sz="8" w:color="0000FF"/>
            </w:tcBorders>
            <w:gridSpan w:val="15"/>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2024 and 2023</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20" w:type="dxa"/>
            <w:vAlign w:val="bottom"/>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4"/>
          </w:tcPr>
          <w:p>
            <w:pPr>
              <w:spacing w:after="0"/>
              <w:rPr>
                <w:sz w:val="24"/>
                <w:szCs w:val="24"/>
                <w:color w:val="auto"/>
              </w:rPr>
            </w:pP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9"/>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0"/>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1720" w:type="dxa"/>
            <w:vAlign w:val="bottom"/>
            <w:gridSpan w:val="5"/>
          </w:tcPr>
          <w:p>
            <w:pPr>
              <w:spacing w:after="0"/>
              <w:rPr>
                <w:sz w:val="24"/>
                <w:szCs w:val="24"/>
                <w:color w:val="auto"/>
              </w:rPr>
            </w:pPr>
          </w:p>
        </w:tc>
        <w:tc>
          <w:tcPr>
            <w:tcW w:w="2760" w:type="dxa"/>
            <w:vAlign w:val="bottom"/>
            <w:tcBorders>
              <w:top w:val="single" w:sz="8" w:color="0000FF"/>
            </w:tcBorders>
            <w:gridSpan w:val="3"/>
          </w:tcPr>
          <w:p>
            <w:pPr>
              <w:spacing w:after="0"/>
              <w:rPr>
                <w:sz w:val="24"/>
                <w:szCs w:val="24"/>
                <w:color w:val="auto"/>
              </w:rPr>
            </w:pPr>
          </w:p>
        </w:tc>
        <w:tc>
          <w:tcPr>
            <w:tcW w:w="3520" w:type="dxa"/>
            <w:vAlign w:val="bottom"/>
            <w:gridSpan w:val="7"/>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0" w:type="dxa"/>
            <w:vAlign w:val="bottom"/>
            <w:gridSpan w:val="1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9"/>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12"/>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4"/>
                <w:szCs w:val="24"/>
                <w:color w:val="auto"/>
              </w:rPr>
            </w:pPr>
          </w:p>
        </w:tc>
        <w:tc>
          <w:tcPr>
            <w:tcW w:w="7560" w:type="dxa"/>
            <w:vAlign w:val="bottom"/>
            <w:gridSpan w:val="13"/>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-3839845</wp:posOffset>
            </wp:positionV>
            <wp:extent cx="689229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-3462655</wp:posOffset>
            </wp:positionV>
            <wp:extent cx="689229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-3051175</wp:posOffset>
            </wp:positionV>
            <wp:extent cx="68922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26543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-2639695</wp:posOffset>
            </wp:positionV>
            <wp:extent cx="689229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-2287905</wp:posOffset>
            </wp:positionV>
            <wp:extent cx="68922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-1876425</wp:posOffset>
            </wp:positionV>
            <wp:extent cx="68922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16319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-1567815</wp:posOffset>
            </wp:positionV>
            <wp:extent cx="68922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-1156335</wp:posOffset>
            </wp:positionV>
            <wp:extent cx="68922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-744855</wp:posOffset>
            </wp:positionV>
            <wp:extent cx="68922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-333375</wp:posOffset>
            </wp:positionV>
            <wp:extent cx="689229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2290" cy="205740"/>
                    </a:xfrm>
                    <a:prstGeom prst="rect">
                      <a:avLst/>
                    </a:prstGeom>
                    <a:noFill/>
                  </pic:spPr>
                </pic:pic>
              </a:graphicData>
            </a:graphic>
          </wp:anchor>
        </w:drawing>
      </w:r>
    </w:p>
    <w:p>
      <w:pPr>
        <w:sectPr>
          <w:pgSz w:w="11900" w:h="16838" w:orient="portrait"/>
          <w:cols w:equalWidth="0" w:num="2">
            <w:col w:w="760" w:space="220"/>
            <w:col w:w="9860"/>
          </w:cols>
          <w:pgMar w:left="540" w:top="1256" w:right="5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60" w:type="dxa"/>
            <w:vAlign w:val="bottom"/>
          </w:tcPr>
          <w:p>
            <w:pPr>
              <w:spacing w:after="0"/>
              <w:rPr>
                <w:sz w:val="24"/>
                <w:szCs w:val="24"/>
                <w:color w:val="auto"/>
              </w:rPr>
            </w:pPr>
          </w:p>
        </w:tc>
        <w:tc>
          <w:tcPr>
            <w:tcW w:w="7160" w:type="dxa"/>
            <w:vAlign w:val="bottom"/>
          </w:tcPr>
          <w:p>
            <w:pPr>
              <w:ind w:left="2920"/>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ITEM 1.</w:t>
            </w:r>
          </w:p>
        </w:tc>
        <w:tc>
          <w:tcPr>
            <w:tcW w:w="7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160" w:type="dxa"/>
            <w:vAlign w:val="bottom"/>
          </w:tcPr>
          <w:p>
            <w:pPr>
              <w:jc w:val="center"/>
              <w:ind w:left="1864"/>
              <w:spacing w:after="0"/>
              <w:rPr>
                <w:sz w:val="20"/>
                <w:szCs w:val="20"/>
                <w:color w:val="auto"/>
              </w:rPr>
            </w:pPr>
            <w:r>
              <w:rPr>
                <w:rFonts w:ascii="Times New Roman" w:cs="Times New Roman" w:eastAsia="Times New Roman" w:hAnsi="Times New Roman"/>
                <w:sz w:val="18"/>
                <w:szCs w:val="18"/>
                <w:b w:val="1"/>
                <w:bCs w:val="1"/>
                <w:color w:val="auto"/>
              </w:rPr>
              <w:t>MONGODB, INC.</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060" w:type="dxa"/>
            <w:vAlign w:val="bottom"/>
          </w:tcPr>
          <w:p>
            <w:pPr>
              <w:spacing w:after="0"/>
              <w:rPr>
                <w:sz w:val="18"/>
                <w:szCs w:val="18"/>
                <w:color w:val="auto"/>
              </w:rPr>
            </w:pPr>
          </w:p>
        </w:tc>
        <w:tc>
          <w:tcPr>
            <w:tcW w:w="7160" w:type="dxa"/>
            <w:vAlign w:val="bottom"/>
          </w:tcPr>
          <w:p>
            <w:pPr>
              <w:jc w:val="center"/>
              <w:ind w:left="1864"/>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160" w:type="dxa"/>
            <w:vAlign w:val="bottom"/>
          </w:tcPr>
          <w:p>
            <w:pPr>
              <w:jc w:val="center"/>
              <w:ind w:left="1864"/>
              <w:spacing w:after="0"/>
              <w:rPr>
                <w:sz w:val="20"/>
                <w:szCs w:val="20"/>
                <w:color w:val="auto"/>
              </w:rPr>
            </w:pPr>
            <w:r>
              <w:rPr>
                <w:rFonts w:ascii="Times New Roman" w:cs="Times New Roman" w:eastAsia="Times New Roman" w:hAnsi="Times New Roman"/>
                <w:sz w:val="18"/>
                <w:szCs w:val="18"/>
                <w:i w:val="1"/>
                <w:iCs w:val="1"/>
                <w:color w:val="auto"/>
                <w:w w:val="99"/>
              </w:rPr>
              <w:t>(in thousands of U.S. dollars, except share and per share data)</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7160" w:type="dxa"/>
            <w:vAlign w:val="bottom"/>
          </w:tcPr>
          <w:p>
            <w:pPr>
              <w:jc w:val="center"/>
              <w:ind w:left="1864"/>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0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40" w:type="dxa"/>
            <w:vAlign w:val="bottom"/>
          </w:tcPr>
          <w:p>
            <w:pPr>
              <w:spacing w:after="0"/>
              <w:rPr>
                <w:sz w:val="24"/>
                <w:szCs w:val="24"/>
                <w:color w:val="auto"/>
              </w:rPr>
            </w:pPr>
          </w:p>
        </w:tc>
        <w:tc>
          <w:tcPr>
            <w:tcW w:w="13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3"/>
        </w:trPr>
        <w:tc>
          <w:tcPr>
            <w:tcW w:w="10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673,054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802,959</w:t>
            </w:r>
          </w:p>
        </w:tc>
        <w:tc>
          <w:tcPr>
            <w:tcW w:w="0" w:type="dxa"/>
            <w:vAlign w:val="bottom"/>
          </w:tcPr>
          <w:p>
            <w:pPr>
              <w:spacing w:after="0"/>
              <w:rPr>
                <w:sz w:val="1"/>
                <w:szCs w:val="1"/>
                <w:color w:val="auto"/>
              </w:rPr>
            </w:pPr>
          </w:p>
        </w:tc>
      </w:tr>
      <w:tr>
        <w:trPr>
          <w:trHeight w:val="206"/>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Short-term investments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1,629,038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1,212,448</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$8,212 and $8,054 as of October 31, 2024 and January 31, 2024,</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325,610</w:t>
            </w:r>
          </w:p>
        </w:tc>
        <w:tc>
          <w:tcPr>
            <w:tcW w:w="0" w:type="dxa"/>
            <w:vAlign w:val="bottom"/>
          </w:tcPr>
          <w:p>
            <w:pPr>
              <w:spacing w:after="0"/>
              <w:rPr>
                <w:sz w:val="1"/>
                <w:szCs w:val="1"/>
                <w:color w:val="auto"/>
              </w:rPr>
            </w:pPr>
          </w:p>
        </w:tc>
      </w:tr>
      <w:tr>
        <w:trPr>
          <w:trHeight w:val="206"/>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Deferred commissions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92,512</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50,107</w:t>
            </w:r>
          </w:p>
        </w:tc>
        <w:tc>
          <w:tcPr>
            <w:tcW w:w="0" w:type="dxa"/>
            <w:vAlign w:val="bottom"/>
          </w:tcPr>
          <w:p>
            <w:pPr>
              <w:spacing w:after="0"/>
              <w:rPr>
                <w:sz w:val="1"/>
                <w:szCs w:val="1"/>
                <w:color w:val="auto"/>
              </w:rPr>
            </w:pPr>
          </w:p>
        </w:tc>
      </w:tr>
      <w:tr>
        <w:trPr>
          <w:trHeight w:val="186"/>
        </w:trPr>
        <w:tc>
          <w:tcPr>
            <w:tcW w:w="82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2,794,263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2,483,636</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53,042</w:t>
            </w:r>
          </w:p>
        </w:tc>
        <w:tc>
          <w:tcPr>
            <w:tcW w:w="0" w:type="dxa"/>
            <w:vAlign w:val="bottom"/>
          </w:tcPr>
          <w:p>
            <w:pPr>
              <w:spacing w:after="0"/>
              <w:rPr>
                <w:sz w:val="1"/>
                <w:szCs w:val="1"/>
                <w:color w:val="auto"/>
              </w:rPr>
            </w:pPr>
          </w:p>
        </w:tc>
      </w:tr>
      <w:tr>
        <w:trPr>
          <w:trHeight w:val="206"/>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37,365</w:t>
            </w: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7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69,679</w:t>
            </w:r>
          </w:p>
        </w:tc>
        <w:tc>
          <w:tcPr>
            <w:tcW w:w="0" w:type="dxa"/>
            <w:vAlign w:val="bottom"/>
          </w:tcPr>
          <w:p>
            <w:pPr>
              <w:spacing w:after="0"/>
              <w:rPr>
                <w:sz w:val="1"/>
                <w:szCs w:val="1"/>
                <w:color w:val="auto"/>
              </w:rPr>
            </w:pPr>
          </w:p>
        </w:tc>
      </w:tr>
      <w:tr>
        <w:trPr>
          <w:trHeight w:val="206"/>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Acquired intangible assets, net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220"/>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7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217,847</w:t>
            </w:r>
          </w:p>
        </w:tc>
        <w:tc>
          <w:tcPr>
            <w:tcW w:w="0" w:type="dxa"/>
            <w:vAlign w:val="bottom"/>
          </w:tcPr>
          <w:p>
            <w:pPr>
              <w:spacing w:after="0"/>
              <w:rPr>
                <w:sz w:val="1"/>
                <w:szCs w:val="1"/>
                <w:color w:val="auto"/>
              </w:rPr>
            </w:pPr>
          </w:p>
        </w:tc>
      </w:tr>
      <w:tr>
        <w:trPr>
          <w:trHeight w:val="23"/>
        </w:trPr>
        <w:tc>
          <w:tcPr>
            <w:tcW w:w="10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7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3,224,785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2,869,642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9,905</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120,598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112,579</w:t>
            </w:r>
          </w:p>
        </w:tc>
        <w:tc>
          <w:tcPr>
            <w:tcW w:w="0" w:type="dxa"/>
            <w:vAlign w:val="bottom"/>
          </w:tcPr>
          <w:p>
            <w:pPr>
              <w:spacing w:after="0"/>
              <w:rPr>
                <w:sz w:val="1"/>
                <w:szCs w:val="1"/>
                <w:color w:val="auto"/>
              </w:rPr>
            </w:pPr>
          </w:p>
        </w:tc>
      </w:tr>
      <w:tr>
        <w:trPr>
          <w:trHeight w:val="206"/>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9,797</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74,831</w:t>
            </w:r>
          </w:p>
        </w:tc>
        <w:tc>
          <w:tcPr>
            <w:tcW w:w="0" w:type="dxa"/>
            <w:vAlign w:val="bottom"/>
          </w:tcPr>
          <w:p>
            <w:pPr>
              <w:spacing w:after="0"/>
              <w:rPr>
                <w:sz w:val="1"/>
                <w:szCs w:val="1"/>
                <w:color w:val="auto"/>
              </w:rPr>
            </w:pPr>
          </w:p>
        </w:tc>
      </w:tr>
      <w:tr>
        <w:trPr>
          <w:trHeight w:val="220"/>
        </w:trPr>
        <w:tc>
          <w:tcPr>
            <w:tcW w:w="82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357,108</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2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1,640,775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564,220</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liability</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20"/>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30,918</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20,296</w:t>
            </w:r>
          </w:p>
        </w:tc>
        <w:tc>
          <w:tcPr>
            <w:tcW w:w="0" w:type="dxa"/>
            <w:vAlign w:val="bottom"/>
          </w:tcPr>
          <w:p>
            <w:pPr>
              <w:spacing w:after="0"/>
              <w:rPr>
                <w:sz w:val="1"/>
                <w:szCs w:val="1"/>
                <w:color w:val="auto"/>
              </w:rPr>
            </w:pPr>
          </w:p>
        </w:tc>
      </w:tr>
      <w:tr>
        <w:trPr>
          <w:trHeight w:val="220"/>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1,143,273</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41,661</w:t>
            </w:r>
          </w:p>
        </w:tc>
        <w:tc>
          <w:tcPr>
            <w:tcW w:w="0" w:type="dxa"/>
            <w:vAlign w:val="bottom"/>
          </w:tcPr>
          <w:p>
            <w:pPr>
              <w:spacing w:after="0"/>
              <w:rPr>
                <w:sz w:val="1"/>
                <w:szCs w:val="1"/>
                <w:color w:val="auto"/>
              </w:rPr>
            </w:pPr>
          </w:p>
        </w:tc>
      </w:tr>
      <w:tr>
        <w:trPr>
          <w:trHeight w:val="200"/>
        </w:trPr>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7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1,722,809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1,800,653</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Common stock, par value of $0.001 per share; 1,000,000,000 shares authorized as of October 31, 2024 and January 31, 2024;</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74,493,146 shares issued and 74,393,775 shares outstanding as of October 31, 2024; 72,840,692 shares issued and 72,741,321 shares</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outstanding as of January 31, 2024</w:t>
            </w: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6"/>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3,357,146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2,777,322</w:t>
            </w: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Treasury stock, 99,371 shares (repurchased at an average of $13.27 per share) as of October 31, 2024 and January 31, 2024</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206"/>
        </w:trPr>
        <w:tc>
          <w:tcPr>
            <w:tcW w:w="8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0" w:type="dxa"/>
            <w:vAlign w:val="bottom"/>
          </w:tcPr>
          <w:p>
            <w:pPr>
              <w:spacing w:after="0"/>
              <w:rPr>
                <w:sz w:val="1"/>
                <w:szCs w:val="1"/>
                <w:color w:val="auto"/>
              </w:rPr>
            </w:pPr>
          </w:p>
        </w:tc>
      </w:tr>
      <w:tr>
        <w:trPr>
          <w:trHeight w:val="24"/>
        </w:trPr>
        <w:tc>
          <w:tcPr>
            <w:tcW w:w="8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(1,711,632)</w:t>
            </w:r>
          </w:p>
        </w:tc>
        <w:tc>
          <w:tcPr>
            <w:tcW w:w="0" w:type="dxa"/>
            <w:vAlign w:val="bottom"/>
          </w:tcPr>
          <w:p>
            <w:pPr>
              <w:spacing w:after="0"/>
              <w:rPr>
                <w:sz w:val="1"/>
                <w:szCs w:val="1"/>
                <w:color w:val="auto"/>
              </w:rPr>
            </w:pPr>
          </w:p>
        </w:tc>
      </w:tr>
      <w:tr>
        <w:trPr>
          <w:trHeight w:val="213"/>
        </w:trPr>
        <w:tc>
          <w:tcPr>
            <w:tcW w:w="8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1,501,976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1,068,989</w:t>
            </w:r>
          </w:p>
        </w:tc>
        <w:tc>
          <w:tcPr>
            <w:tcW w:w="0" w:type="dxa"/>
            <w:vAlign w:val="bottom"/>
          </w:tcPr>
          <w:p>
            <w:pPr>
              <w:spacing w:after="0"/>
              <w:rPr>
                <w:sz w:val="1"/>
                <w:szCs w:val="1"/>
                <w:color w:val="auto"/>
              </w:rPr>
            </w:pPr>
          </w:p>
        </w:tc>
      </w:tr>
      <w:tr>
        <w:trPr>
          <w:trHeight w:val="24"/>
        </w:trPr>
        <w:tc>
          <w:tcPr>
            <w:tcW w:w="82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3,224,785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2,869,642</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20" w:type="dxa"/>
            <w:vAlign w:val="bottom"/>
          </w:tcPr>
          <w:p>
            <w:pPr>
              <w:spacing w:after="0"/>
              <w:rPr>
                <w:sz w:val="16"/>
                <w:szCs w:val="16"/>
                <w:color w:val="auto"/>
              </w:rPr>
            </w:pPr>
          </w:p>
        </w:tc>
        <w:tc>
          <w:tcPr>
            <w:tcW w:w="24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37"/>
        </w:trPr>
        <w:tc>
          <w:tcPr>
            <w:tcW w:w="59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512,205</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418,339</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1,412,906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1,182,387</w:t>
            </w:r>
          </w:p>
        </w:tc>
        <w:tc>
          <w:tcPr>
            <w:tcW w:w="0" w:type="dxa"/>
            <w:vAlign w:val="bottom"/>
          </w:tcPr>
          <w:p>
            <w:pPr>
              <w:spacing w:after="0"/>
              <w:rPr>
                <w:sz w:val="1"/>
                <w:szCs w:val="1"/>
                <w:color w:val="auto"/>
              </w:rPr>
            </w:pPr>
          </w:p>
        </w:tc>
      </w:tr>
      <w:tr>
        <w:trPr>
          <w:trHeight w:val="28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1,458,045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1,225,009</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250,949</w:t>
            </w:r>
          </w:p>
        </w:tc>
        <w:tc>
          <w:tcPr>
            <w:tcW w:w="0" w:type="dxa"/>
            <w:vAlign w:val="bottom"/>
          </w:tcPr>
          <w:p>
            <w:pPr>
              <w:spacing w:after="0"/>
              <w:rPr>
                <w:sz w:val="1"/>
                <w:szCs w:val="1"/>
                <w:color w:val="auto"/>
              </w:rPr>
            </w:pPr>
          </w:p>
        </w:tc>
      </w:tr>
      <w:tr>
        <w:trPr>
          <w:trHeight w:val="284"/>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w:t>
            </w:r>
          </w:p>
        </w:tc>
        <w:tc>
          <w:tcPr>
            <w:tcW w:w="0" w:type="dxa"/>
            <w:vAlign w:val="bottom"/>
          </w:tcPr>
          <w:p>
            <w:pPr>
              <w:spacing w:after="0"/>
              <w:rPr>
                <w:sz w:val="1"/>
                <w:szCs w:val="1"/>
                <w:color w:val="auto"/>
              </w:rPr>
            </w:pPr>
          </w:p>
        </w:tc>
      </w:tr>
      <w:tr>
        <w:trPr>
          <w:trHeight w:val="263"/>
        </w:trPr>
        <w:tc>
          <w:tcPr>
            <w:tcW w:w="5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386,281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309,844</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394,044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915,165</w:t>
            </w:r>
          </w:p>
        </w:tc>
        <w:tc>
          <w:tcPr>
            <w:tcW w:w="0" w:type="dxa"/>
            <w:vAlign w:val="bottom"/>
          </w:tcPr>
          <w:p>
            <w:pPr>
              <w:spacing w:after="0"/>
              <w:rPr>
                <w:sz w:val="1"/>
                <w:szCs w:val="1"/>
                <w:color w:val="auto"/>
              </w:rPr>
            </w:pPr>
          </w:p>
        </w:tc>
      </w:tr>
      <w:tr>
        <w:trPr>
          <w:trHeight w:val="229"/>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571,644</w:t>
            </w:r>
          </w:p>
        </w:tc>
        <w:tc>
          <w:tcPr>
            <w:tcW w:w="0" w:type="dxa"/>
            <w:vAlign w:val="bottom"/>
          </w:tcPr>
          <w:p>
            <w:pPr>
              <w:spacing w:after="0"/>
              <w:rPr>
                <w:sz w:val="1"/>
                <w:szCs w:val="1"/>
                <w:color w:val="auto"/>
              </w:rPr>
            </w:pPr>
          </w:p>
        </w:tc>
      </w:tr>
      <w:tr>
        <w:trPr>
          <w:trHeight w:val="270"/>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370,387</w:t>
            </w:r>
          </w:p>
        </w:tc>
        <w:tc>
          <w:tcPr>
            <w:tcW w:w="0" w:type="dxa"/>
            <w:vAlign w:val="bottom"/>
          </w:tcPr>
          <w:p>
            <w:pPr>
              <w:spacing w:after="0"/>
              <w:rPr>
                <w:sz w:val="1"/>
                <w:szCs w:val="1"/>
                <w:color w:val="auto"/>
              </w:rPr>
            </w:pPr>
          </w:p>
        </w:tc>
      </w:tr>
      <w:tr>
        <w:trPr>
          <w:trHeight w:val="28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135,900</w:t>
            </w:r>
          </w:p>
        </w:tc>
        <w:tc>
          <w:tcPr>
            <w:tcW w:w="0" w:type="dxa"/>
            <w:vAlign w:val="bottom"/>
          </w:tcPr>
          <w:p>
            <w:pPr>
              <w:spacing w:after="0"/>
              <w:rPr>
                <w:sz w:val="1"/>
                <w:szCs w:val="1"/>
                <w:color w:val="auto"/>
              </w:rPr>
            </w:pPr>
          </w:p>
        </w:tc>
      </w:tr>
      <w:tr>
        <w:trPr>
          <w:trHeight w:val="264"/>
        </w:trPr>
        <w:tc>
          <w:tcPr>
            <w:tcW w:w="5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371,096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1,269,266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1,077,931</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(162,766)</w:t>
            </w:r>
          </w:p>
        </w:tc>
        <w:tc>
          <w:tcPr>
            <w:tcW w:w="0" w:type="dxa"/>
            <w:vAlign w:val="bottom"/>
          </w:tcPr>
          <w:p>
            <w:pPr>
              <w:spacing w:after="0"/>
              <w:rPr>
                <w:sz w:val="1"/>
                <w:szCs w:val="1"/>
                <w:color w:val="auto"/>
              </w:rPr>
            </w:pPr>
          </w:p>
        </w:tc>
      </w:tr>
      <w:tr>
        <w:trPr>
          <w:trHeight w:val="229"/>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0" w:type="dxa"/>
            <w:vAlign w:val="bottom"/>
          </w:tcPr>
          <w:p>
            <w:pPr>
              <w:spacing w:after="0"/>
              <w:rPr>
                <w:sz w:val="1"/>
                <w:szCs w:val="1"/>
                <w:color w:val="auto"/>
              </w:rPr>
            </w:pPr>
          </w:p>
        </w:tc>
      </w:tr>
      <w:tr>
        <w:trPr>
          <w:trHeight w:val="284"/>
        </w:trPr>
        <w:tc>
          <w:tcPr>
            <w:tcW w:w="5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0" w:type="dxa"/>
            <w:vAlign w:val="bottom"/>
          </w:tcPr>
          <w:p>
            <w:pPr>
              <w:spacing w:after="0"/>
              <w:rPr>
                <w:sz w:val="1"/>
                <w:szCs w:val="1"/>
                <w:color w:val="auto"/>
              </w:rPr>
            </w:pPr>
          </w:p>
        </w:tc>
      </w:tr>
      <w:tr>
        <w:trPr>
          <w:trHeight w:val="28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50"/>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w:t>
            </w:r>
          </w:p>
        </w:tc>
        <w:tc>
          <w:tcPr>
            <w:tcW w:w="0" w:type="dxa"/>
            <w:vAlign w:val="bottom"/>
          </w:tcPr>
          <w:p>
            <w:pPr>
              <w:spacing w:after="0"/>
              <w:rPr>
                <w:sz w:val="1"/>
                <w:szCs w:val="1"/>
                <w:color w:val="auto"/>
              </w:rPr>
            </w:pPr>
          </w:p>
        </w:tc>
      </w:tr>
      <w:tr>
        <w:trPr>
          <w:trHeight w:val="283"/>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0" w:type="dxa"/>
            <w:vAlign w:val="bottom"/>
          </w:tcPr>
          <w:p>
            <w:pPr>
              <w:spacing w:after="0"/>
              <w:rPr>
                <w:sz w:val="1"/>
                <w:szCs w:val="1"/>
                <w:color w:val="auto"/>
              </w:rPr>
            </w:pPr>
          </w:p>
        </w:tc>
      </w:tr>
      <w:tr>
        <w:trPr>
          <w:trHeight w:val="264"/>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74,020,593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71,560,023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73,472,900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70,878,162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2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(121,140)</w:t>
            </w:r>
          </w:p>
        </w:tc>
      </w:tr>
      <w:tr>
        <w:trPr>
          <w:trHeight w:val="229"/>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income (loss) on available-for-sale securities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r>
      <w:tr>
        <w:trPr>
          <w:trHeight w:val="283"/>
        </w:trPr>
        <w:tc>
          <w:tcPr>
            <w:tcW w:w="5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64"/>
        </w:trPr>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r>
      <w:tr>
        <w:trPr>
          <w:trHeight w:val="263"/>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(129,657)</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1800" w:type="dxa"/>
            <w:vAlign w:val="bottom"/>
            <w:gridSpan w:val="3"/>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3"/>
            <w:vMerge w:val="restart"/>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100" w:type="dxa"/>
            <w:vAlign w:val="bottom"/>
          </w:tcPr>
          <w:p>
            <w:pPr>
              <w:spacing w:after="0"/>
              <w:rPr>
                <w:sz w:val="4"/>
                <w:szCs w:val="4"/>
                <w:color w:val="auto"/>
              </w:rPr>
            </w:pPr>
          </w:p>
        </w:tc>
        <w:tc>
          <w:tcPr>
            <w:tcW w:w="80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4"/>
                <w:szCs w:val="4"/>
                <w:color w:val="auto"/>
              </w:rPr>
            </w:pPr>
          </w:p>
        </w:tc>
        <w:tc>
          <w:tcPr>
            <w:tcW w:w="118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4"/>
                <w:szCs w:val="4"/>
                <w:color w:val="auto"/>
              </w:rPr>
            </w:pPr>
          </w:p>
        </w:tc>
        <w:tc>
          <w:tcPr>
            <w:tcW w:w="10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2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48"/>
        </w:trPr>
        <w:tc>
          <w:tcPr>
            <w:tcW w:w="3400" w:type="dxa"/>
            <w:vAlign w:val="bottom"/>
          </w:tcPr>
          <w:p>
            <w:pPr>
              <w:spacing w:after="0"/>
              <w:rPr>
                <w:sz w:val="4"/>
                <w:szCs w:val="4"/>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4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0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40" w:type="dxa"/>
            <w:vAlign w:val="bottom"/>
          </w:tcPr>
          <w:p>
            <w:pPr>
              <w:spacing w:after="0"/>
              <w:rPr>
                <w:sz w:val="14"/>
                <w:szCs w:val="14"/>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6"/>
        </w:trPr>
        <w:tc>
          <w:tcPr>
            <w:tcW w:w="34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as of January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72,741,321</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2,777,322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(1,711,632)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1,068,989</w:t>
            </w:r>
          </w:p>
        </w:tc>
        <w:tc>
          <w:tcPr>
            <w:tcW w:w="0" w:type="dxa"/>
            <w:vAlign w:val="bottom"/>
          </w:tcPr>
          <w:p>
            <w:pPr>
              <w:spacing w:after="0"/>
              <w:rPr>
                <w:sz w:val="1"/>
                <w:szCs w:val="1"/>
                <w:color w:val="auto"/>
              </w:rPr>
            </w:pPr>
          </w:p>
        </w:tc>
      </w:tr>
      <w:tr>
        <w:trPr>
          <w:trHeight w:val="18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132,617</w:t>
            </w: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399,213</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performance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77,444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120,763</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6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 of derivative related to the Capped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Call associated with the 2024 Notes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169,692</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(80,593)</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April 30, 2024</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73,350,595</w:t>
            </w: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3,068,730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(1,792,225)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1,269,256</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41,954</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374,560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122,423</w:t>
            </w:r>
          </w:p>
        </w:tc>
        <w:tc>
          <w:tcPr>
            <w:tcW w:w="0" w:type="dxa"/>
            <w:vAlign w:val="bottom"/>
          </w:tcPr>
          <w:p>
            <w:pPr>
              <w:spacing w:after="0"/>
              <w:rPr>
                <w:sz w:val="1"/>
                <w:szCs w:val="1"/>
                <w:color w:val="auto"/>
              </w:rPr>
            </w:pPr>
          </w:p>
        </w:tc>
      </w:tr>
      <w:tr>
        <w:trPr>
          <w:trHeight w:val="16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96,603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18,640</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(54,529)</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July 31, 2024</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73,863,712</w:t>
            </w: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3,210,146</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(1,846,754)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1,363,047</w:t>
            </w:r>
          </w:p>
        </w:tc>
        <w:tc>
          <w:tcPr>
            <w:tcW w:w="0" w:type="dxa"/>
            <w:vAlign w:val="bottom"/>
          </w:tcPr>
          <w:p>
            <w:pPr>
              <w:spacing w:after="0"/>
              <w:rPr>
                <w:sz w:val="1"/>
                <w:szCs w:val="1"/>
                <w:color w:val="auto"/>
              </w:rPr>
            </w:pPr>
          </w:p>
        </w:tc>
      </w:tr>
      <w:tr>
        <w:trPr>
          <w:trHeight w:val="23"/>
        </w:trPr>
        <w:tc>
          <w:tcPr>
            <w:tcW w:w="3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 exercises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40,672</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385,695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125,712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125,712</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103,696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20,973</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0" w:type="dxa"/>
            <w:vAlign w:val="bottom"/>
          </w:tcPr>
          <w:p>
            <w:pPr>
              <w:spacing w:after="0"/>
              <w:rPr>
                <w:sz w:val="1"/>
                <w:szCs w:val="1"/>
                <w:color w:val="auto"/>
              </w:rPr>
            </w:pPr>
          </w:p>
        </w:tc>
      </w:tr>
      <w:tr>
        <w:trPr>
          <w:trHeight w:val="206"/>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October 31,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74,393,775</w:t>
            </w:r>
          </w:p>
        </w:tc>
        <w:tc>
          <w:tcPr>
            <w:tcW w:w="1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3,357,146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(1,856,530)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1,501,976</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360" w:type="dxa"/>
            <w:vAlign w:val="bottom"/>
          </w:tcPr>
          <w:p>
            <w:pPr>
              <w:spacing w:after="0"/>
              <w:rPr>
                <w:sz w:val="13"/>
                <w:szCs w:val="13"/>
                <w:color w:val="auto"/>
              </w:rPr>
            </w:pPr>
          </w:p>
        </w:tc>
        <w:tc>
          <w:tcPr>
            <w:tcW w:w="1820" w:type="dxa"/>
            <w:vAlign w:val="bottom"/>
            <w:gridSpan w:val="3"/>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81"/>
        </w:trPr>
        <w:tc>
          <w:tcPr>
            <w:tcW w:w="336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tcPr>
          <w:p>
            <w:pPr>
              <w:jc w:val="center"/>
              <w:ind w:right="120"/>
              <w:spacing w:after="0" w:line="75" w:lineRule="exact"/>
              <w:rPr>
                <w:sz w:val="20"/>
                <w:szCs w:val="20"/>
                <w:color w:val="auto"/>
              </w:rPr>
            </w:pPr>
            <w:r>
              <w:rPr>
                <w:rFonts w:ascii="Times New Roman" w:cs="Times New Roman" w:eastAsia="Times New Roman" w:hAnsi="Times New Roman"/>
                <w:sz w:val="8"/>
                <w:szCs w:val="8"/>
                <w:b w:val="1"/>
                <w:bCs w:val="1"/>
                <w:color w:val="auto"/>
              </w:rPr>
              <w:t>Additional Paid-</w:t>
            </w:r>
          </w:p>
        </w:tc>
        <w:tc>
          <w:tcPr>
            <w:tcW w:w="120" w:type="dxa"/>
            <w:vAlign w:val="bottom"/>
          </w:tcPr>
          <w:p>
            <w:pPr>
              <w:spacing w:after="0"/>
              <w:rPr>
                <w:sz w:val="7"/>
                <w:szCs w:val="7"/>
                <w:color w:val="auto"/>
              </w:rPr>
            </w:pPr>
          </w:p>
        </w:tc>
        <w:tc>
          <w:tcPr>
            <w:tcW w:w="800" w:type="dxa"/>
            <w:vAlign w:val="bottom"/>
            <w:gridSpan w:val="2"/>
          </w:tcPr>
          <w:p>
            <w:pPr>
              <w:ind w:left="40"/>
              <w:spacing w:after="0" w:line="75" w:lineRule="exact"/>
              <w:rPr>
                <w:sz w:val="20"/>
                <w:szCs w:val="20"/>
                <w:color w:val="auto"/>
              </w:rPr>
            </w:pPr>
            <w:r>
              <w:rPr>
                <w:rFonts w:ascii="Times New Roman" w:cs="Times New Roman" w:eastAsia="Times New Roman" w:hAnsi="Times New Roman"/>
                <w:sz w:val="8"/>
                <w:szCs w:val="8"/>
                <w:b w:val="1"/>
                <w:bCs w:val="1"/>
                <w:color w:val="auto"/>
              </w:rPr>
              <w:t>Treasury</w:t>
            </w:r>
          </w:p>
        </w:tc>
        <w:tc>
          <w:tcPr>
            <w:tcW w:w="140" w:type="dxa"/>
            <w:vAlign w:val="bottom"/>
          </w:tcPr>
          <w:p>
            <w:pPr>
              <w:spacing w:after="0"/>
              <w:rPr>
                <w:sz w:val="7"/>
                <w:szCs w:val="7"/>
                <w:color w:val="auto"/>
              </w:rPr>
            </w:pPr>
          </w:p>
        </w:tc>
        <w:tc>
          <w:tcPr>
            <w:tcW w:w="1180" w:type="dxa"/>
            <w:vAlign w:val="bottom"/>
            <w:gridSpan w:val="2"/>
          </w:tcPr>
          <w:p>
            <w:pPr>
              <w:jc w:val="center"/>
              <w:ind w:right="260"/>
              <w:spacing w:after="0" w:line="7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40" w:type="dxa"/>
            <w:vAlign w:val="bottom"/>
          </w:tcPr>
          <w:p>
            <w:pPr>
              <w:spacing w:after="0"/>
              <w:rPr>
                <w:sz w:val="7"/>
                <w:szCs w:val="7"/>
                <w:color w:val="auto"/>
              </w:rPr>
            </w:pPr>
          </w:p>
        </w:tc>
        <w:tc>
          <w:tcPr>
            <w:tcW w:w="1060" w:type="dxa"/>
            <w:vAlign w:val="bottom"/>
            <w:gridSpan w:val="2"/>
          </w:tcPr>
          <w:p>
            <w:pPr>
              <w:jc w:val="center"/>
              <w:ind w:right="260"/>
              <w:spacing w:after="0" w:line="7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120" w:type="dxa"/>
            <w:vAlign w:val="bottom"/>
            <w:gridSpan w:val="2"/>
          </w:tcPr>
          <w:p>
            <w:pPr>
              <w:jc w:val="right"/>
              <w:spacing w:after="0" w:line="75" w:lineRule="exact"/>
              <w:rPr>
                <w:sz w:val="20"/>
                <w:szCs w:val="20"/>
                <w:color w:val="auto"/>
              </w:rPr>
            </w:pPr>
            <w:r>
              <w:rPr>
                <w:rFonts w:ascii="Times New Roman" w:cs="Times New Roman" w:eastAsia="Times New Roman" w:hAnsi="Times New Roman"/>
                <w:sz w:val="8"/>
                <w:szCs w:val="8"/>
                <w:b w:val="1"/>
                <w:bCs w:val="1"/>
                <w:color w:val="auto"/>
              </w:rPr>
              <w:t>Total Stockholders’</w:t>
            </w:r>
          </w:p>
        </w:tc>
      </w:tr>
      <w:tr>
        <w:trPr>
          <w:trHeight w:val="160"/>
        </w:trPr>
        <w:tc>
          <w:tcPr>
            <w:tcW w:w="3360" w:type="dxa"/>
            <w:vAlign w:val="bottom"/>
          </w:tcPr>
          <w:p>
            <w:pPr>
              <w:spacing w:after="0"/>
              <w:rPr>
                <w:sz w:val="13"/>
                <w:szCs w:val="13"/>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2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36"/>
        </w:trPr>
        <w:tc>
          <w:tcPr>
            <w:tcW w:w="33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69,906,586</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2,276,694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(1,535,032)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739,508</w:t>
            </w:r>
          </w:p>
        </w:tc>
      </w:tr>
      <w:tr>
        <w:trPr>
          <w:trHeight w:val="18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213,713</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1,472</w:t>
            </w:r>
          </w:p>
        </w:tc>
      </w:tr>
      <w:tr>
        <w:trPr>
          <w:trHeight w:val="23"/>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388,017</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performance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103,955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103,955</w:t>
            </w:r>
          </w:p>
        </w:tc>
      </w:tr>
      <w:tr>
        <w:trPr>
          <w:trHeight w:val="20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818</w:t>
            </w:r>
          </w:p>
        </w:tc>
      </w:tr>
      <w:tr>
        <w:trPr>
          <w:trHeight w:val="23"/>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921</w:t>
            </w:r>
          </w:p>
        </w:tc>
      </w:tr>
      <w:tr>
        <w:trPr>
          <w:trHeight w:val="20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(54,246)</w:t>
            </w:r>
          </w:p>
        </w:tc>
      </w:tr>
      <w:tr>
        <w:trPr>
          <w:trHeight w:val="23"/>
        </w:trPr>
        <w:tc>
          <w:tcPr>
            <w:tcW w:w="3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April 30,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70,531,307</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2,382,121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(1,589,278)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792,429</w:t>
            </w:r>
          </w:p>
        </w:tc>
      </w:tr>
      <w:tr>
        <w:trPr>
          <w:trHeight w:val="18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265,477</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2,036</w:t>
            </w:r>
          </w:p>
        </w:tc>
      </w:tr>
      <w:tr>
        <w:trPr>
          <w:trHeight w:val="23"/>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432,093</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113,312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113,312</w:t>
            </w:r>
          </w:p>
        </w:tc>
      </w:tr>
      <w:tr>
        <w:trPr>
          <w:trHeight w:val="23"/>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19"/>
        </w:trPr>
        <w:tc>
          <w:tcPr>
            <w:tcW w:w="3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Plan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19,781</w:t>
            </w:r>
          </w:p>
        </w:tc>
      </w:tr>
      <w:tr>
        <w:trPr>
          <w:trHeight w:val="20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r>
      <w:tr>
        <w:trPr>
          <w:trHeight w:val="23"/>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1,105</w:t>
            </w:r>
          </w:p>
        </w:tc>
      </w:tr>
      <w:tr>
        <w:trPr>
          <w:trHeight w:val="220"/>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(37,597)</w:t>
            </w:r>
          </w:p>
        </w:tc>
      </w:tr>
      <w:tr>
        <w:trPr>
          <w:trHeight w:val="23"/>
        </w:trPr>
        <w:tc>
          <w:tcPr>
            <w:tcW w:w="3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July 31, 2023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71,343,385</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2,517,249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(1,626,875)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885,085</w:t>
            </w:r>
          </w:p>
        </w:tc>
      </w:tr>
      <w:tr>
        <w:trPr>
          <w:trHeight w:val="18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179,901</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1,303</w:t>
            </w:r>
          </w:p>
        </w:tc>
      </w:tr>
      <w:tr>
        <w:trPr>
          <w:trHeight w:val="23"/>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436,190</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115,829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115,829</w:t>
            </w:r>
          </w:p>
        </w:tc>
      </w:tr>
      <w:tr>
        <w:trPr>
          <w:trHeight w:val="24"/>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r>
      <w:tr>
        <w:trPr>
          <w:trHeight w:val="206"/>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r>
      <w:tr>
        <w:trPr>
          <w:trHeight w:val="23"/>
        </w:trPr>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(29,297)</w:t>
            </w:r>
          </w:p>
        </w:tc>
      </w:tr>
      <w:tr>
        <w:trPr>
          <w:trHeight w:val="191"/>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October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71,959,476</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2,634,381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(1,656,172)</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967,540</w:t>
            </w:r>
          </w:p>
        </w:tc>
      </w:tr>
      <w:tr>
        <w:trPr>
          <w:trHeight w:val="25"/>
        </w:trPr>
        <w:tc>
          <w:tcPr>
            <w:tcW w:w="3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46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7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(144,898)</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(121,140)</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13,257</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368,898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333,096</w:t>
            </w:r>
          </w:p>
        </w:tc>
      </w:tr>
      <w:tr>
        <w:trPr>
          <w:trHeight w:val="206"/>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Amortization of finance right-of-use assets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premium and accretion of discount on short-term investments, net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(36,405)</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Realized and unrealized gain on financial instruments, net</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Unrealized foreign exchange loss (gain)</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11,761</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Deferred commissions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(17,160)</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long-term assets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Accrued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20,314</w:t>
            </w:r>
          </w:p>
        </w:tc>
      </w:tr>
      <w:tr>
        <w:trPr>
          <w:trHeight w:val="220"/>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(138,724)</w:t>
            </w:r>
          </w:p>
        </w:tc>
      </w:tr>
      <w:tr>
        <w:trPr>
          <w:trHeight w:val="220"/>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r>
      <w:tr>
        <w:trPr>
          <w:trHeight w:val="23"/>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66,850</w:t>
            </w:r>
          </w:p>
        </w:tc>
      </w:tr>
      <w:tr>
        <w:trPr>
          <w:trHeight w:val="17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16"/>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r>
      <w:tr>
        <w:trPr>
          <w:trHeight w:val="206"/>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Investments in non-marketable securities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Business combinations, net of cash acquired</w:t>
            </w:r>
          </w:p>
        </w:tc>
        <w:tc>
          <w:tcPr>
            <w:tcW w:w="10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206"/>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1,190,000</w:t>
            </w:r>
          </w:p>
        </w:tc>
      </w:tr>
      <w:tr>
        <w:trPr>
          <w:trHeight w:val="23"/>
        </w:trPr>
        <w:tc>
          <w:tcPr>
            <w:tcW w:w="7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(1,233,851)</w:t>
            </w:r>
          </w:p>
        </w:tc>
      </w:tr>
      <w:tr>
        <w:trPr>
          <w:trHeight w:val="186"/>
        </w:trPr>
        <w:tc>
          <w:tcPr>
            <w:tcW w:w="7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(411,124)</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(64,243)</w:t>
            </w:r>
          </w:p>
        </w:tc>
      </w:tr>
      <w:tr>
        <w:trPr>
          <w:trHeight w:val="23"/>
        </w:trPr>
        <w:tc>
          <w:tcPr>
            <w:tcW w:w="77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bl>
    <w:p>
      <w:pPr>
        <w:spacing w:after="0" w:line="4" w:lineRule="exact"/>
        <w:rPr>
          <w:sz w:val="20"/>
          <w:szCs w:val="20"/>
          <w:color w:val="auto"/>
        </w:rPr>
      </w:pPr>
    </w:p>
    <w:p>
      <w:pPr>
        <w:sectPr>
          <w:pgSz w:w="11900" w:h="16838" w:orient="portrait"/>
          <w:cols w:equalWidth="0" w:num="1">
            <w:col w:w="11240"/>
          </w:cols>
          <w:pgMar w:left="320" w:top="130" w:right="339" w:bottom="1440" w:gutter="0" w:footer="0" w:header="0"/>
        </w:sectPr>
      </w:pPr>
    </w:p>
    <w:tbl>
      <w:tblPr>
        <w:tblLayout w:type="fixed"/>
        <w:tblInd w:w="180" w:type="dxa"/>
        <w:tblCellMar>
          <w:top w:w="0" w:type="dxa"/>
          <w:left w:w="0" w:type="dxa"/>
          <w:bottom w:w="0" w:type="dxa"/>
          <w:right w:w="0" w:type="dxa"/>
        </w:tblCellMar>
      </w:tblPr>
      <w:tr>
        <w:trPr>
          <w:trHeight w:val="188"/>
        </w:trPr>
        <w:tc>
          <w:tcPr>
            <w:tcW w:w="6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Proceeds from settlement of capped calls</w:t>
            </w:r>
          </w:p>
        </w:tc>
        <w:tc>
          <w:tcPr>
            <w:tcW w:w="1340" w:type="dxa"/>
            <w:vAlign w:val="bottom"/>
          </w:tcPr>
          <w:p>
            <w:pPr>
              <w:spacing w:after="0"/>
              <w:rPr>
                <w:sz w:val="16"/>
                <w:szCs w:val="16"/>
                <w:color w:val="auto"/>
              </w:rPr>
            </w:pPr>
          </w:p>
        </w:tc>
      </w:tr>
      <w:tr>
        <w:trPr>
          <w:trHeight w:val="243"/>
        </w:trPr>
        <w:tc>
          <w:tcPr>
            <w:tcW w:w="6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Proceeds from the issuance of common stock under the Employee Stock Purchase Plan</w:t>
            </w:r>
          </w:p>
        </w:tc>
        <w:tc>
          <w:tcPr>
            <w:tcW w:w="1340" w:type="dxa"/>
            <w:vAlign w:val="bottom"/>
          </w:tcPr>
          <w:p>
            <w:pPr>
              <w:spacing w:after="0"/>
              <w:rPr>
                <w:sz w:val="21"/>
                <w:szCs w:val="21"/>
                <w:color w:val="auto"/>
              </w:rPr>
            </w:pPr>
          </w:p>
        </w:tc>
      </w:tr>
      <w:tr>
        <w:trPr>
          <w:trHeight w:val="230"/>
        </w:trPr>
        <w:tc>
          <w:tcPr>
            <w:tcW w:w="6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340" w:type="dxa"/>
            <w:vAlign w:val="bottom"/>
          </w:tcPr>
          <w:p>
            <w:pPr>
              <w:spacing w:after="0"/>
              <w:rPr>
                <w:sz w:val="19"/>
                <w:szCs w:val="19"/>
                <w:color w:val="auto"/>
              </w:rPr>
            </w:pPr>
          </w:p>
        </w:tc>
      </w:tr>
      <w:tr>
        <w:trPr>
          <w:trHeight w:val="229"/>
        </w:trPr>
        <w:tc>
          <w:tcPr>
            <w:tcW w:w="6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Principal payments of finance leases</w:t>
            </w:r>
          </w:p>
        </w:tc>
        <w:tc>
          <w:tcPr>
            <w:tcW w:w="1340" w:type="dxa"/>
            <w:vAlign w:val="bottom"/>
          </w:tcPr>
          <w:p>
            <w:pPr>
              <w:spacing w:after="0"/>
              <w:rPr>
                <w:sz w:val="19"/>
                <w:szCs w:val="19"/>
                <w:color w:val="auto"/>
              </w:rPr>
            </w:pPr>
          </w:p>
        </w:tc>
      </w:tr>
      <w:tr>
        <w:trPr>
          <w:trHeight w:val="243"/>
        </w:trPr>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40" w:type="dxa"/>
            <w:vAlign w:val="bottom"/>
          </w:tcPr>
          <w:p>
            <w:pPr>
              <w:spacing w:after="0"/>
              <w:rPr>
                <w:sz w:val="21"/>
                <w:szCs w:val="2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340" w:type="dxa"/>
            <w:vAlign w:val="bottom"/>
          </w:tcPr>
          <w:p>
            <w:pPr>
              <w:spacing w:after="0"/>
              <w:rPr>
                <w:sz w:val="19"/>
                <w:szCs w:val="19"/>
                <w:color w:val="auto"/>
              </w:rPr>
            </w:pPr>
          </w:p>
        </w:tc>
      </w:tr>
      <w:tr>
        <w:trPr>
          <w:trHeight w:val="243"/>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340" w:type="dxa"/>
            <w:vAlign w:val="bottom"/>
          </w:tcPr>
          <w:p>
            <w:pPr>
              <w:spacing w:after="0"/>
              <w:rPr>
                <w:sz w:val="21"/>
                <w:szCs w:val="21"/>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340" w:type="dxa"/>
            <w:vAlign w:val="bottom"/>
          </w:tcPr>
          <w:p>
            <w:pPr>
              <w:spacing w:after="0"/>
              <w:rPr>
                <w:sz w:val="19"/>
                <w:szCs w:val="19"/>
                <w:color w:val="auto"/>
              </w:rPr>
            </w:pPr>
          </w:p>
        </w:tc>
      </w:tr>
      <w:tr>
        <w:trPr>
          <w:trHeight w:val="256"/>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1340" w:type="dxa"/>
            <w:vAlign w:val="bottom"/>
          </w:tcPr>
          <w:p>
            <w:pPr>
              <w:spacing w:after="0"/>
              <w:rPr>
                <w:sz w:val="19"/>
                <w:szCs w:val="19"/>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340" w:type="dxa"/>
            <w:vAlign w:val="bottom"/>
          </w:tcPr>
          <w:p>
            <w:pPr>
              <w:spacing w:after="0"/>
              <w:rPr>
                <w:sz w:val="18"/>
                <w:szCs w:val="18"/>
                <w:color w:val="auto"/>
              </w:rPr>
            </w:pPr>
          </w:p>
        </w:tc>
      </w:tr>
      <w:tr>
        <w:trPr>
          <w:trHeight w:val="27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-1492885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-892810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-1193165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right="480" w:hanging="121"/>
        <w:spacing w:after="0" w:line="244" w:lineRule="auto"/>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end of period, to the amounts shown in the statements of cash flows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400" w:type="dxa"/>
            <w:vAlign w:val="bottom"/>
          </w:tcPr>
          <w:p>
            <w:pPr>
              <w:spacing w:after="0"/>
              <w:rPr>
                <w:sz w:val="18"/>
                <w:szCs w:val="18"/>
                <w:color w:val="auto"/>
              </w:rPr>
            </w:pPr>
          </w:p>
        </w:tc>
      </w:tr>
      <w:tr>
        <w:trPr>
          <w:trHeight w:val="270"/>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170,589</w:t>
            </w: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18,640</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19,781</w:t>
            </w:r>
          </w:p>
        </w:tc>
        <w:tc>
          <w:tcPr>
            <w:tcW w:w="0" w:type="dxa"/>
            <w:vAlign w:val="bottom"/>
          </w:tcPr>
          <w:p>
            <w:pPr>
              <w:spacing w:after="0"/>
              <w:rPr>
                <w:sz w:val="1"/>
                <w:szCs w:val="1"/>
                <w:color w:val="auto"/>
              </w:rPr>
            </w:pPr>
          </w:p>
        </w:tc>
      </w:tr>
      <w:tr>
        <w:trPr>
          <w:trHeight w:val="230"/>
        </w:trPr>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1,621</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w:t>
            </w:r>
          </w:p>
        </w:tc>
        <w:tc>
          <w:tcPr>
            <w:tcW w:w="0" w:type="dxa"/>
            <w:vAlign w:val="bottom"/>
          </w:tcPr>
          <w:p>
            <w:pPr>
              <w:spacing w:after="0"/>
              <w:rPr>
                <w:sz w:val="1"/>
                <w:szCs w:val="1"/>
                <w:color w:val="auto"/>
              </w:rPr>
            </w:pPr>
          </w:p>
        </w:tc>
      </w:tr>
      <w:tr>
        <w:trPr>
          <w:trHeight w:val="243"/>
        </w:trPr>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(4,534)</w:t>
            </w: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0" w:type="dxa"/>
            <w:vAlign w:val="bottom"/>
          </w:tcPr>
          <w:p>
            <w:pPr>
              <w:spacing w:after="0"/>
              <w:rPr>
                <w:sz w:val="1"/>
                <w:szCs w:val="1"/>
                <w:color w:val="auto"/>
              </w:rPr>
            </w:pPr>
          </w:p>
        </w:tc>
      </w:tr>
      <w:tr>
        <w:trPr>
          <w:trHeight w:val="23"/>
        </w:trPr>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186,316</w:t>
            </w: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20,510</w:t>
            </w:r>
          </w:p>
        </w:tc>
        <w:tc>
          <w:tcPr>
            <w:tcW w:w="0" w:type="dxa"/>
            <w:vAlign w:val="bottom"/>
          </w:tcPr>
          <w:p>
            <w:pPr>
              <w:spacing w:after="0"/>
              <w:rPr>
                <w:sz w:val="1"/>
                <w:szCs w:val="1"/>
                <w:color w:val="auto"/>
              </w:rPr>
            </w:pPr>
          </w:p>
        </w:tc>
      </w:tr>
      <w:tr>
        <w:trPr>
          <w:trHeight w:val="23"/>
        </w:trPr>
        <w:tc>
          <w:tcPr>
            <w:tcW w:w="7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(2,825)</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0" w:type="dxa"/>
            <w:vAlign w:val="bottom"/>
          </w:tcPr>
          <w:p>
            <w:pPr>
              <w:spacing w:after="0"/>
              <w:rPr>
                <w:sz w:val="1"/>
                <w:szCs w:val="1"/>
                <w:color w:val="auto"/>
              </w:rPr>
            </w:pPr>
          </w:p>
        </w:tc>
      </w:tr>
      <w:tr>
        <w:trPr>
          <w:trHeight w:val="23"/>
        </w:trPr>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(127,980)</w:t>
            </w: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22,019</w:t>
            </w:r>
          </w:p>
        </w:tc>
        <w:tc>
          <w:tcPr>
            <w:tcW w:w="0" w:type="dxa"/>
            <w:vAlign w:val="bottom"/>
          </w:tcPr>
          <w:p>
            <w:pPr>
              <w:spacing w:after="0"/>
              <w:rPr>
                <w:sz w:val="1"/>
                <w:szCs w:val="1"/>
                <w:color w:val="auto"/>
              </w:rPr>
            </w:pPr>
          </w:p>
        </w:tc>
      </w:tr>
      <w:tr>
        <w:trPr>
          <w:trHeight w:val="243"/>
        </w:trPr>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803,643</w:t>
            </w: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456,339</w:t>
            </w:r>
          </w:p>
        </w:tc>
        <w:tc>
          <w:tcPr>
            <w:tcW w:w="0" w:type="dxa"/>
            <w:vAlign w:val="bottom"/>
          </w:tcPr>
          <w:p>
            <w:pPr>
              <w:spacing w:after="0"/>
              <w:rPr>
                <w:sz w:val="1"/>
                <w:szCs w:val="1"/>
                <w:color w:val="auto"/>
              </w:rPr>
            </w:pPr>
          </w:p>
        </w:tc>
      </w:tr>
      <w:tr>
        <w:trPr>
          <w:trHeight w:val="23"/>
        </w:trPr>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675,663</w:t>
            </w: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0" w:type="dxa"/>
            <w:vAlign w:val="bottom"/>
            <w:vMerge w:val="continue"/>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478,358</w:t>
            </w:r>
          </w:p>
        </w:tc>
        <w:tc>
          <w:tcPr>
            <w:tcW w:w="0" w:type="dxa"/>
            <w:vAlign w:val="bottom"/>
          </w:tcPr>
          <w:p>
            <w:pPr>
              <w:spacing w:after="0"/>
              <w:rPr>
                <w:sz w:val="1"/>
                <w:szCs w:val="1"/>
                <w:color w:val="auto"/>
              </w:rPr>
            </w:pPr>
          </w:p>
        </w:tc>
      </w:tr>
      <w:tr>
        <w:trPr>
          <w:trHeight w:val="23"/>
        </w:trPr>
        <w:tc>
          <w:tcPr>
            <w:tcW w:w="7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1"/>
        </w:trPr>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11,703</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0" w:type="dxa"/>
            <w:vAlign w:val="bottom"/>
          </w:tcPr>
          <w:p>
            <w:pPr>
              <w:spacing w:after="0"/>
              <w:rPr>
                <w:sz w:val="1"/>
                <w:szCs w:val="1"/>
                <w:color w:val="auto"/>
              </w:rPr>
            </w:pPr>
          </w:p>
        </w:tc>
      </w:tr>
      <w:tr>
        <w:trPr>
          <w:trHeight w:val="243"/>
        </w:trPr>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3,236</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0" w:type="dxa"/>
            <w:vAlign w:val="bottom"/>
          </w:tcPr>
          <w:p>
            <w:pPr>
              <w:spacing w:after="0"/>
              <w:rPr>
                <w:sz w:val="1"/>
                <w:szCs w:val="1"/>
                <w:color w:val="auto"/>
              </w:rPr>
            </w:pPr>
          </w:p>
        </w:tc>
      </w:tr>
      <w:tr>
        <w:trPr>
          <w:trHeight w:val="594"/>
        </w:trPr>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673,054</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477,675</w:t>
            </w:r>
          </w:p>
        </w:tc>
        <w:tc>
          <w:tcPr>
            <w:tcW w:w="0" w:type="dxa"/>
            <w:vAlign w:val="bottom"/>
          </w:tcPr>
          <w:p>
            <w:pPr>
              <w:spacing w:after="0"/>
              <w:rPr>
                <w:sz w:val="1"/>
                <w:szCs w:val="1"/>
                <w:color w:val="auto"/>
              </w:rPr>
            </w:pPr>
          </w:p>
        </w:tc>
      </w:tr>
      <w:tr>
        <w:trPr>
          <w:trHeight w:val="256"/>
        </w:trPr>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2,609</w:t>
            </w: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4"/>
        </w:trPr>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675,663</w:t>
            </w: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0" w:type="dxa"/>
            <w:vAlign w:val="bottom"/>
            <w:vMerge w:val="continue"/>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478,358</w:t>
            </w:r>
          </w:p>
        </w:tc>
        <w:tc>
          <w:tcPr>
            <w:tcW w:w="0" w:type="dxa"/>
            <w:vAlign w:val="bottom"/>
          </w:tcPr>
          <w:p>
            <w:pPr>
              <w:spacing w:after="0"/>
              <w:rPr>
                <w:sz w:val="1"/>
                <w:szCs w:val="1"/>
                <w:color w:val="auto"/>
              </w:rPr>
            </w:pPr>
          </w:p>
        </w:tc>
      </w:tr>
      <w:tr>
        <w:trPr>
          <w:trHeight w:val="24"/>
        </w:trPr>
        <w:tc>
          <w:tcPr>
            <w:tcW w:w="7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-33655</wp:posOffset>
            </wp:positionV>
            <wp:extent cx="1062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-8255</wp:posOffset>
            </wp:positionV>
            <wp:extent cx="1062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-179705</wp:posOffset>
            </wp:positionV>
            <wp:extent cx="1062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-1328420</wp:posOffset>
            </wp:positionV>
            <wp:extent cx="10629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-1473835</wp:posOffset>
            </wp:positionV>
            <wp:extent cx="1062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-1773555</wp:posOffset>
            </wp:positionV>
            <wp:extent cx="1062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-2073910</wp:posOffset>
            </wp:positionV>
            <wp:extent cx="10629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8140" w:space="720"/>
            <w:col w:w="2380"/>
          </w:cols>
          <w:pgMar w:left="320" w:top="13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Basis of Presentation</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to fairly state the Company’s financial position and results of operations as of and for the periods presented. All intercompany transactions and accounts have been eliminated. The results of operations for the interim periods should not be considered indicative of results for the full year or for any other future year or interim period.</w:t>
      </w:r>
    </w:p>
    <w:p>
      <w:pPr>
        <w:spacing w:after="0" w:line="1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2024 (the “2024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Use of Estimates</w:t>
      </w:r>
    </w:p>
    <w:p>
      <w:pPr>
        <w:spacing w:after="0" w:line="17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acquired intangible assets and property and equipment, fair value of financial instruments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3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global macroeconomic conditions, including slower economic growth, persistent inflation and a high interest rate environment, continue to impact demand and supply for a broad variety of goods and services, including demand from the Company’s customers.</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Significant Accounting Policies</w:t>
      </w:r>
    </w:p>
    <w:p>
      <w:pPr>
        <w:spacing w:after="0" w:line="173" w:lineRule="exact"/>
        <w:rPr>
          <w:sz w:val="20"/>
          <w:szCs w:val="20"/>
          <w:color w:val="auto"/>
        </w:rPr>
      </w:pPr>
    </w:p>
    <w:p>
      <w:pPr>
        <w:ind w:right="1600" w:firstLine="486"/>
        <w:spacing w:after="0" w:line="437" w:lineRule="auto"/>
        <w:rPr>
          <w:sz w:val="20"/>
          <w:szCs w:val="20"/>
          <w:color w:val="auto"/>
        </w:rPr>
      </w:pPr>
      <w:r>
        <w:rPr>
          <w:rFonts w:ascii="Times New Roman" w:cs="Times New Roman" w:eastAsia="Times New Roman" w:hAnsi="Times New Roman"/>
          <w:sz w:val="18"/>
          <w:szCs w:val="18"/>
          <w:color w:val="auto"/>
        </w:rPr>
        <w:t xml:space="preserve">There have been no changes to the Company’s significant accounting policies as described in the Company’s 2024 Form 10-K. </w:t>
      </w:r>
      <w:r>
        <w:rPr>
          <w:rFonts w:ascii="Times New Roman" w:cs="Times New Roman" w:eastAsia="Times New Roman" w:hAnsi="Times New Roman"/>
          <w:sz w:val="18"/>
          <w:szCs w:val="18"/>
          <w:i w:val="1"/>
          <w:iCs w:val="1"/>
          <w:color w:val="auto"/>
        </w:rPr>
        <w:t>Recently Issued Accounting Pronouncements</w:t>
      </w: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In November 2023, the FASB issued ASU 2023-07,</w:t>
      </w:r>
      <w:r>
        <w:rPr>
          <w:rFonts w:ascii="Times New Roman" w:cs="Times New Roman" w:eastAsia="Times New Roman" w:hAnsi="Times New Roman"/>
          <w:sz w:val="18"/>
          <w:szCs w:val="18"/>
          <w:i w:val="1"/>
          <w:iCs w:val="1"/>
          <w:color w:val="auto"/>
        </w:rPr>
        <w:t xml:space="preserve"> Segment Reporting </w:t>
      </w:r>
      <w:r>
        <w:rPr>
          <w:rFonts w:ascii="Times New Roman" w:cs="Times New Roman" w:eastAsia="Times New Roman" w:hAnsi="Times New Roman"/>
          <w:sz w:val="18"/>
          <w:szCs w:val="18"/>
          <w:color w:val="auto"/>
        </w:rPr>
        <w:t>(Topic 280):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to Reportable Segment Disclosures, which requires companies to provide disclosures of significant segment expenses and other segment items. The guidance requires companies to provide in interim periods all disclosures about a reportable segment’s profit or loss and assets that are currently required annually. The guidance is applied retrospectively and is effective for the Company for fiscal year ending January 31, 2025, and for interim periods beginning February 1, 2025. The Company is currently evaluating the impact of ASU 2023-07 on its consolidated financial statements.</w:t>
      </w:r>
    </w:p>
    <w:p>
      <w:pPr>
        <w:spacing w:after="0" w:line="1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Income Taxes </w:t>
      </w:r>
      <w:r>
        <w:rPr>
          <w:rFonts w:ascii="Times New Roman" w:cs="Times New Roman" w:eastAsia="Times New Roman" w:hAnsi="Times New Roman"/>
          <w:sz w:val="18"/>
          <w:szCs w:val="18"/>
          <w:color w:val="auto"/>
        </w:rPr>
        <w:t>(Topic 740): Improvements to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Disclosures, which requires companies 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(national), state and foreign taxes and to disaggregate the information by jurisdiction based on a quantitative threshold. The guidance is effective for the Company for the fiscal year ending January 31, 2026, and early adoption is permitted. The Company is currently evaluating the impact of ASU 2023-09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and January 31, 2024 and indicate the fair value hierarchy of the valuation inputs utilized to determine such fair value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Fair Value Measurement as of October 31, 2024</w:t>
            </w:r>
          </w:p>
        </w:tc>
        <w:tc>
          <w:tcPr>
            <w:tcW w:w="1120" w:type="dxa"/>
            <w:vAlign w:val="bottom"/>
            <w:tcBorders>
              <w:bottom w:val="single" w:sz="8" w:color="auto"/>
            </w:tcBorders>
          </w:tcPr>
          <w:p>
            <w:pPr>
              <w:spacing w:after="0"/>
              <w:rPr>
                <w:sz w:val="18"/>
                <w:szCs w:val="18"/>
                <w:color w:val="auto"/>
              </w:rPr>
            </w:pPr>
          </w:p>
        </w:tc>
      </w:tr>
      <w:tr>
        <w:trPr>
          <w:trHeight w:val="219"/>
        </w:trPr>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51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150,934</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150,934</w:t>
            </w:r>
          </w:p>
        </w:tc>
      </w:tr>
      <w:tr>
        <w:trPr>
          <w:trHeight w:val="230"/>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4"/>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1,629,038</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1,629,038</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1,779,972</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1,779,972</w:t>
            </w: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4"/>
        </w:trPr>
        <w:tc>
          <w:tcPr>
            <w:tcW w:w="5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Fair Value Measurement as of January 31, 2024</w:t>
            </w:r>
          </w:p>
        </w:tc>
        <w:tc>
          <w:tcPr>
            <w:tcW w:w="1120" w:type="dxa"/>
            <w:vAlign w:val="bottom"/>
            <w:tcBorders>
              <w:bottom w:val="single" w:sz="8" w:color="auto"/>
            </w:tcBorders>
          </w:tcPr>
          <w:p>
            <w:pPr>
              <w:spacing w:after="0"/>
              <w:rPr>
                <w:sz w:val="24"/>
                <w:szCs w:val="24"/>
                <w:color w:val="auto"/>
              </w:rPr>
            </w:pPr>
          </w:p>
        </w:tc>
      </w:tr>
      <w:tr>
        <w:trPr>
          <w:trHeight w:val="219"/>
        </w:trPr>
        <w:tc>
          <w:tcPr>
            <w:tcW w:w="5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512,456</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512,456</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1,212,448</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1,212,448</w:t>
            </w:r>
          </w:p>
        </w:tc>
      </w:tr>
      <w:tr>
        <w:trPr>
          <w:trHeight w:val="26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1,724,904</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1,724,904</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utilized the market approach and Level 1 valuation inputs to value its money market mutual funds and U.S. government treasury securities because published net asset values were readily available.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the Company’s short-term investments by remaining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and January 31, 2024 (in thousands):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31, 2024</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Net Unrealized</w:t>
            </w:r>
          </w:p>
        </w:tc>
        <w:tc>
          <w:tcPr>
            <w:tcW w:w="1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Net Unrealized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4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909,218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910,043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520,006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519,463</w:t>
            </w: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Due after one year and within three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718,407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718,995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690,211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692,985</w:t>
            </w:r>
          </w:p>
        </w:tc>
        <w:tc>
          <w:tcPr>
            <w:tcW w:w="0" w:type="dxa"/>
            <w:vAlign w:val="bottom"/>
          </w:tcPr>
          <w:p>
            <w:pPr>
              <w:spacing w:after="0"/>
              <w:rPr>
                <w:sz w:val="1"/>
                <w:szCs w:val="1"/>
                <w:color w:val="auto"/>
              </w:rPr>
            </w:pPr>
          </w:p>
        </w:tc>
      </w:tr>
      <w:tr>
        <w:trPr>
          <w:trHeight w:val="223"/>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1,210,217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1,212,448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2024 and January 31, 2024, unrealized net gains on the Company’s U.S. government treasury securities were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and $2.2 million, respectively. These unrealized net gains were caused by fluctuations in interest rates, which results in changes to the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these securities. Since the fluctuation in fair value is due to changes in interest rates and not credit quality, and because the Company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 to sell the investments and it is not more likely than not that the Company will be required to sell the investments before recovery of their amortized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bases, which may be at maturity, the Company concluded that an allowance for credit losses was unnecessary for short-term investments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Gross realized gains and losses were not material for each of the three and nine months ended October 31, 2024 and 2023. There were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short-term investments in a continuous loss position for greater than twelve months.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Convertible Senior Notes and Capped Calls</w:t>
      </w:r>
    </w:p>
    <w:p>
      <w:pPr>
        <w:spacing w:after="0" w:line="17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outstanding convertible senior notes on a quarterly basis for disclosure purposes. The Company considers the fair value of its convertible senior notes as of October 31, 2024 to be a Level 2 measurement due to limited trading activity of the convertible senior notes.</w:t>
      </w:r>
    </w:p>
    <w:p>
      <w:pPr>
        <w:spacing w:after="0" w:line="12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fair value measurements for the derivative asset related to the Capped Calls associated with the 2024 Notes (as defined herein) are determined using the Black-Scholes option-pricing model with Level 1 and Level 2 inputs. The derivative asset recognized during the three months ended April 30, 2024 was cash settled in June 2024.</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for further details on the convertible senior notes and Capped Calls.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Non-marketable Securities</w:t>
      </w:r>
    </w:p>
    <w:p>
      <w:pPr>
        <w:spacing w:after="0" w:line="17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As of October 31, 2024 and January 31, 2024, the total amount of non-marketable equity and debt securities included in other assets on the Company’s condensed consolidated balance sheets was $18.9 million and $12.9 million, respectively. The Company invested an additional $5.8 million and $2.1 million of its cash in non-marketable equity securities during the nine months ended October 31, 2024 and 2023, respectively. The Company recognized immaterial net unrealized gains on certain of these non-marketable securities during the three and nine months ended October 31, 2024. No unrealized gain or loss was recognized during the three months ended October 31, 2023. The Company recognized net unrealized gains on certain of these non-marketable securities of $1.3 million during the nine months ended October 31, 2023.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Part II, Item 8 of the Company’s 2024 Form 10-K for further information. The Company considers these assets as Level 3 within the fair value hierarchy when an impairment or observable price changes in orderly transactions are recognized on these non-marketable securities during the period.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during the periods presented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January 31, 2024</w:t>
            </w:r>
          </w:p>
        </w:tc>
      </w:tr>
      <w:tr>
        <w:trPr>
          <w:trHeight w:val="22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100" w:type="dxa"/>
            <w:vAlign w:val="bottom"/>
            <w:shd w:val="clear" w:color="auto" w:fill="CCEEFF"/>
          </w:tcPr>
          <w:p>
            <w:pPr>
              <w:jc w:val="right"/>
              <w:ind w:right="18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57,779</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goodwill related to business combinations</w:t>
            </w:r>
          </w:p>
        </w:tc>
        <w:tc>
          <w:tcPr>
            <w:tcW w:w="2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100" w:type="dxa"/>
            <w:vAlign w:val="bottom"/>
            <w:tcBorders>
              <w:top w:val="single" w:sz="8" w:color="auto"/>
              <w:bottom w:val="single" w:sz="8" w:color="auto"/>
            </w:tcBorders>
            <w:shd w:val="clear" w:color="auto" w:fill="CCEEFF"/>
          </w:tcPr>
          <w:p>
            <w:pPr>
              <w:jc w:val="right"/>
              <w:ind w:right="18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 administrative expenses in the condensed consolidated statements of operations. The business combination did not have a material impact on the Company’s condensed consolidated financial statements.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the Company’s intangible assets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6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0" w:type="dxa"/>
            <w:vAlign w:val="bottom"/>
          </w:tcPr>
          <w:p>
            <w:pPr>
              <w:spacing w:after="0"/>
              <w:rPr>
                <w:sz w:val="11"/>
                <w:szCs w:val="11"/>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1"/>
                <w:szCs w:val="11"/>
                <w:color w:val="auto"/>
              </w:rPr>
            </w:pP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3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0" w:type="dxa"/>
            <w:vAlign w:val="bottom"/>
          </w:tcPr>
          <w:p>
            <w:pPr>
              <w:spacing w:after="0"/>
              <w:rPr>
                <w:sz w:val="11"/>
                <w:szCs w:val="11"/>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1"/>
                <w:szCs w:val="11"/>
                <w:color w:val="auto"/>
              </w:rPr>
            </w:pP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Acquired intangible assets are amortized on a straight-line basis. Amortization expense of intangible assets was $0.2 million and $3.0 million for the three and nine months ended October 31, 2024, respectively, and $2.8 million and $7.4 million for the three and nine months ended October 31, 2023, respectively. Amortization expense for developed technology was included as research and development expense in the Company’s interim condensed consolidated statements of operations. Amortization expense for customer relationships was included as sales and marketing expense in the Company’s interim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October 31, 2024, future amortization expense related to the intangible assets is as follows (in thousands):</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January 31,</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0"/>
        </w:trPr>
        <w:tc>
          <w:tcPr>
            <w:tcW w:w="9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Convertible Senior Notes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amounts of the Company’s 2026 Notes (as defined herein) were as follows for the periods presented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3"/>
        </w:trPr>
        <w:tc>
          <w:tcPr>
            <w:tcW w:w="7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1,128,921</w:t>
            </w:r>
          </w:p>
        </w:tc>
        <w:tc>
          <w:tcPr>
            <w:tcW w:w="400" w:type="dxa"/>
            <w:vAlign w:val="bottom"/>
            <w:shd w:val="clear" w:color="auto" w:fill="CCEEFF"/>
          </w:tcPr>
          <w:p>
            <w:pPr>
              <w:jc w:val="right"/>
              <w:ind w:right="207"/>
              <w:spacing w:after="0" w:line="118" w:lineRule="exact"/>
              <w:rPr>
                <w:sz w:val="20"/>
                <w:szCs w:val="20"/>
                <w:color w:val="auto"/>
              </w:rPr>
            </w:pPr>
            <w:r>
              <w:rPr>
                <w:rFonts w:ascii="Times New Roman" w:cs="Times New Roman" w:eastAsia="Times New Roman" w:hAnsi="Times New Roman"/>
                <w:sz w:val="11"/>
                <w:szCs w:val="11"/>
                <w:color w:val="auto"/>
                <w:w w:val="93"/>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1,149,972</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1,124,720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1,143,273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right="20" w:hanging="166"/>
        <w:spacing w:after="0" w:line="239" w:lineRule="auto"/>
        <w:tabs>
          <w:tab w:leader="none" w:pos="663"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aggregate principal amount outstanding of the 2026 Notes is presented within Convertible senior notes, net, current on the Company’s condensed consolidated balance sheet as of October 31, 2024.</w:t>
      </w:r>
    </w:p>
    <w:p>
      <w:pPr>
        <w:spacing w:after="0" w:line="4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2024, the estimated fair value (Level 2) of the outstanding 2026 Notes, which is utilized solely for disclosure purposes, was approximately $1.5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spacing w:after="0" w:line="12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 billion.</w:t>
      </w:r>
    </w:p>
    <w:p>
      <w:pPr>
        <w:spacing w:after="0" w:line="131"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2024 Form 10-K for further information on the 2026 Notes.</w:t>
      </w:r>
    </w:p>
    <w:p>
      <w:pPr>
        <w:spacing w:after="0" w:line="10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October 2024, the optional redemption feature of the 2026 Notes was satisfied as the last reported sale price of the Company’s common stock was more than or equal to 130% of the conversion price for at least 20 trading days in the period of 30 consecutive trading days. On October 16, 2024, the Company issued a notice of redemption (the “Redemption Notice”) for all aggregate principal amount outstanding of its 2026 Notes. Pursuant to the Redemption Notice, on December 16, 2024 (the “Redemption Date”), the Company will redeem all 2026 Notes that have not been converted prior to such date at a redemption price in cash equal to 100% of the principal amount of such 2026 Notes, plus accrued and unpaid interest from July 15, 2024 to, but excluding, the Redemption Date (the “Redemption Price”). On the Redemption Date, the Redemption Price will become due and payable upon each 2026 Note to be redeemed and interest thereon will cease to accrue on and after the Redemption Date.</w:t>
      </w:r>
    </w:p>
    <w:p>
      <w:pPr>
        <w:spacing w:after="0" w:line="13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2026 Notes called for redemption may be converted by holders at any time before 5:00 p.m. (New York City time) on December 13, 2024 (the “Conversion Deadline”). The Conversion Rate for 2026 Notes converted after the date of the Redemption Notice and prior to the Conversion Deadline will be equal to 4.9260 shares of the Company’s common stock, par value $0.001 per share, per $1,000 principal amount of the 2026 Notes, which includes an increase of the conversion rate of 0.1911 additional shares of the Company’s common stock per $1,000 principal amount of the 2026 Notes as a result of the 2026 Notes being called for optional redemption. The Company has elected to settle any conversions occurring after the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Redemption Notice and prior to the Conversion Deadline by delivering common stock, plus cash in lieu of any resulting fractional shares.</w:t>
      </w:r>
    </w:p>
    <w:p>
      <w:pPr>
        <w:spacing w:after="0" w:line="17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classified the 2026 Notes as Convertible senior notes, net, current on the Company’s condensed consolidated balance sheet as of October 31, 2024 as the Company expects to redeem the 2026 Notes no later than the Redemption Date. During the three months ended October 31, 2024, certain holders elected to convert $21.1 million aggregate principal amount of the 2026 Notes for 103,696 shares of the Company’s common stock with the remaining balance settled in cash. The Company recorded the carrying amount of the converted debt into common stock and additional paid-in-capital with no gain or loss recognized. The Company reflected these conversions as non-cash financing activities in the Company’s condensed consolidated statement of cash flows for the nine months ended October 31, 2024.</w:t>
      </w:r>
    </w:p>
    <w:p>
      <w:pPr>
        <w:spacing w:after="0" w:line="13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Between November 1, 2024 and December 10, 2024, approximately $115.8 million aggregate principal amount were converted, or are required to be converted, to 570,257 shares of the Company’s common stock with the remaining balance settled in cash. As of December 10, 2024, the Company had aggregate principal amount outstanding of $1.0 billion which will be redeemed by the Redemption Date in either the Company’s common stock or cash.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issuance of the Company’s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spacing w:after="0" w:line="12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April 2024, the Company elected cash settlement for the Capped Calls associated with the 2024 Notes. The settlement period of the Capped Calls associated with the 2024 Notes ranges between April 2024 and June 2024 with cash receipt in June 2024. Upon the cash settlement election, the instrument, initially indexed to the Company’s own stock, no longer met the criteria for equity classification and was reclassified from stockholder’s equity to assets on the Company’s condensed consolidated balance sheet. The reclassification resulted in the recognition of a derivative asset, with an estimated fair value at cash settlement election date of $169.7 million, with a corresponding increase in additional paid in capital, which is reflected as a noncash financing activity for the three months ended April 30, 2024. The derivative asset was included in prepaid expenses and other current assets on the Company’s condensed consolidated balance sheet. The fair value of the derivative instrument as of April 30, 2024, was $170.2 million and as a result the Company recognized an unrealized gain of $0.5 million, which was recorded in other income (expense), net, on the Company’s interim condensed consolidated statement of operations. The fair values of the derivative asset related to the Capped Calls associated with the 2024 Notes were determined using the Black-Scholes option-pricing model with significant inputs being the Company’s share price and the risk free rate, based on the Secured Overnight Offering Rate, at each valuation date. The impact of volatility was not significant on the fair value measurements. In June 2024, the derivative asset was settled and the Company received $170.6 million in cash and recognized a realized gain of $0.9 million for the three and six months ended July 31, 2024, which was recorded in other income (expense), net, on the Company’s interim condensed consolidated statement of operations.</w:t>
      </w:r>
    </w:p>
    <w:p>
      <w:pPr>
        <w:spacing w:after="0" w:line="13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these Capped Calls through October 31, 2024.</w:t>
      </w:r>
    </w:p>
    <w:p>
      <w:pPr>
        <w:spacing w:after="0" w:line="120"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2024 Form 10-K for further information on the Capped Calls and the 2024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Lease Costs</w:t>
      </w:r>
    </w:p>
    <w:p>
      <w:pPr>
        <w:spacing w:after="0" w:line="173"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the Company’s lease costs included in its interim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5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5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r>
      <w:tr>
        <w:trPr>
          <w:trHeight w:val="21"/>
        </w:trPr>
        <w:tc>
          <w:tcPr>
            <w:tcW w:w="4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Balance Sheet Components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of the Company’s finance and operating leases were recorded on the condensed consolidated balance sheets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3"/>
        </w:trPr>
        <w:tc>
          <w:tcPr>
            <w:tcW w:w="61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40" w:type="dxa"/>
            <w:vAlign w:val="bottom"/>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 current</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37,511</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40" w:type="dxa"/>
            <w:vAlign w:val="bottom"/>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37,365</w:t>
            </w: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r>
      <w:tr>
        <w:trPr>
          <w:trHeight w:val="234"/>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Maturities of Lease Liabilities</w:t>
      </w:r>
    </w:p>
    <w:p>
      <w:pPr>
        <w:spacing w:after="0" w:line="173"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finance and operating leases on an annual undiscounted cash flow basis as of October 31, 2024 were as follows (in thousands):</w:t>
      </w:r>
    </w:p>
    <w:p>
      <w:pPr>
        <w:sectPr>
          <w:pgSz w:w="11900" w:h="16838" w:orient="portrait"/>
          <w:cols w:equalWidth="0" w:num="1">
            <w:col w:w="11240"/>
          </w:cols>
          <w:pgMar w:left="320" w:top="130" w:right="339" w:bottom="1440" w:gutter="0" w:footer="0" w:header="0"/>
        </w:sectPr>
      </w:pP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p>
      <w:pPr>
        <w:spacing w:after="0" w:line="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Remainder of 2025</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2026</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2029</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Thereafter</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minimum payments</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Present value of future minimum lease payments</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Less current obligations under leases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Non-current lease obligations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Non-cancelable Material Commitments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40" w:type="dxa"/>
            <w:vAlign w:val="bottom"/>
          </w:tcPr>
          <w:p>
            <w:pPr>
              <w:spacing w:after="0"/>
              <w:rPr>
                <w:sz w:val="16"/>
                <w:szCs w:val="16"/>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59"/>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30"/>
        </w:trPr>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r>
      <w:tr>
        <w:trPr>
          <w:trHeight w:val="230"/>
        </w:trPr>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r>
      <w:tr>
        <w:trPr>
          <w:trHeight w:val="229"/>
        </w:trPr>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w:t>
            </w:r>
          </w:p>
        </w:tc>
      </w:tr>
      <w:tr>
        <w:trPr>
          <w:trHeight w:val="234"/>
        </w:trPr>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r>
      <w:tr>
        <w:trPr>
          <w:trHeight w:val="283"/>
        </w:trPr>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w:t>
            </w:r>
          </w:p>
        </w:tc>
      </w:tr>
      <w:tr>
        <w:trPr>
          <w:trHeight w:val="291"/>
        </w:trPr>
        <w:tc>
          <w:tcPr>
            <w:tcW w:w="2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43,122</w:t>
            </w:r>
          </w:p>
        </w:tc>
      </w:tr>
      <w:tr>
        <w:trPr>
          <w:trHeight w:val="310"/>
        </w:trPr>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91"/>
        </w:trPr>
        <w:tc>
          <w:tcPr>
            <w:tcW w:w="2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38,426</w:t>
            </w:r>
          </w:p>
        </w:tc>
      </w:tr>
      <w:tr>
        <w:trPr>
          <w:trHeight w:val="310"/>
        </w:trPr>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(10,787)</w:t>
            </w:r>
          </w:p>
        </w:tc>
      </w:tr>
      <w:tr>
        <w:trPr>
          <w:trHeight w:val="26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-1619250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-1328420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-1002665</wp:posOffset>
            </wp:positionV>
            <wp:extent cx="713232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-608330</wp:posOffset>
            </wp:positionV>
            <wp:extent cx="7132320" cy="19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-213995</wp:posOffset>
            </wp:positionV>
            <wp:extent cx="713232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-1945640</wp:posOffset>
            </wp:positionV>
            <wp:extent cx="71323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264" w:lineRule="exact"/>
        <w:rPr>
          <w:sz w:val="20"/>
          <w:szCs w:val="20"/>
          <w:color w:val="auto"/>
        </w:rPr>
      </w:pPr>
    </w:p>
    <w:p>
      <w:pPr>
        <w:sectPr>
          <w:pgSz w:w="11900" w:h="16838" w:orient="portrait"/>
          <w:cols w:equalWidth="0" w:num="2">
            <w:col w:w="6820" w:space="720"/>
            <w:col w:w="3700"/>
          </w:cols>
          <w:pgMar w:left="320" w:top="130"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26" w:lineRule="exact"/>
        <w:rPr>
          <w:sz w:val="20"/>
          <w:szCs w:val="20"/>
          <w:color w:val="auto"/>
        </w:rPr>
      </w:pPr>
    </w:p>
    <w:p>
      <w:pPr>
        <w:ind w:right="20" w:firstLine="486"/>
        <w:spacing w:after="0" w:line="243" w:lineRule="auto"/>
        <w:rPr>
          <w:sz w:val="20"/>
          <w:szCs w:val="20"/>
          <w:color w:val="auto"/>
        </w:rPr>
      </w:pPr>
      <w:r>
        <w:rPr>
          <w:rFonts w:ascii="Times New Roman" w:cs="Times New Roman" w:eastAsia="Times New Roman" w:hAnsi="Times New Roman"/>
          <w:sz w:val="18"/>
          <w:szCs w:val="18"/>
          <w:color w:val="auto"/>
        </w:rPr>
        <w:t xml:space="preserve">During the nine months ended October 31, 2024, other than certain non-cancelable operating leases described in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material changes outside the ordinary course of business to the Company’s contractual obligations and commitments from those disclosed in the 2024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Legal Matters</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Baxter v. MongoDB, Inc., et al., was filed in the United States District Court for the Southern District of New York against MongoDB, CEO Dev Ittycheria, and COO and CFO Michael Gordon. The lawsuit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August 31, 2023 and May 30, 2024. It seeks unspecified monetary damages, costs and attorneys’ fees, and other unspecified relief. The Company is unable to estimate any reasonably possible loss, or range of loss, with respect to these matters at this time. The Company intends to vigorously defend themself in this matter.</w:t>
      </w:r>
    </w:p>
    <w:p>
      <w:pPr>
        <w:spacing w:after="0" w:line="134"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On October 7, 2024, a shareholder derivative action was filed by Anand Roy, on behalf of the Company, in the U.S. District Court for the Southern District of New York, Case. No. 1:24-cv-07594, against the Company (as a nominal defendant), and certain officers and directors. This derivative action alleges the same core allegations as stated in the securities class action lawsuit. Similar cases were subsequently filed in the same district (together with the Roy matter, the “Derivative Litigations”). The Derivative Litigations are at an early stage; the Roy matter has been stayed, pending the outcome of the Court's decision on the defendants’ anticipated motion to dismiss the securities class action lawsuit, and defendants have not yet been served in the other Derivative Litigations. The Company is unable to estimate any reasonably possible loss, or range of loss, with respect to these matters at this time.</w:t>
      </w:r>
    </w:p>
    <w:p>
      <w:pPr>
        <w:spacing w:after="0" w:line="133" w:lineRule="exact"/>
        <w:rPr>
          <w:sz w:val="20"/>
          <w:szCs w:val="20"/>
          <w:color w:val="auto"/>
        </w:rPr>
      </w:pPr>
    </w:p>
    <w:p>
      <w:pPr>
        <w:ind w:right="360" w:firstLine="486"/>
        <w:spacing w:after="0" w:line="258" w:lineRule="auto"/>
        <w:rPr>
          <w:sz w:val="20"/>
          <w:szCs w:val="20"/>
          <w:color w:val="auto"/>
        </w:rPr>
      </w:pPr>
      <w:r>
        <w:rPr>
          <w:rFonts w:ascii="Times New Roman" w:cs="Times New Roman" w:eastAsia="Times New Roman" w:hAnsi="Times New Roman"/>
          <w:sz w:val="18"/>
          <w:szCs w:val="18"/>
          <w:color w:val="auto"/>
        </w:rPr>
        <w:t>Although claims and litigation are inherently unpredictable, as of October 31, 2024,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Indemnification</w:t>
      </w:r>
    </w:p>
    <w:p>
      <w:pPr>
        <w:spacing w:after="0" w:line="173"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35"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Disaggregation of Revenue</w:t>
      </w:r>
    </w:p>
    <w:p>
      <w:pPr>
        <w:spacing w:after="0" w:line="17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Based on the information provided to and reviewed by the Company’s Chief Executive Officer,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products between its MongoDB Atlas-related offerings and other subscription products, which include MongoDB Enterprise Advanced.</w:t>
      </w:r>
    </w:p>
    <w:p>
      <w:pPr>
        <w:spacing w:after="0" w:line="171" w:lineRule="exact"/>
        <w:rPr>
          <w:sz w:val="20"/>
          <w:szCs w:val="20"/>
          <w:color w:val="auto"/>
        </w:rPr>
      </w:pPr>
    </w:p>
    <w:p>
      <w:pPr>
        <w:ind w:right="14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primary geographical markets, subscription product categories and services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4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50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2"/>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325,076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265,698</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881,958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741,529</w:t>
            </w: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337,924</w:t>
            </w:r>
          </w:p>
        </w:tc>
      </w:tr>
      <w:tr>
        <w:trPr>
          <w:trHeight w:val="283"/>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145,556</w:t>
            </w:r>
          </w:p>
        </w:tc>
      </w:tr>
      <w:tr>
        <w:trPr>
          <w:trHeight w:val="288"/>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product categories and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MongoDB Atlas-related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362,604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286,856</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1,016,142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791,870</w:t>
            </w: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subscription</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390,517</w:t>
            </w:r>
          </w:p>
        </w:tc>
      </w:tr>
      <w:tr>
        <w:trPr>
          <w:trHeight w:val="283"/>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w:t>
            </w:r>
          </w:p>
        </w:tc>
      </w:tr>
      <w:tr>
        <w:trPr>
          <w:trHeight w:val="289"/>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Customers located in the United States accounted for 55% and 54% of total revenue for the three and nine months ended October 31, 2024, respectively, and 55% and 54% three and nine months ended October 31, 2023, respectively. No other country accounted for 10% or more of revenue for the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Contract Liabilities</w:t>
      </w:r>
    </w:p>
    <w:p>
      <w:pPr>
        <w:spacing w:after="0" w:line="17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Company’s contract liabilities are recorded as deferred revenue in the Company’s condensed consolidated balance sheets and consist of customer invoices issued or payments received in advance of revenues being recognized from the Company’s subscription and services contracts. Deferred revenue, including current and non-current balances, as of October 31, 2024 and January 31, 2024 was $304.9 million and $377.4 million, respectively. Approximately 22% and 31% of the total revenue recognized for the nine months ended October 31, 2024 and 2023, respectively, was from deferred revenue at the beginning of each respective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Remaining Performance Obligations</w:t>
      </w:r>
    </w:p>
    <w:p>
      <w:pPr>
        <w:spacing w:after="0" w:line="17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October 31, 2024, the aggregate transaction price allocated to remaining performance obligations was $728.0 million. Approximately 57%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Unbilled Receivables</w:t>
      </w:r>
    </w:p>
    <w:p>
      <w:pPr>
        <w:spacing w:after="0" w:line="173"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October 31, 2024 and January 31, 2024, unbilled receivables were $13.7 million and $22.7 million,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Allowance for Doubtful Accounts</w:t>
      </w:r>
    </w:p>
    <w:p>
      <w:pPr>
        <w:spacing w:after="0" w:line="17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r>
      <w:tr>
        <w:trPr>
          <w:trHeight w:val="23"/>
        </w:trPr>
        <w:tc>
          <w:tcPr>
            <w:tcW w:w="7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shd w:val="clear" w:color="auto" w:fill="CCEEFF"/>
          </w:tcPr>
          <w:p>
            <w:pPr>
              <w:jc w:val="center"/>
              <w:ind w:left="2734"/>
              <w:spacing w:after="0"/>
              <w:rPr>
                <w:sz w:val="20"/>
                <w:szCs w:val="20"/>
                <w:color w:val="auto"/>
              </w:rPr>
            </w:pPr>
            <w:r>
              <w:rPr>
                <w:rFonts w:ascii="Times New Roman" w:cs="Times New Roman" w:eastAsia="Times New Roman" w:hAnsi="Times New Roman"/>
                <w:sz w:val="18"/>
                <w:szCs w:val="18"/>
                <w:color w:val="auto"/>
                <w:w w:val="98"/>
              </w:rPr>
              <w:t>8,054</w:t>
            </w: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Pr>
          <w:p>
            <w:pPr>
              <w:spacing w:after="0"/>
              <w:rPr>
                <w:sz w:val="19"/>
                <w:szCs w:val="19"/>
                <w:color w:val="auto"/>
              </w:rPr>
            </w:pPr>
          </w:p>
        </w:tc>
        <w:tc>
          <w:tcPr>
            <w:tcW w:w="3380" w:type="dxa"/>
            <w:vAlign w:val="bottom"/>
          </w:tcPr>
          <w:p>
            <w:pPr>
              <w:jc w:val="center"/>
              <w:ind w:left="2734"/>
              <w:spacing w:after="0"/>
              <w:rPr>
                <w:sz w:val="20"/>
                <w:szCs w:val="20"/>
                <w:color w:val="auto"/>
              </w:rPr>
            </w:pPr>
            <w:r>
              <w:rPr>
                <w:rFonts w:ascii="Times New Roman" w:cs="Times New Roman" w:eastAsia="Times New Roman" w:hAnsi="Times New Roman"/>
                <w:sz w:val="18"/>
                <w:szCs w:val="18"/>
                <w:color w:val="auto"/>
                <w:w w:val="98"/>
              </w:rPr>
              <w:t>6,477</w:t>
            </w: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Recoveries/write-offs</w:t>
            </w:r>
          </w:p>
        </w:tc>
        <w:tc>
          <w:tcPr>
            <w:tcW w:w="52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center"/>
              <w:ind w:left="2714"/>
              <w:spacing w:after="0"/>
              <w:rPr>
                <w:sz w:val="20"/>
                <w:szCs w:val="20"/>
                <w:color w:val="auto"/>
              </w:rPr>
            </w:pPr>
            <w:r>
              <w:rPr>
                <w:rFonts w:ascii="Times New Roman" w:cs="Times New Roman" w:eastAsia="Times New Roman" w:hAnsi="Times New Roman"/>
                <w:sz w:val="18"/>
                <w:szCs w:val="18"/>
                <w:color w:val="auto"/>
              </w:rPr>
              <w:t>(6,319)</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tcBorders>
              <w:bottom w:val="single" w:sz="8" w:color="auto"/>
            </w:tcBorders>
          </w:tcPr>
          <w:p>
            <w:pPr>
              <w:jc w:val="center"/>
              <w:ind w:left="2734"/>
              <w:spacing w:after="0"/>
              <w:rPr>
                <w:sz w:val="20"/>
                <w:szCs w:val="20"/>
                <w:color w:val="auto"/>
              </w:rPr>
            </w:pPr>
            <w:r>
              <w:rPr>
                <w:rFonts w:ascii="Times New Roman" w:cs="Times New Roman" w:eastAsia="Times New Roman" w:hAnsi="Times New Roman"/>
                <w:sz w:val="18"/>
                <w:szCs w:val="18"/>
                <w:color w:val="auto"/>
                <w:w w:val="98"/>
              </w:rPr>
              <w:t>8,212</w:t>
            </w:r>
          </w:p>
        </w:tc>
      </w:tr>
      <w:tr>
        <w:trPr>
          <w:trHeight w:val="20"/>
        </w:trPr>
        <w:tc>
          <w:tcPr>
            <w:tcW w:w="7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Costs Capitalized to Obtain Contracts with Customers</w:t>
      </w:r>
    </w:p>
    <w:p>
      <w:pPr>
        <w:spacing w:after="0" w:line="17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Deferred commissions were $333.0 million and $294.2 million as of October 31, 2024 and January 31, 2024, respectively, of which $229.3 million and $201.7 million comprised the non-current portion and was included in other assets on the Company’s consolidated balance sheets as of October 31, 2024 and January 31, 2024, respectively. Amortization expense with respect to deferred commissions, which is included in sales and marketing expense in the Company’s interim condensed consolidated statements of operations, was $28.6 million and $82.2 million for the three and nine months ended October 31, 2024, respectively, and $25.3 million and $72.8 million for the three and nine months ended October 31, 2023, respectively. There was no impairment loss in relation to the costs capitalized for the periods presented.</w:t>
      </w:r>
    </w:p>
    <w:p>
      <w:pPr>
        <w:spacing w:after="0" w:line="210" w:lineRule="exact"/>
        <w:rPr>
          <w:sz w:val="20"/>
          <w:szCs w:val="20"/>
          <w:color w:val="auto"/>
        </w:rPr>
      </w:pPr>
    </w:p>
    <w:p>
      <w:pPr>
        <w:ind w:right="6560" w:firstLine="8"/>
        <w:spacing w:after="0" w:line="44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Incentive Plans and Employee Stock Purchase Plan </w:t>
      </w:r>
      <w:r>
        <w:rPr>
          <w:rFonts w:ascii="Times New Roman" w:cs="Times New Roman" w:eastAsia="Times New Roman" w:hAnsi="Times New Roman"/>
          <w:sz w:val="18"/>
          <w:szCs w:val="18"/>
          <w:b w:val="1"/>
          <w:bCs w:val="1"/>
          <w:color w:val="2C2C2C"/>
        </w:rPr>
        <w:t>Equity Incentive Plan</w:t>
      </w:r>
    </w:p>
    <w:p>
      <w:pPr>
        <w:spacing w:after="0" w:line="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Stock Options</w:t>
      </w:r>
    </w:p>
    <w:p>
      <w:pPr>
        <w:spacing w:after="0" w:line="17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incentive stock options to eligible employees and non-statutory stock options to eligible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nine months ended October 31, 2024.</w:t>
      </w:r>
    </w:p>
    <w:p>
      <w:pPr>
        <w:spacing w:after="0" w:line="12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October 31, 2024 (in thousands, except share and per share data and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1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14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1"/>
                <w:szCs w:val="11"/>
                <w:color w:val="auto"/>
              </w:rPr>
            </w:pPr>
          </w:p>
        </w:tc>
        <w:tc>
          <w:tcPr>
            <w:tcW w:w="112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7"/>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Balance - January 31, 2024</w:t>
            </w: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835,623</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327,884</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(215,243)</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 forfeited and 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 October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620,113</w:t>
            </w: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Vested and exercisable - January 31, 2024</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835,623</w:t>
            </w:r>
          </w:p>
        </w:tc>
        <w:tc>
          <w:tcPr>
            <w:tcW w:w="340" w:type="dxa"/>
            <w:vAlign w:val="bottom"/>
            <w:gridSpan w:val="3"/>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7"/>
                <w:szCs w:val="17"/>
                <w:color w:val="auto"/>
              </w:rPr>
            </w:pPr>
          </w:p>
        </w:tc>
        <w:tc>
          <w:tcPr>
            <w:tcW w:w="1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327,884</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and exercisable - October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620,113</w:t>
            </w: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16</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Restricted Stock Units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RSUs to eligible employees, directors and consultants. RSUs granted to new employees generally vest over a period of four years with 25% vesting on the one-year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for the nine months ended October 31,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0" w:type="dxa"/>
            <w:vAlign w:val="bottom"/>
          </w:tcPr>
          <w:p>
            <w:pPr>
              <w:spacing w:after="0"/>
              <w:rPr>
                <w:sz w:val="1"/>
                <w:szCs w:val="1"/>
                <w:color w:val="auto"/>
              </w:rPr>
            </w:pPr>
          </w:p>
        </w:tc>
      </w:tr>
      <w:tr>
        <w:trPr>
          <w:trHeight w:val="37"/>
        </w:trPr>
        <w:tc>
          <w:tcPr>
            <w:tcW w:w="7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Unvested - January 31, 2024</w:t>
            </w: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40" w:type="dxa"/>
            <w:vAlign w:val="bottom"/>
            <w:vMerge w:val="continue"/>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3,566,406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290.59</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319.34</w:t>
            </w:r>
          </w:p>
        </w:tc>
        <w:tc>
          <w:tcPr>
            <w:tcW w:w="0" w:type="dxa"/>
            <w:vAlign w:val="bottom"/>
          </w:tcPr>
          <w:p>
            <w:pPr>
              <w:spacing w:after="0"/>
              <w:rPr>
                <w:sz w:val="1"/>
                <w:szCs w:val="1"/>
                <w:color w:val="auto"/>
              </w:rPr>
            </w:pPr>
          </w:p>
        </w:tc>
      </w:tr>
      <w:tr>
        <w:trPr>
          <w:trHeight w:val="27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forfeited and canceled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0" w:type="dxa"/>
            <w:vAlign w:val="bottom"/>
          </w:tcPr>
          <w:p>
            <w:pPr>
              <w:spacing w:after="0"/>
              <w:rPr>
                <w:sz w:val="1"/>
                <w:szCs w:val="1"/>
                <w:color w:val="auto"/>
              </w:rPr>
            </w:pPr>
          </w:p>
        </w:tc>
      </w:tr>
      <w:tr>
        <w:trPr>
          <w:trHeight w:val="223"/>
        </w:trPr>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 October 31, 2024</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3,577,378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2017 Employee Stock Purchase Plan</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In June 2024, the Company issued 96,603 shares of its common stock under the 2017 ESPP. The Company’s current offering period began on June 17, 2024 and is expected to end December 16,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Stock-Based Compensation Expense</w:t>
      </w:r>
    </w:p>
    <w:p>
      <w:pPr>
        <w:spacing w:after="0" w:line="17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Company’s interim condensed consolidated statements of operations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0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revenue—subscription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revenue—services</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w:t>
            </w:r>
          </w:p>
        </w:tc>
      </w:tr>
      <w:tr>
        <w:trPr>
          <w:trHeight w:val="270"/>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118,567</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143,238</w:t>
            </w:r>
          </w:p>
        </w:tc>
      </w:tr>
      <w:tr>
        <w:trPr>
          <w:trHeight w:val="283"/>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44,194</w:t>
            </w:r>
          </w:p>
        </w:tc>
      </w:tr>
      <w:tr>
        <w:trPr>
          <w:trHeight w:val="263"/>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115,829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333,096</w:t>
            </w:r>
          </w:p>
        </w:tc>
      </w:tr>
      <w:tr>
        <w:trPr>
          <w:trHeight w:val="21"/>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0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20" w:type="dxa"/>
            <w:vAlign w:val="bottom"/>
          </w:tcPr>
          <w:p>
            <w:pPr>
              <w:spacing w:after="0"/>
              <w:rPr>
                <w:sz w:val="21"/>
                <w:szCs w:val="21"/>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74,020,593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71,560,023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73,472,900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70,878,162</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1"/>
                <w:szCs w:val="21"/>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In June 2024 the related derivative was settled and the Capped Calls associated with the 2024 Notes were successfully unwound, 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xml:space="preserve"> for more information.</w:t>
      </w:r>
    </w:p>
    <w:p>
      <w:pPr>
        <w:spacing w:after="0" w:line="13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8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2016 Equity Incentive Plan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303,833</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391,969</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326,151</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448,289</w:t>
            </w:r>
          </w:p>
        </w:tc>
      </w:tr>
      <w:tr>
        <w:trPr>
          <w:trHeight w:val="270"/>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2008 Stock Incentive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336,783</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848,908</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364,653</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996,896</w:t>
            </w:r>
          </w:p>
        </w:tc>
      </w:tr>
      <w:tr>
        <w:trPr>
          <w:trHeight w:val="270"/>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3,814,958</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4,260,776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3,877,567</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4,271,290</w:t>
            </w:r>
          </w:p>
        </w:tc>
      </w:tr>
      <w:tr>
        <w:trPr>
          <w:trHeight w:val="270"/>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Unvested executive PSUs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179,053</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205,232</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205,232</w:t>
            </w:r>
          </w:p>
        </w:tc>
      </w:tr>
      <w:tr>
        <w:trPr>
          <w:trHeight w:val="270"/>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underlying the conversion option of the 2026 Notes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5,561,065</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5,445,002</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5,483,690</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5,445,002</w:t>
            </w:r>
          </w:p>
        </w:tc>
      </w:tr>
      <w:tr>
        <w:trPr>
          <w:trHeight w:val="223"/>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10,195,692</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11,151,887</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10,236,593</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11,366,709</w:t>
            </w:r>
          </w:p>
        </w:tc>
      </w:tr>
      <w:tr>
        <w:trPr>
          <w:trHeight w:val="20"/>
        </w:trPr>
        <w:tc>
          <w:tcPr>
            <w:tcW w:w="5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recorded a provision for income taxes of $2.7 million and $9.1 million for the three and nine months ended October 31, 2024, respectively, and $3.6 million and $9.7 million for the three and nine months ended October 31, 2023, respectively. The provisions recorded during each of the three and nine months ended October 31, 2024 and 2023 were driven by the change in global income by jurisdiction and the associated foreign taxes. The calculation of income taxes was based upon the estimated annual effective tax rates for the year applied to the jurisdictional mix of current period loss before tax plus the tax effect of any significant unusual items, discrete events or changes in tax law.</w:t>
      </w:r>
    </w:p>
    <w:p>
      <w:pPr>
        <w:spacing w:after="0" w:line="129" w:lineRule="exact"/>
        <w:rPr>
          <w:sz w:val="20"/>
          <w:szCs w:val="20"/>
          <w:color w:val="auto"/>
        </w:rPr>
      </w:pPr>
    </w:p>
    <w:p>
      <w:pPr>
        <w:ind w:right="400" w:firstLine="486"/>
        <w:spacing w:after="0" w:line="258"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spacing w:after="0" w:line="127" w:lineRule="exact"/>
        <w:rPr>
          <w:sz w:val="20"/>
          <w:szCs w:val="20"/>
          <w:color w:val="auto"/>
        </w:rPr>
      </w:pPr>
    </w:p>
    <w:p>
      <w:pPr>
        <w:ind w:right="3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assesses uncertain tax positions in accordance with ASC 740-10, </w:t>
      </w:r>
      <w:r>
        <w:rPr>
          <w:rFonts w:ascii="Times New Roman" w:cs="Times New Roman" w:eastAsia="Times New Roman" w:hAnsi="Times New Roman"/>
          <w:sz w:val="18"/>
          <w:szCs w:val="18"/>
          <w:i w:val="1"/>
          <w:iCs w:val="1"/>
          <w:color w:val="auto"/>
        </w:rPr>
        <w:t>Accounting for Uncertainties in Tax</w:t>
      </w:r>
      <w:r>
        <w:rPr>
          <w:rFonts w:ascii="Times New Roman" w:cs="Times New Roman" w:eastAsia="Times New Roman" w:hAnsi="Times New Roman"/>
          <w:sz w:val="18"/>
          <w:szCs w:val="18"/>
          <w:color w:val="auto"/>
        </w:rPr>
        <w:t>. As of January 31, 2024, the Company’s net unrecognized tax benefits totaled $81.6 million, $0.7 million of which would have an impact on the Company’s effective tax rate if recognized.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published Pillar Two Model Rules defining a global minimum tax, which calls for the taxation of large corporations at a minimum rate of 15%. The OECD has since issued administrative guidance providing transition and safe harbor rules around the implementation of the Pillar Two global minimum tax. In the first quarter of the Company’s fiscal year ending January 31, 2025, enacted Pillar Two legislation of a number of countries became effective. Pillar Two did not have a significant impact on the Company’s condensed consolidated financial statements for the nine months ended October 31, 2024. While the Company is monitoring developments and evaluating the potential impact on future periods, the Company does not expect Pillar Two to have a significant impact on its consolidated financial statements for the fiscal year ending January 31, 2025.</w:t>
      </w:r>
    </w:p>
    <w:p>
      <w:pPr>
        <w:spacing w:after="0" w:line="13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900" w:right="640" w:hanging="850"/>
        <w:spacing w:after="0" w:line="275"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95"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2024 (the “2024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1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34"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corporate website is located at </w:t>
      </w:r>
      <w:r>
        <w:rPr>
          <w:rFonts w:ascii="Times New Roman" w:cs="Times New Roman" w:eastAsia="Times New Roman" w:hAnsi="Times New Roman"/>
          <w:sz w:val="18"/>
          <w:szCs w:val="18"/>
          <w:i w:val="1"/>
          <w:iCs w:val="1"/>
          <w:color w:val="auto"/>
        </w:rPr>
        <w:t>www.mongodb.com</w:t>
      </w:r>
      <w:r>
        <w:rPr>
          <w:rFonts w:ascii="Times New Roman" w:cs="Times New Roman" w:eastAsia="Times New Roman" w:hAnsi="Times New Roman"/>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and application-driven analytics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5,436 as of October 31, 2024, from 4,849 as of October 31, 2023.</w:t>
      </w:r>
    </w:p>
    <w:p>
      <w:pPr>
        <w:spacing w:after="0" w:line="13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sales of subscriptions, which accounted for 97% of our total revenue for each of the three and nine months ended October 31, 2024 and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MongoDB Atlas is our hosted multi-cloud database-as-a-service (“DBaaS”) offering, which we run and manage in the cloud, and includes comprehensive infrastructure and management, as well as a host of additional features, such as MongoDB Atlas Search, vector search, time series and application-driven analytics. During the three and nine months ended October 31, 2024, MongoDB Atlas revenue represented 68% and 70%, respectively, as compared to 66% and 65% of our total revenue during the three and nine months ended October 31, 2023, respectively, reflecting the continued growth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spacing w:after="0" w:line="13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MongoDB Enterprise Advanced is our proprietary commercial database server offering for enterprise customers that can run in the cloud, on-premises or in a hybrid environment. MongoDB Enterprise Advanced revenue represented 25% and 24% of our subscription revenue for the three and nine months ended October 31, 2024, respectively, and 27% for both the three and nine months ended October 31, 2023.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1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500 million times since February 2009.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3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We also generate revenue from services, which consist primarily of fees associated with consulting and training services. Revenue from services accounted for 3% of our total revenue for each of the three and nine months ended October 31, 2024 and 2023. We expect to continue to invest in our services organization as we believe it plays an important role in accelerating our customers’ realization of the benefits of our platform, which helps drive customer retention and expansion.</w:t>
      </w:r>
    </w:p>
    <w:p>
      <w:pPr>
        <w:spacing w:after="0" w:line="12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believe the market for our offerings is large and growing. According to IDC, the worldwide Data Management Software market, was $94 billion in 2023 growing to approximately $170 billion in 2028. This represents a 13% compound annual growth rate.</w:t>
      </w:r>
    </w:p>
    <w:p>
      <w:pPr>
        <w:spacing w:after="0" w:line="108"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and Other Factors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operational and financial performance is subject to risks including those caused by the adverse macroeconomic environment and the geopolitical landscape.</w:t>
      </w:r>
    </w:p>
    <w:p>
      <w:pPr>
        <w:spacing w:after="0" w:line="94" w:lineRule="exact"/>
        <w:rPr>
          <w:sz w:val="20"/>
          <w:szCs w:val="20"/>
          <w:color w:val="auto"/>
        </w:rPr>
      </w:pPr>
    </w:p>
    <w:p>
      <w:pPr>
        <w:ind w:right="20" w:firstLine="486"/>
        <w:spacing w:after="0" w:line="239" w:lineRule="auto"/>
        <w:rPr>
          <w:sz w:val="20"/>
          <w:szCs w:val="20"/>
          <w:color w:val="auto"/>
        </w:rPr>
      </w:pPr>
      <w:r>
        <w:rPr>
          <w:rFonts w:ascii="Times New Roman" w:cs="Times New Roman" w:eastAsia="Times New Roman" w:hAnsi="Times New Roman"/>
          <w:sz w:val="18"/>
          <w:szCs w:val="18"/>
          <w:color w:val="auto"/>
        </w:rPr>
        <w:t>Adverse macroeconomic conditions include slower or negative economic growth, higher inflation and higher interest rates. During the nine months ended October 31, 2024, the macroeconomic environment negatively impacted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and other factors on our business, operating results, and financial condition, see the section titled “Risk Factors” included in Part II, Item 1A of this Quarterly Report on Form 10-Q.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Growing Our Customer Base and Expanding Our Global Reach</w:t>
      </w:r>
    </w:p>
    <w:p>
      <w:pPr>
        <w:spacing w:after="0" w:line="17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intensely focused on continuing to grow our customer base. We have invested, and expect to continue to invest, in our sales and marketing efforts and developer community outreach, which are critical to driving customer acquisition. As of October 31, 2024, we had over 52,600 customers across a wide range of industries and in over 100 countries, compared to over 46,400 customers as of October 31, 2023. All affiliated entities are counted as a single customer and our definition of “customer” excludes users of our free offerings.</w:t>
      </w:r>
    </w:p>
    <w:p>
      <w:pPr>
        <w:spacing w:after="0" w:line="126"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As of October 31, 2024, we had over 7,400 customers that were sold through our direct sales force and channel partners, as compared to over 6,900 such customers as of October 31, 2023. These customers, which we refer to as our Direct Sales Customers, accounted for 88% of our subscription revenue for each of the three and nine months ended October 31, 2024 and 2023. We plan to continue to invest in acquiring new customers and additional workloads from existing customers across all of our channels. We had over 51,100 MongoDB Atlas customers as of October 31, 2024 compared to over 44,900 as of October 31, 2023. The growth in MongoDB Atlas customers included new customers to MongoDB and existing MongoDB Enterprise Advanced customers adding incremental MongoDB Atlas workloads.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Retaining and Expanding Revenue from Existing Customers</w:t>
      </w:r>
    </w:p>
    <w:p>
      <w:pPr>
        <w:spacing w:after="0" w:line="17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and nine months ended October 31, 2024, we believe we experienced a negative impact from the macroeconomic environment on the growth of existing Atlas applications, which affected our revenue growth. We expect the macroeconomic environment to continue to negatively impact our revenue growth for the remainder of the year.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3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2,314 and 1,972 as of October 31, 2024 and 2023,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As of October 31, 2024, our net ARR expansion rate was approximately 120%. Historically, our net ARR expansion rate has been over 120%. The decline versus most historical periods is attributable to a smaller contribution from expanding customers. Our net ARR expansion rate may fluctuate in future periods due to a variety of factors, including the volume and type of workloads that we onboard, growth rate of historical workloads on our platform and changes in the macroeconomic environment.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Revenue</w:t>
      </w:r>
    </w:p>
    <w:p>
      <w:pPr>
        <w:spacing w:after="0" w:line="171"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comprised of term licenses and hosted as-a-service solutions. Revenue from our MongoDB Atlas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128"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is comprised of consulting and training services and is recognized over the period of delivery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 recognize revenue from services agreements as services are delivered.</w:t>
      </w:r>
    </w:p>
    <w:p>
      <w:pPr>
        <w:spacing w:after="0" w:line="10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 of Revenue</w:t>
      </w:r>
    </w:p>
    <w:p>
      <w:pPr>
        <w:spacing w:after="0" w:line="158"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primarily includes third-party cloud infrastructure expenses for our hosted as-a-service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182" w:lineRule="exact"/>
        <w:rPr>
          <w:sz w:val="20"/>
          <w:szCs w:val="20"/>
          <w:color w:val="auto"/>
        </w:rPr>
      </w:pPr>
    </w:p>
    <w:p>
      <w:pPr>
        <w:ind w:right="360" w:firstLine="486"/>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Cost of Services Revenue. </w:t>
      </w:r>
      <w:r>
        <w:rPr>
          <w:rFonts w:ascii="Times New Roman" w:cs="Times New Roman" w:eastAsia="Times New Roman" w:hAnsi="Times New Roman"/>
          <w:sz w:val="18"/>
          <w:szCs w:val="18"/>
          <w:color w:val="auto"/>
        </w:rPr>
        <w:t>Cost of services revenue primarily includes personnel costs, including salaries, bonuses and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represents revenue less cost of revenue.</w:t>
      </w:r>
    </w:p>
    <w:p>
      <w:pPr>
        <w:spacing w:after="0" w:line="17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Expenses</w:t>
      </w:r>
    </w:p>
    <w:p>
      <w:pPr>
        <w:spacing w:after="0" w:line="17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20" w:lineRule="exact"/>
        <w:rPr>
          <w:sz w:val="20"/>
          <w:szCs w:val="20"/>
          <w:color w:val="auto"/>
        </w:rPr>
      </w:pPr>
    </w:p>
    <w:p>
      <w:pPr>
        <w:ind w:right="10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personnel costs, including salaries, sales commission and benefits,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and developer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42" w:lineRule="exact"/>
        <w:rPr>
          <w:sz w:val="20"/>
          <w:szCs w:val="20"/>
          <w:color w:val="auto"/>
        </w:rPr>
      </w:pPr>
    </w:p>
    <w:p>
      <w:pPr>
        <w:ind w:right="140" w:firstLine="486"/>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142" w:lineRule="exact"/>
        <w:rPr>
          <w:sz w:val="20"/>
          <w:szCs w:val="20"/>
          <w:color w:val="auto"/>
        </w:rPr>
      </w:pPr>
    </w:p>
    <w:p>
      <w:pPr>
        <w:ind w:right="80" w:firstLine="486"/>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interest expense, gains and losses on financial instruments, net and gains and losses from foreign currency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Provision for Income Taxes</w:t>
      </w:r>
    </w:p>
    <w:p>
      <w:pPr>
        <w:spacing w:after="0" w:line="1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Provision for income taxes consists primarily of state income taxes in the United States and income taxes in certain foreign jurisdictions in which we conduct business.</w:t>
      </w:r>
    </w:p>
    <w:p>
      <w:pPr>
        <w:spacing w:after="0" w:line="10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2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October 31, 2024 Summary</w:t>
      </w:r>
    </w:p>
    <w:p>
      <w:pPr>
        <w:spacing w:after="0" w:line="17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31, 2024, our total revenue increased to $529.4 million as compared to $432.9 million for the three months ended October 31, 2023, primarily driven by an increase in subscription revenue from our Direct Sales Customers. Our net loss decreased to $9.8 million for the three months ended October 31, 2024 as compared to $29.3 million for the three months ended October 31, 2023, primarily driven by higher sales and marketing spend and research and development costs during the three months ended October 31, 2024.</w:t>
      </w:r>
    </w:p>
    <w:p>
      <w:pPr>
        <w:spacing w:after="0" w:line="12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October 31, 2024, our total revenue increased to $1,458.0 million as compared to $1,225.0 million for the nine months ended October 31, 2023, primarily driven by an increase in subscription revenue from our Direct Sales Customers. Our net loss increased to $144.9 million for the nine months ended October 31, 2024 as compared to $121.1 million for the nine months ended October 31, 2023, primarily driven by higher sales and marketing spend and research and development costs during the nine months ended October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420" w:firstLine="486"/>
        <w:spacing w:after="0" w:line="438" w:lineRule="auto"/>
        <w:rPr>
          <w:sz w:val="20"/>
          <w:szCs w:val="20"/>
          <w:color w:val="auto"/>
        </w:rPr>
      </w:pPr>
      <w:r>
        <w:rPr>
          <w:rFonts w:ascii="Times New Roman" w:cs="Times New Roman" w:eastAsia="Times New Roman" w:hAnsi="Times New Roman"/>
          <w:sz w:val="18"/>
          <w:szCs w:val="18"/>
          <w:color w:val="auto"/>
        </w:rPr>
        <w:t xml:space="preserve">Our operating cash flow was $99.7 million and $66.9 million for the nine months ended October 31, 2024 and 2023, respectively. </w:t>
      </w:r>
      <w:r>
        <w:rPr>
          <w:rFonts w:ascii="Times New Roman" w:cs="Times New Roman" w:eastAsia="Times New Roman" w:hAnsi="Times New Roman"/>
          <w:sz w:val="18"/>
          <w:szCs w:val="18"/>
          <w:b w:val="1"/>
          <w:bCs w:val="1"/>
          <w:color w:val="auto"/>
        </w:rPr>
        <w:t>Results of Operations</w:t>
      </w:r>
    </w:p>
    <w:p>
      <w:pPr>
        <w:spacing w:after="0" w:line="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1,182,387</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w:t>
            </w:r>
          </w:p>
        </w:tc>
      </w:tr>
      <w:tr>
        <w:trPr>
          <w:trHeight w:val="250"/>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1,225,009</w:t>
            </w:r>
          </w:p>
        </w:tc>
      </w:tr>
      <w:tr>
        <w:trPr>
          <w:trHeight w:val="24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318,728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250,949</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58,895</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309,844</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915,165</w:t>
            </w:r>
          </w:p>
        </w:tc>
      </w:tr>
      <w:tr>
        <w:trPr>
          <w:trHeight w:val="229"/>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571,644</w:t>
            </w: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370,387</w:t>
            </w:r>
          </w:p>
        </w:tc>
      </w:tr>
      <w:tr>
        <w:trPr>
          <w:trHeight w:val="284"/>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163,892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135,900</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421,920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1,269,266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1,077,931</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(162,766)</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51,336</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r>
      <w:tr>
        <w:trPr>
          <w:trHeight w:val="26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(121,140)</w:t>
            </w:r>
          </w:p>
        </w:tc>
      </w:tr>
      <w:tr>
        <w:trPr>
          <w:trHeight w:val="21"/>
        </w:trPr>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500" w:type="dxa"/>
            <w:vAlign w:val="bottom"/>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36" w:lineRule="exact"/>
        <w:rPr>
          <w:sz w:val="20"/>
          <w:szCs w:val="20"/>
          <w:color w:val="auto"/>
        </w:rPr>
      </w:pPr>
    </w:p>
    <w:p>
      <w:pPr>
        <w:ind w:left="320" w:hanging="312"/>
        <w:spacing w:after="0" w:line="265" w:lineRule="exact"/>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 follows (unaudited,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1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7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w:t>
            </w:r>
          </w:p>
        </w:tc>
      </w:tr>
      <w:tr>
        <w:trPr>
          <w:trHeight w:val="2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118,567</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143,238</w:t>
            </w:r>
          </w:p>
        </w:tc>
      </w:tr>
      <w:tr>
        <w:trPr>
          <w:trHeight w:val="2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44,194</w:t>
            </w:r>
          </w:p>
        </w:tc>
      </w:tr>
      <w:tr>
        <w:trPr>
          <w:trHeight w:val="210"/>
        </w:trPr>
        <w:tc>
          <w:tcPr>
            <w:tcW w:w="512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125,712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115,829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368,898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333,096</w:t>
            </w:r>
          </w:p>
        </w:tc>
      </w:tr>
      <w:tr>
        <w:trPr>
          <w:trHeight w:val="20"/>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0"/>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4"/>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6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64"/>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5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October 31, 2024 and 2023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2"/>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5"/>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24"/>
                <w:szCs w:val="24"/>
                <w:color w:val="auto"/>
              </w:rPr>
            </w:pPr>
          </w:p>
        </w:tc>
      </w:tr>
      <w:tr>
        <w:trPr>
          <w:trHeight w:val="23"/>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512,205</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418,339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83"/>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17,170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8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529,375</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$93.9 million primarily due to an increase of $82.7 million from our Direct Sales Customers, inclusive of the impact from Direct Sales Customers who were self-serve customers of MongoDB Atlas in the prior-year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111,150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87,954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84"/>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24,181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135,331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107,058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8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394,044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325,880</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74 %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75 %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78 %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79 %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(41)%</w:t>
            </w:r>
          </w:p>
        </w:tc>
        <w:tc>
          <w:tcPr>
            <w:tcW w:w="422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(31)%</w:t>
            </w:r>
          </w:p>
        </w:tc>
      </w:tr>
    </w:tbl>
    <w:p>
      <w:pPr>
        <w:spacing w:after="0" w:line="103"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$16.3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infrastructure costs, including costs associated with the growth of MongoDB Atlas. The increase in third-party infrastructure costs was partly offset by continued cost efficiencies realized as we scale MongoDB Atlas. In addition, subscription cost of revenue was higher due to a $4.7 million increase in personnel costs and stock-based compensation associated with increased headcount in our support organization. The increase in services cost of revenue was primarily due to a $2.7 million increase in personnel costs and stock-based compensation, associated with increased headcount in our services organization, and a $1.7 million increase in third-party consultant costs related to the delivery of consulting and training services. Total headcount in our support and services organizations increased 22% from October 31, 2023 to October 31, 2024.</w:t>
      </w:r>
    </w:p>
    <w:p>
      <w:pPr>
        <w:spacing w:after="0" w:line="13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decreased slightly to 74%. Our subscription gross margin declined slightly to 78% due to an increase in subscription revenue from MongoDB Atlas as a percentage of our total revenue. Services gross margin declined due to the impact of higher costs related to the delivery of consulting and training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192,977</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increase in sales and marketing expense was primarily driven by a $15.3 million increase in personnel costs and stock-based compensation, a $5.3 million increase in commission expense, and a $2.1 million increase in spend on in-person events and marketing programs. Our sales and marketing headcount was 2,489 as of October 31, 2024, compared to 2,268 as of October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151,410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128,150</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$20.0 million increase in personnel costs and stock-based compensation as we grew our research and development headcount by 11%. In addition, research and development expense increased $2.4 million due to higher third-party infrastructure expenses related to development costs of our MongoDB Atlas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52,556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 was due to higher costs to support the growth of our business. In particular, these higher costs were driven by an increase in general and administrative personnel headcount resulting in higher personnel costs and stock-based compensation.</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1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net for the three months ended October 31, 2024 improved primarily due to higher interest income from our short-term investments.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30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80" w:type="dxa"/>
            <w:vAlign w:val="bottom"/>
          </w:tcPr>
          <w:p>
            <w:pPr>
              <w:spacing w:after="0"/>
              <w:rPr>
                <w:sz w:val="17"/>
                <w:szCs w:val="17"/>
                <w:color w:val="auto"/>
              </w:rPr>
            </w:pP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in the provision for income taxes during the three months ended October 31, 2024 and 2023 was primarily due to foreign taxes.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October 31,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400" w:type="dxa"/>
            <w:vAlign w:val="bottom"/>
          </w:tcPr>
          <w:p>
            <w:pPr>
              <w:spacing w:after="0"/>
              <w:rPr>
                <w:sz w:val="17"/>
                <w:szCs w:val="17"/>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1,412,906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230,519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83"/>
        </w:trPr>
        <w:tc>
          <w:tcPr>
            <w:tcW w:w="5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88"/>
        </w:trPr>
        <w:tc>
          <w:tcPr>
            <w:tcW w:w="5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1,458,045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233,036</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$230.5 million primarily due to an increase of $197.0 million from our Direct Sales Customers, inclusive of the impact from Direct Sales Customers who were self-serve customers of MongoDB Atlas in the prior-year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40" w:type="dxa"/>
            <w:vAlign w:val="bottom"/>
          </w:tcPr>
          <w:p>
            <w:pPr>
              <w:spacing w:after="0"/>
              <w:rPr>
                <w:sz w:val="17"/>
                <w:szCs w:val="17"/>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318,728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250,949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67,553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58,895</w:t>
            </w: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386,281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309,844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8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1,071,764</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915,165</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156,599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74 %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75 %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77 %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79 %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(50)%</w:t>
            </w:r>
          </w:p>
        </w:tc>
        <w:tc>
          <w:tcPr>
            <w:tcW w:w="422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8" w:lineRule="exact"/>
        <w:rPr>
          <w:sz w:val="20"/>
          <w:szCs w:val="20"/>
          <w:color w:val="auto"/>
        </w:rPr>
      </w:pPr>
    </w:p>
    <w:p>
      <w:pPr>
        <w:ind w:right="40" w:firstLine="486"/>
        <w:spacing w:after="0" w:line="225"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$49.0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$12.9 million increase in personnel costs and stock-based compensation associated with increased headcount in our support organization. The increase in services cost of revenue was primarily due to a $6.6 million increase in third-party consultant costs related to the delivery of consulting and training services and a $3.7 million increase in personnel costs and stock-based compensation associated with increased headcount in our services organization. Total headcount in our support and services organizations increased 22% from October 31, 2023 to October 31, 2024.</w:t>
      </w:r>
    </w:p>
    <w:p>
      <w:pPr>
        <w:spacing w:after="0" w:line="145"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declined slightly to 74%. Our subscription gross margin declined to 77% due to an increase in subscription revenue from MongoDB Atlas as a percentage of our total revenue. Services gross margin declined due to the impact of higher third-party consultant and training costs, services personnel costs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658,937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571,644</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increase in sales and marketing expense was primarily driven by a $34.9 million increase in personnel costs and stock-based compensation, a $28.6 million increase in spend on in-person events and marketing programs and a $18.4 million increase in commission expense. Our sales and marketing headcount was 2,489 as of October 31, 2024, compared to 2,268 as of October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446,437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370,387</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$59.7 million increase in personnel costs and stock-based compensation as we grew our research and development headcount by 11%. In addition, research and development expense increased $10.7 million due to higher third-party infrastructure expenses related to development costs of our MongoDB Atlas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163,892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135,900</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 was primarily driven by higher costs to support the growth of our business. In particular, these higher costs were primarily driven by an increase in general and administrative personnel headcount resulting in $17.4 million higher personnel costs and stock-based compensation. General and administrative expense also increased $7.8 million due to value-added tax expense related to our operations in certain non-US jurisdictions. In addition, general and administrative expenses increased $6.2 million due to higher professional fees and higher software costs.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51,336</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486"/>
        <w:spacing w:after="0" w:line="458" w:lineRule="auto"/>
        <w:rPr>
          <w:sz w:val="20"/>
          <w:szCs w:val="20"/>
          <w:color w:val="auto"/>
        </w:rPr>
      </w:pPr>
      <w:r>
        <w:rPr>
          <w:rFonts w:ascii="Times New Roman" w:cs="Times New Roman" w:eastAsia="Times New Roman" w:hAnsi="Times New Roman"/>
          <w:sz w:val="18"/>
          <w:szCs w:val="18"/>
          <w:color w:val="auto"/>
        </w:rPr>
        <w:t xml:space="preserve">Other income, net, for the nine months ended October 31, 2024 improved primarily due to higher interest income from our short-term investments. </w:t>
      </w:r>
      <w:r>
        <w:rPr>
          <w:rFonts w:ascii="Times New Roman" w:cs="Times New Roman" w:eastAsia="Times New Roman" w:hAnsi="Times New Roman"/>
          <w:sz w:val="18"/>
          <w:szCs w:val="18"/>
          <w:b w:val="1"/>
          <w:bCs w:val="1"/>
          <w:color w:val="auto"/>
        </w:rPr>
        <w:t>Provision for Income Taxes</w:t>
      </w: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9,710</w:t>
            </w:r>
          </w:p>
        </w:tc>
        <w:tc>
          <w:tcPr>
            <w:tcW w:w="98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in the provision for income taxes during the nine months ended October 31, 2024 and 2023, was primarily due to foreign taxes.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of October 31, 2024, our principal sources of liquidity were cash, cash equivalents, short-term investments and restricted cash totaling $2.3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12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October 2024, the optional redemption feature of the 2026 Notes was satisfied as the last reported sale price of our common stock was more than or equal to 130% of the conversion price for at least 20 trading days in the period of 30 consecutive trading days. On October 16, 2024, we issued a notice of redemption (the “Redemption Notice”) for all aggregate principal amount outstanding of our 2026 Notes. Pursuant to the Redemption Notice, on December 16, 2024 (the “Redemption Date”), we will redeem all 2026 Notes that have not been converted prior to such date at a redemption price in cash equal to 100% of the principal amount of such 2026 Notes, plus accrued and unpaid interest from July 15, 2024 to, but excluding, the Redemption Date (the “Redemption Price”). We have elected to settle any conversions occurring after the date of the Redemption Notice and any time before 5:00 p.m. (New York City time) on December 13, 2024 (the “Conversion Deadline”) by delivering common stock, plus cash in lieu of any resulting fractional shares. During the three months ended October 31, 2024, certain holders elected to convert $21.1 million aggregate principal amount of the 2026 Notes for 103,696 shares of the Company’s common stock with the remaining balance settled in cash. Between November 1, 2024 and December 10, 2024, approximately $115.8 million aggregate principal amount were converted, or are required to be converted, to 570,257 shares of common stock with the remaining balance settled in cash. 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136"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2024, the Company elected to cash settle its Capped Calls associated with the 2024 Notes. In June 2024, the Capped Calls associated with the 2024 Notes settled and the Company received $170.6 million in cash.</w:t>
      </w:r>
    </w:p>
    <w:p>
      <w:pPr>
        <w:spacing w:after="0" w:line="10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have generated significant operating losses and negative cash flows from operations as reflected in our accumulated deficit and historical consolidated statements of cash flows. As of October 31, 2024, we had an accumulated deficit of $1.9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and recent volatility in the banking sector,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6"/>
              </w:rPr>
              <w:t>66,850</w:t>
            </w:r>
          </w:p>
        </w:tc>
      </w:tr>
      <w:tr>
        <w:trPr>
          <w:trHeight w:val="270"/>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rPr>
              <w:t>(64,243)</w:t>
            </w:r>
          </w:p>
        </w:tc>
      </w:tr>
      <w:tr>
        <w:trPr>
          <w:trHeight w:val="27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6"/>
              </w:rPr>
              <w:t>20,510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Activities</w:t>
      </w:r>
    </w:p>
    <w:p>
      <w:pPr>
        <w:spacing w:after="0" w:line="160" w:lineRule="exact"/>
        <w:rPr>
          <w:sz w:val="20"/>
          <w:szCs w:val="20"/>
          <w:color w:val="auto"/>
        </w:rPr>
      </w:pPr>
    </w:p>
    <w:p>
      <w:pPr>
        <w:jc w:val="both"/>
        <w:ind w:right="260" w:firstLine="648"/>
        <w:spacing w:after="0" w:line="242" w:lineRule="auto"/>
        <w:rPr>
          <w:sz w:val="20"/>
          <w:szCs w:val="20"/>
          <w:color w:val="auto"/>
        </w:rPr>
      </w:pPr>
      <w:r>
        <w:rPr>
          <w:rFonts w:ascii="Times New Roman" w:cs="Times New Roman" w:eastAsia="Times New Roman" w:hAnsi="Times New Roman"/>
          <w:sz w:val="18"/>
          <w:szCs w:val="18"/>
          <w:color w:val="auto"/>
        </w:rPr>
        <w:t>Cash provided by operating activities during the nine months ended October 31, 2024 was $99.7 million, driven primarily by an increase in our cash collections reflecting the overall growth of our sales and expansion of our customer base. Accordingly, our accounts receivable increased by $11.3 million. In addition, our net loss of $144.9 million, includes</w:t>
      </w:r>
    </w:p>
    <w:p>
      <w:pPr>
        <w:spacing w:after="0" w:line="200" w:lineRule="exact"/>
        <w:rPr>
          <w:sz w:val="20"/>
          <w:szCs w:val="20"/>
          <w:color w:val="auto"/>
        </w:rPr>
      </w:pPr>
    </w:p>
    <w:p>
      <w:pPr>
        <w:spacing w:after="0" w:line="36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12" w:lineRule="exact"/>
        <w:rPr>
          <w:sz w:val="20"/>
          <w:szCs w:val="20"/>
          <w:color w:val="auto"/>
        </w:rPr>
      </w:pPr>
    </w:p>
    <w:p>
      <w:pPr>
        <w:ind w:right="120"/>
        <w:spacing w:after="0" w:line="211"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$368.9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$9.6 million for depreciation and amortization. Our accrued liabilities increased by $22.5 million reflecting our increase in expenses and timing of payments. Partially offsetting these benefits to our operating cash flow were a decrease in deferred revenue of $71.4 million, amortization of premium and accretion of discount on short-term investments, net of $19.1 million, an increase in deferred commissions of $38.8 million and other net non-cash charges of $15.9 million.</w:t>
      </w:r>
    </w:p>
    <w:p>
      <w:pPr>
        <w:spacing w:after="0" w:line="211" w:lineRule="exact"/>
        <w:rPr>
          <w:sz w:val="20"/>
          <w:szCs w:val="20"/>
          <w:color w:val="auto"/>
        </w:rPr>
      </w:pPr>
    </w:p>
    <w:p>
      <w:pPr>
        <w:ind w:right="220" w:firstLine="648"/>
        <w:spacing w:after="0" w:line="199" w:lineRule="exact"/>
        <w:rPr>
          <w:sz w:val="20"/>
          <w:szCs w:val="20"/>
          <w:color w:val="auto"/>
        </w:rPr>
      </w:pPr>
      <w:r>
        <w:rPr>
          <w:rFonts w:ascii="Times New Roman" w:cs="Times New Roman" w:eastAsia="Times New Roman" w:hAnsi="Times New Roman"/>
          <w:sz w:val="18"/>
          <w:szCs w:val="18"/>
          <w:color w:val="auto"/>
        </w:rPr>
        <w:t>Cash provided by operating activities during the nine months ended October 31, 2023 was $66.9 million, driven primarily by an increase in our cash collections reflecting the overall growth of our sales and expansion of our customer base. Accordingly, our accounts receivable decreased by $11.8 million. In addition, our net loss of $121.1 million, includes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$333.1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based compensation and $13.3 million for depreciation and amortization. Our accrued liabilities increased by $20.3 million reflecting our increase in expenses and timing of payments. Partially offsetting these benefits to our operating cash flow were a decrease in deferred revenue of $138.7 million, accretion of the discount on our short-term investments of $36.4 million, and an increase in deferred commissions of $17.2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Investing Activities</w:t>
      </w:r>
    </w:p>
    <w:p>
      <w:pPr>
        <w:spacing w:after="0" w:line="17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October 31, 2024 was $411.1 million, due to purchases of marketable securities, net of maturities, of $401.8 million, cash used for investments in non-marketable securities of $5.8 million and purchases of property and equipment of $3.6 million.</w:t>
      </w:r>
    </w:p>
    <w:p>
      <w:pPr>
        <w:spacing w:after="0" w:line="12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October 31, 2023 was $64.2 million, primarily due to maturities of marketable securities, net of purchases, of $43.9 million. The proceeds were partially offset by $2.1 million of additional investment in non-marketable securities and $3.3 million of cash used for purchases of property and equipment. In addition, on September 27, 2023, we used $15.0 million of net cash to acquire the assets of Grainite, Inc.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Financing Activities</w:t>
      </w:r>
    </w:p>
    <w:p>
      <w:pPr>
        <w:spacing w:after="0" w:line="173"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October 31, 2024 was $186.3 million, due to proceeds from the settlement of capped calls of $170.6 million, proceeds from the issuance of common stock under the Employee Stock Purchase Plan and exercises of stock options of $20.3 million, partly offset by principal payments of finance leases of $4.5 million.</w:t>
      </w:r>
    </w:p>
    <w:p>
      <w:pPr>
        <w:spacing w:after="0" w:line="12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October 31, 2023 was $20.5 million, due to proceeds from the issuance of common stock under the Employee Stock Purchase Plan and exercises of stock options, partly offset by principal repayments of finance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MongoDB Atlas revenue is recorded on a consumption basis and varies with usage, including seasonality factors. As MongoDB Atlas revenue continues to increase as a percentage of total revenue, these fluctuations may have a greater impact on our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October 31, 2024, there were no material changes outside the ordinary course of business to our contractual obligations and commitments from those disclosed in our 2024 Form 10-K.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those disclosed in Part II, Item 7, “Management’s Discussion and Analysis of Financial Condition and Results of Operations” of the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3"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w:t>
      </w:r>
      <w:r>
        <w:rPr>
          <w:rFonts w:ascii="Times New Roman" w:cs="Times New Roman" w:eastAsia="Times New Roman" w:hAnsi="Times New Roman"/>
          <w:sz w:val="18"/>
          <w:szCs w:val="18"/>
          <w:i w:val="1"/>
          <w:iCs w:val="1"/>
          <w:color w:val="auto"/>
        </w:rPr>
        <w:t>2,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200" w:lineRule="exact"/>
        <w:rPr>
          <w:sz w:val="20"/>
          <w:szCs w:val="20"/>
          <w:color w:val="auto"/>
        </w:rPr>
      </w:pPr>
    </w:p>
    <w:p>
      <w:pPr>
        <w:spacing w:after="0" w:line="33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65"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Interest Rate Risk</w:t>
      </w:r>
    </w:p>
    <w:p>
      <w:pPr>
        <w:spacing w:after="0" w:line="17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and our short-term investments consist of U.S. government treasury securities. As of October 31, 2024, we had cash, cash equivalents, restricted cash and short-term investments of $2.3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October 31, 2024.</w:t>
      </w:r>
    </w:p>
    <w:p>
      <w:pPr>
        <w:spacing w:after="0" w:line="135"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On October 16, 2024, the Company issued the Redemption Notice for all aggregate principal amount outstanding of its 2026 Notes. Pursuant to the Redemption Notice, on the Redemption Date, the Company will redeem all 2026 Notes that have not been converted prior to such date. The Company classified the 2026 Notes as Convertible senior notes, net, current on the Company’s condensed consolidated balance sheet as of October 31, 2024 as the Company expects to redeem the 2026 Notes no later than the Redemption Date. 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Foreign Currency Risk</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either of the three and nine months periods ended October 31, 2024 and 2023.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Market Risk</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October 31, 2024 and January 31, 2024, the total amount of non-marketable securities included in other assets on our balance sheets was $18.9 million and $12.9 million,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October 31, 2024. Based on the evaluation of our disclosure controls and procedures as of October 31, 2024, our Chief Executive Officer and Chief Financial Officer concluded that, as of such date,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three months ended October 31, 2024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63"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Item 1 is incorporated by reference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Form 10-Q.</w:t>
      </w:r>
    </w:p>
    <w:p>
      <w:pPr>
        <w:spacing w:after="0" w:line="10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July 9, 2024, a putative class action lawsuit, captioned Baxter v. MongoDB, Inc., et al., was filed in the United States District Court for the Southern District of New York against MongoDB, CEO Dev Ittycheria, and COO and CFO Michael Gordon. The lawsuit (the “Securities Action”)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August 31, 2023 and May 30, 2024. It seeks unspecified monetary damages, costs and attorneys’ fees, and other unspecified relief. We intend to vigorously defend ourselves in this matter.</w:t>
      </w:r>
    </w:p>
    <w:p>
      <w:pPr>
        <w:spacing w:after="0" w:line="133"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On October 7, 2024, a purported shareholder derivative lawsuit was filed in the United States District Court for the Southern District of New York against MongoDB, as nominal defendant, and CEO Dev Ittycheria, COO and CFO Michael Gordon, and several of MongoDB’s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MongoDB to issue allegedly false and misleading statements to investors. The plaintiff seeks unspecified damages and/or restitution on behalf of MongoDB, as well a declaration that the individual defendants have breached and/or aided and abetted breaches of their fiduciary duty to MongoDB, and certain changes to MongoDB’s corporate governance and internal controls. Similar cases were subsequently filed in the same district (together with Roy v. Ittycheria, et al., (the “Derivative Litigations”). The Derivative Litigations are at an early stage; the Roy matter has been stayed, pending the outcome of the Court's decision on the defendants' anticipated motion to dismiss the Securities Action, and defendants have not yet been served in the other Derivative Litigations.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w:t>
      </w:r>
    </w:p>
    <w:p>
      <w:pPr>
        <w:spacing w:after="0" w:line="17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7"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22" w:lineRule="exact"/>
        <w:rPr>
          <w:sz w:val="20"/>
          <w:szCs w:val="20"/>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materially and adversely affect our results of operations.</w:t>
      </w:r>
    </w:p>
    <w:p>
      <w:pPr>
        <w:spacing w:after="0" w:line="53"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predict our future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as our costs increase, we may not be able to generate sufficient revenue to achieve or sustain profitability.</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significant competition and expect that intense competition will continue.</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our sales and marketing organization, we may be unable to add new customers or increase sales to our existing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offer Community Server under the Server Side Public License (“SSPL”) may harm the adoption of Community Server.</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negatively impacted if the GNU Affero General Public License Version 3 (the “AGPL”), the SSPL and other open source licenses under which some of our software is licensed are not enforceable.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licensing model for Community Server could negatively affect our ability to monetize and protect our intellectual property rights.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software or services, our business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6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brand, especially among developers, our business and results of operations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9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volatility in the banking sector,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may have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197" w:lineRule="exact"/>
        <w:rPr>
          <w:sz w:val="20"/>
          <w:szCs w:val="20"/>
          <w:color w:val="auto"/>
        </w:rPr>
      </w:pPr>
    </w:p>
    <w:p>
      <w:pPr>
        <w:ind w:right="120" w:firstLine="486"/>
        <w:spacing w:after="0" w:line="237" w:lineRule="auto"/>
        <w:rPr>
          <w:sz w:val="20"/>
          <w:szCs w:val="20"/>
          <w:color w:val="auto"/>
        </w:rPr>
      </w:pPr>
      <w:r>
        <w:rPr>
          <w:rFonts w:ascii="Times New Roman" w:cs="Times New Roman" w:eastAsia="Times New Roman" w:hAnsi="Times New Roman"/>
          <w:sz w:val="18"/>
          <w:szCs w:val="18"/>
          <w:color w:val="auto"/>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22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predict our future results of operations.</w:t>
      </w:r>
    </w:p>
    <w:p>
      <w:pPr>
        <w:spacing w:after="0" w:line="1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as our costs increase, we may not be able to generate sufficient revenue to achieve or sustain profitability.</w:t>
      </w:r>
    </w:p>
    <w:p>
      <w:pPr>
        <w:spacing w:after="0" w:line="17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have incurred net losses in each period since our inception, including net losses of $176.6 million, $345.4 million and $306.9 million for the fiscal years ended January 31, 2024, 2023 and 2022, respectively. We had an accumulated deficit of $1.7 billion as of January 31, 2024.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30"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8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nine months ended October 31, 2024.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13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subscription offerings are term-based and a majority of our subscription contracts were one year in duration in fiscal year 2024.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3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 w:cs="Times New Roman" w:eastAsia="Times New Roman" w:hAnsi="Times New Roman"/>
          <w:sz w:val="18"/>
          <w:szCs w:val="18"/>
          <w:i w:val="1"/>
          <w:iCs w:val="1"/>
          <w:color w:val="auto"/>
        </w:rPr>
        <w:t>Unfavorable conditions in our industry or the global economy or reductions in information technology spending could limit our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 our business and materially and adversely affect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face significant competition and expect that intense competition will continue.</w:t>
      </w:r>
    </w:p>
    <w:p>
      <w:pPr>
        <w:spacing w:after="0" w:line="1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34" w:lineRule="exact"/>
        <w:rPr>
          <w:sz w:val="20"/>
          <w:szCs w:val="20"/>
          <w:color w:val="auto"/>
        </w:rPr>
      </w:pPr>
    </w:p>
    <w:p>
      <w:pPr>
        <w:jc w:val="both"/>
        <w:ind w:right="240" w:firstLine="486"/>
        <w:spacing w:after="0" w:line="289" w:lineRule="auto"/>
        <w:rPr>
          <w:sz w:val="20"/>
          <w:szCs w:val="20"/>
          <w:color w:val="auto"/>
        </w:rPr>
      </w:pPr>
      <w:r>
        <w:rPr>
          <w:rFonts w:ascii="Times New Roman" w:cs="Times New Roman" w:eastAsia="Times New Roman" w:hAnsi="Times New Roman"/>
          <w:sz w:val="17"/>
          <w:szCs w:val="17"/>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non-relational database software providers. In addition, other large software and internet companies may seek to enter our market.</w:t>
      </w:r>
    </w:p>
    <w:p>
      <w:pPr>
        <w:spacing w:after="0" w:line="10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3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other opportunities more readily or develop and expand their offerings more quickly than we do. For all of these reasons, we may not be able to compete successfully against our current or future competitors.</w:t>
      </w:r>
    </w:p>
    <w:p>
      <w:pPr>
        <w:spacing w:after="0" w:line="10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our sales and marketing organization, we may be unable to add new customers or increase sales to our existing customers.</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3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decision to offer Community Server under the SSPL, may harm the adoption of Community Server.</w:t>
      </w:r>
    </w:p>
    <w:p>
      <w:pPr>
        <w:spacing w:after="0" w:line="1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w:t>
      </w:r>
    </w:p>
    <w:p>
      <w:pPr>
        <w:spacing w:after="0" w:line="200" w:lineRule="exact"/>
        <w:rPr>
          <w:sz w:val="20"/>
          <w:szCs w:val="20"/>
          <w:color w:val="auto"/>
        </w:rPr>
      </w:pPr>
    </w:p>
    <w:p>
      <w:pPr>
        <w:spacing w:after="0" w:line="36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21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if the AGPL, the SSPL and other open source licenses under which some of our software is licensed are not enforceable.</w:t>
      </w:r>
    </w:p>
    <w:p>
      <w:pPr>
        <w:spacing w:after="0" w:line="105" w:lineRule="exact"/>
        <w:rPr>
          <w:sz w:val="20"/>
          <w:szCs w:val="20"/>
          <w:color w:val="auto"/>
        </w:rPr>
      </w:pPr>
    </w:p>
    <w:p>
      <w:pPr>
        <w:ind w:right="120" w:firstLine="486"/>
        <w:spacing w:after="0" w:line="274" w:lineRule="auto"/>
        <w:rPr>
          <w:sz w:val="20"/>
          <w:szCs w:val="20"/>
          <w:color w:val="auto"/>
        </w:rPr>
      </w:pPr>
      <w:r>
        <w:rPr>
          <w:rFonts w:ascii="Times New Roman" w:cs="Times New Roman" w:eastAsia="Times New Roman" w:hAnsi="Times New Roman"/>
          <w:sz w:val="17"/>
          <w:szCs w:val="17"/>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licensing model for Community Server could negatively affect our ability to monetize and protect our intellectual property rights.</w:t>
      </w:r>
    </w:p>
    <w:p>
      <w:pPr>
        <w:spacing w:after="0" w:line="175"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4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05"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3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3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have a negative effect on our business,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5"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4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2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0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0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and anticipated growth rates of our revenue, customers and other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pricing changes and other actions by competitors;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sales where subscriptions are bundled with services versus sold on a standalone basis and sales by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expand our sales and marketing capabilities and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customers and expand their usage of our software, particularly for our largest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enforce the AGPL or SSPL;</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attributable to larger transactions as opposed to smaller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budgeting cycles and purchasing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consumption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potential customers opting for alternative products, including developing their own in-house solutions, or opting to use only the free version of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other security incidents, technical difficulties, or interruptions with respect to the delivery and use of our software;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the level of service uptime and performance required by our customers;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receivables from customers and resellers, which may be hindered or delayed if these customers or resellers experience financial distress;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in domestic or international markets;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1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7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nine months ended October 31, 2024.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 See the section titled “Legal Proceedings” included in Part II, Item 1 of this Quarterly Report on Form 10-Q.</w:t>
      </w:r>
    </w:p>
    <w:p>
      <w:pPr>
        <w:spacing w:after="0" w:line="13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experienced rapid growth in our business, operations and employee headcount. For fiscal years 2024, 2023 and 2022, our total revenue was $1,683.0 million, $1,284.0 million and $873.8 million, respectively, representing a 31% and 47% growth rate, respectively. We have also significantly increased the size of our customer base from over 3,200 customers as of January 31, 2017 to over 47,800 customers as of January 31, 2024, and we grew from 713 employees as of January 31, 2017 to 5,037 employees as of January 31, 2024. We expect to continue to expand our operations and employee headcount in the near term. Our success will depend in part on our ability to continue to grow and to manage this growth, domestically and internationally, effectively.</w:t>
      </w:r>
    </w:p>
    <w:p>
      <w:pPr>
        <w:spacing w:after="0" w:line="133"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2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spacing w:after="0" w:line="14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spacing w:after="0" w:line="13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12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spacing w:after="0" w:line="200" w:lineRule="exact"/>
        <w:rPr>
          <w:sz w:val="20"/>
          <w:szCs w:val="20"/>
          <w:color w:val="auto"/>
        </w:rPr>
      </w:pPr>
    </w:p>
    <w:p>
      <w:pPr>
        <w:spacing w:after="0" w:line="38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spacing w:after="0" w:line="126"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spacing w:after="0" w:line="13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breaches and other security incidents.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disclosures are costly, and the disclosures or the failure to comply with such requirements could lead to adverse consequences.</w:t>
      </w:r>
    </w:p>
    <w:p>
      <w:pPr>
        <w:spacing w:after="0" w:line="15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3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0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may be long and is unpredictable and our sales efforts require considerable time and expense.</w:t>
      </w:r>
    </w:p>
    <w:p>
      <w:pPr>
        <w:spacing w:after="0" w:line="17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in particular new sales people as we increase the size of our sales 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a customer’s procurement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of our free offerings to paying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evaluation of competing products during the purchasing process;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7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forced to reduce prices for our subscription offerings and as a result our revenue and results of operations will be harmed.</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2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Even if we do attract new customers, the cost of new customer acquisition, product implementation and ongoing customer support may prove so high as to prevent us from achieving or sustaining profitability. For example, in fiscal years 2024, 2023 and 2022, total sales and marketing expense represented 47%, 54%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 .local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0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3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12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35"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w:t>
      </w:r>
    </w:p>
    <w:p>
      <w:pPr>
        <w:spacing w:after="0" w:line="12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 number of other U.S. states have also enacted, or are considering enacting, comprehensive data privacy laws that share similarities with the CCPA. Certain state laws and regulations may be more stringent, broader in scope, or offer greater</w:t>
      </w:r>
    </w:p>
    <w:p>
      <w:pPr>
        <w:spacing w:after="0" w:line="200" w:lineRule="exact"/>
        <w:rPr>
          <w:sz w:val="20"/>
          <w:szCs w:val="20"/>
          <w:color w:val="auto"/>
        </w:rPr>
      </w:pPr>
    </w:p>
    <w:p>
      <w:pPr>
        <w:spacing w:after="0" w:line="35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225"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35"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140"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13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Both of these laws broadly regulate the processing of personal data in a manner comparable to the GDPR, and violators of the LGPD and APPI face substantial penalties.</w:t>
      </w:r>
    </w:p>
    <w:p>
      <w:pPr>
        <w:spacing w:after="0" w:line="12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w:t>
      </w:r>
    </w:p>
    <w:p>
      <w:pPr>
        <w:spacing w:after="0" w:line="1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in anticipation of a similar adequacy decision from the Swiss government.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23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3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3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05"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10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intellectual property rights. As of January 31, 2024, we had 77 issued patents and 35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5"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w:t>
      </w:r>
    </w:p>
    <w:p>
      <w:pPr>
        <w:spacing w:after="0" w:line="1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partners, our business, results of operations and financial condition could be harmed.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5" w:lineRule="exact"/>
        <w:rPr>
          <w:sz w:val="20"/>
          <w:szCs w:val="20"/>
          <w:color w:val="auto"/>
        </w:rPr>
      </w:pPr>
    </w:p>
    <w:p>
      <w:pPr>
        <w:ind w:right="40" w:firstLine="486"/>
        <w:spacing w:after="0" w:line="269" w:lineRule="auto"/>
        <w:rPr>
          <w:sz w:val="20"/>
          <w:szCs w:val="20"/>
          <w:color w:val="auto"/>
        </w:rPr>
      </w:pPr>
      <w:r>
        <w:rPr>
          <w:rFonts w:ascii="Times New Roman" w:cs="Times New Roman" w:eastAsia="Times New Roman" w:hAnsi="Times New Roman"/>
          <w:sz w:val="17"/>
          <w:szCs w:val="17"/>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3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our service level commitments, our business, results of operations and financial condition could be adversely affected.</w:t>
      </w:r>
    </w:p>
    <w:p>
      <w:pPr>
        <w:spacing w:after="0" w:line="175"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82" w:lineRule="exact"/>
        <w:rPr>
          <w:sz w:val="20"/>
          <w:szCs w:val="20"/>
          <w:color w:val="auto"/>
        </w:rPr>
      </w:pPr>
    </w:p>
    <w:p>
      <w:pPr>
        <w:ind w:right="380" w:firstLine="486"/>
        <w:spacing w:after="0" w:line="312" w:lineRule="auto"/>
        <w:rPr>
          <w:sz w:val="20"/>
          <w:szCs w:val="20"/>
          <w:color w:val="auto"/>
        </w:rPr>
      </w:pPr>
      <w:r>
        <w:rPr>
          <w:rFonts w:ascii="Times New Roman" w:cs="Times New Roman" w:eastAsia="Times New Roman" w:hAnsi="Times New Roman"/>
          <w:sz w:val="17"/>
          <w:szCs w:val="17"/>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3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especially among developers, our business and results of operations may be adversely affected.</w:t>
      </w:r>
    </w:p>
    <w:p>
      <w:pPr>
        <w:spacing w:after="0" w:line="1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w:t>
      </w:r>
    </w:p>
    <w:p>
      <w:pPr>
        <w:spacing w:after="0" w:line="12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w:t>
      </w:r>
    </w:p>
    <w:p>
      <w:pPr>
        <w:spacing w:after="0" w:line="12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could expose us to substantial liability for data breaches, intellectual property infringement and other losses.</w:t>
      </w:r>
    </w:p>
    <w:p>
      <w:pPr>
        <w:spacing w:after="0" w:line="10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2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sales to customers outside the United States, our business is susceptible to risks associated with international operations.</w:t>
      </w:r>
    </w:p>
    <w:p>
      <w:pPr>
        <w:spacing w:after="0" w:line="10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is derived internationally and we are susceptible to risks related to our international operations. In the fiscal years ended January 31, 2024, 2023 and 2022, total revenue generated from customers outside the United States was 46%, 45% and 46%,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taxes or trade laws;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shelter-in-place, occupancy limitations or similar orders, private travel limitation, or business disruption in regions affecting our operations, stemming from actual, imminent or perceived outbreak of contagious disease;</w:t>
      </w:r>
    </w:p>
    <w:p>
      <w:pPr>
        <w:spacing w:after="0" w:line="53"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privacy and security and the unauthorized use of, or access to, commercial and personal data, particularly in EMEA;</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international operations, including travel, real estate, infrastructure and legal compliance costs;</w:t>
      </w:r>
    </w:p>
    <w:p>
      <w:pPr>
        <w:spacing w:after="0" w:line="11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devaluation;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117"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enforcing our intellectual property;</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10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financial results, which are reported in U.S. dollars, could be adversely affected.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3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2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36"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investments in strategic partnerships, each of which may divert our management’s attention, result in additional dilution to our stockholders, increase expenses, disrupt our operations, and harm our results of operations.</w:t>
      </w:r>
    </w:p>
    <w:p>
      <w:pPr>
        <w:spacing w:after="0" w:line="171" w:lineRule="exact"/>
        <w:rPr>
          <w:sz w:val="20"/>
          <w:szCs w:val="20"/>
          <w:color w:val="auto"/>
        </w:rPr>
      </w:pPr>
    </w:p>
    <w:p>
      <w:pPr>
        <w:ind w:right="460" w:firstLine="486"/>
        <w:spacing w:after="0" w:line="245"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customer demands and competitive pressures. In some circumstances, we may choose to do so through acquisitions or investments in strategic partnerships, rather than through internal development. The identification of suitable acquisition candidates can be difficult, time-consuming and costly and we may not be able to successfully complete identified acquisitions.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risks we face in connection with any acquisitions or strategic investments include:</w:t>
      </w:r>
    </w:p>
    <w:p>
      <w:pPr>
        <w:spacing w:after="0" w:line="171"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strategic investment may disrupt our ongoing business, divert resources, increase our expenses and distract our management;</w:t>
      </w:r>
    </w:p>
    <w:p>
      <w:pPr>
        <w:spacing w:after="0" w:line="11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3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sell any acquired products or increase adoption or usage of acquired products, or increase spend by acquired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or strategic investment would limit other potential uses for our cash;</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including financial maintenance covenants; and</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stockholders may be diluted and earnings per share may decrease.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16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0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2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and anti-money laundering laws could subject us to penalties and other adverse consequences.</w:t>
      </w:r>
    </w:p>
    <w:p>
      <w:pPr>
        <w:spacing w:after="0" w:line="17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7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(“GAAP”), are subject to interpretation by the FASB, the SEC and various bodies formed to promulgate and interpret appropriate accounting principles. A change in these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3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3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stock buybacks. In addition, the E.U. member states formally adopted the EU’s Pillar Two Directive, which was established by the Organisation for Economic Co-operation and Development (“OECD”). Pillar Two generally imposes a 15 percent minimum effective tax rate in the jurisdictions where multinational enterprises operate and is effective for accounting periods beginning on or after December 31, 2023.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spacing w:after="0" w:line="133" w:lineRule="exact"/>
        <w:rPr>
          <w:sz w:val="20"/>
          <w:szCs w:val="20"/>
          <w:color w:val="auto"/>
        </w:rPr>
      </w:pPr>
    </w:p>
    <w:p>
      <w:pPr>
        <w:jc w:val="both"/>
        <w:ind w:right="540" w:firstLine="486"/>
        <w:spacing w:after="0" w:line="266" w:lineRule="auto"/>
        <w:rPr>
          <w:sz w:val="20"/>
          <w:szCs w:val="20"/>
          <w:color w:val="auto"/>
        </w:rPr>
      </w:pPr>
      <w:r>
        <w:rPr>
          <w:rFonts w:ascii="Times New Roman" w:cs="Times New Roman" w:eastAsia="Times New Roman" w:hAnsi="Times New Roman"/>
          <w:sz w:val="18"/>
          <w:szCs w:val="18"/>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75"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As of January 31, 2024,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05"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10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As of October 31, 2024,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spacing w:after="0" w:line="13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22"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We communicate certain environmental, social and governance (“ESG”) related initiatives and goals regarding environmental matters, diversity and other matters in our annually released ESG Report (formerly known as the Corporate Sustainability Report), on our website and elsewhere. The implementation of any of our current or future initiatives, goals</w:t>
      </w:r>
    </w:p>
    <w:p>
      <w:pPr>
        <w:spacing w:after="0" w:line="200" w:lineRule="exact"/>
        <w:rPr>
          <w:sz w:val="20"/>
          <w:szCs w:val="20"/>
          <w:color w:val="auto"/>
        </w:rPr>
      </w:pPr>
    </w:p>
    <w:p>
      <w:pPr>
        <w:spacing w:after="0" w:line="35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spacing w:after="0" w:line="213" w:lineRule="exact"/>
        <w:rPr>
          <w:sz w:val="20"/>
          <w:szCs w:val="20"/>
          <w:color w:val="auto"/>
        </w:rPr>
      </w:pPr>
    </w:p>
    <w:p>
      <w:pPr>
        <w:ind w:right="100" w:firstLine="486"/>
        <w:spacing w:after="0" w:line="236" w:lineRule="auto"/>
        <w:rPr>
          <w:sz w:val="20"/>
          <w:szCs w:val="20"/>
          <w:color w:val="auto"/>
        </w:rPr>
      </w:pPr>
      <w:r>
        <w:rPr>
          <w:rFonts w:ascii="Times New Roman" w:cs="Times New Roman" w:eastAsia="Times New Roman" w:hAnsi="Times New Roman"/>
          <w:sz w:val="18"/>
          <w:szCs w:val="18"/>
          <w:color w:val="auto"/>
        </w:rPr>
        <w:t>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w:t>
      </w:r>
    </w:p>
    <w:p>
      <w:pPr>
        <w:spacing w:after="0" w:line="217"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spacing w:after="0" w:line="214"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Social, ethical, security and regulatory issues relating to the use of new and evolving technologies, such as AI, in our offerings or partnerships may result in reputational harm and liability.</w:t>
      </w:r>
    </w:p>
    <w:p>
      <w:pPr>
        <w:spacing w:after="0" w:line="199"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Social, ethical, security and regulatory issues relating to the use of new and evolving technologies such as AI, including generative AI, in our offerings or partnerships, may result in reputational harm and liability, and may cause us to incur additional research and development costs to resolve such issues. As with many innovations, AI presents risks and challenges that could affect its adoption, and therefore our business. No assurance can be provided that our use of AI will enhance our products or services or produce the intended results. For example, AI algorithms may be flawed, insufficient, of poor quality, reflect unwanted forms of bias, or contain other errors or inadequacies, any of which may not be easily detectable and AI, particularly generative AI, has been known to produce false or “hallucinatory” inferences or outputs.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AI and machine learning may change the way our industry identifies and responds to cybersecurity threats, and businesses that are slow to adopt or fail to adopt such new technologies may face a competitive disadvantage. The rapid evolution of AI will require the application of resources to develop, test and maintain any potential offerings or partnerships to help ensure that AI is implemented ethically in order to minimize unintended, harmful impact.</w:t>
      </w:r>
    </w:p>
    <w:p>
      <w:pPr>
        <w:spacing w:after="0" w:line="207" w:lineRule="exact"/>
        <w:rPr>
          <w:sz w:val="20"/>
          <w:szCs w:val="20"/>
          <w:color w:val="auto"/>
        </w:rPr>
      </w:pPr>
    </w:p>
    <w:p>
      <w:pPr>
        <w:ind w:right="120" w:firstLine="486"/>
        <w:spacing w:after="0" w:line="241" w:lineRule="auto"/>
        <w:rPr>
          <w:sz w:val="20"/>
          <w:szCs w:val="20"/>
          <w:color w:val="auto"/>
        </w:rPr>
      </w:pPr>
      <w:r>
        <w:rPr>
          <w:rFonts w:ascii="Times New Roman" w:cs="Times New Roman" w:eastAsia="Times New Roman" w:hAnsi="Times New Roman"/>
          <w:sz w:val="18"/>
          <w:szCs w:val="18"/>
          <w:color w:val="auto"/>
        </w:rPr>
        <w:t>In addition, the use of AI may enhance intellectual property, cybersecurity, operational and technological risks. As the regulatory framework for AI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or related technologies, our financial condition and our results of operations, including as a result of the cost to comply with such laws or regulations. For example, if we or our third-party AI providers do not have sufficient rights to use the data or other material or content on which AI tools rely, or the output generated by our</w:t>
      </w:r>
    </w:p>
    <w:p>
      <w:pPr>
        <w:spacing w:after="0" w:line="200" w:lineRule="exact"/>
        <w:rPr>
          <w:sz w:val="20"/>
          <w:szCs w:val="20"/>
          <w:color w:val="auto"/>
        </w:rPr>
      </w:pPr>
    </w:p>
    <w:p>
      <w:pPr>
        <w:spacing w:after="0" w:line="37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5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AI-generated works and the potential for security flaws in output code.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For example, the EU AI Act was published in the Official Journal of the EU on July 12, 2024 and entered into force on August 1, 2024.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considered high risk.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is likely to continue to be volatile, which could cause the value of our common stock to decline.</w:t>
      </w:r>
    </w:p>
    <w:p>
      <w:pPr>
        <w:spacing w:after="0" w:line="17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the expectations of securities analysts or investors;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technologies, commercial relationships, acquisitions or other events by us or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our product and future product offerings and releases;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or future expectations of investors or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 or other security incident involving our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 in our domestic and foreign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91" w:lineRule="exact"/>
        <w:rPr>
          <w:sz w:val="20"/>
          <w:szCs w:val="20"/>
          <w:color w:val="auto"/>
        </w:rPr>
      </w:pPr>
    </w:p>
    <w:p>
      <w:pPr>
        <w:ind w:right="160" w:firstLine="486"/>
        <w:spacing w:after="0" w:line="235" w:lineRule="auto"/>
        <w:rPr>
          <w:sz w:val="20"/>
          <w:szCs w:val="20"/>
          <w:color w:val="auto"/>
        </w:rPr>
      </w:pPr>
      <w:r>
        <w:rPr>
          <w:rFonts w:ascii="Times New Roman" w:cs="Times New Roman" w:eastAsia="Times New Roman" w:hAnsi="Times New Roman"/>
          <w:sz w:val="18"/>
          <w:szCs w:val="18"/>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22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2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75"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1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2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2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0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71"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 w:cs="Times New Roman" w:eastAsia="Times New Roman" w:hAnsi="Times New Roman"/>
          <w:sz w:val="18"/>
          <w:szCs w:val="18"/>
          <w:color w:val="212529"/>
        </w:rPr>
        <w:t>While the Delaware courts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05"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4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jc w:val="both"/>
        <w:ind w:left="660" w:right="560" w:hanging="328"/>
        <w:spacing w:after="0" w:line="312"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1" w:lineRule="exact"/>
        <w:rPr>
          <w:rFonts w:ascii="Times New Roman" w:cs="Times New Roman" w:eastAsia="Times New Roman" w:hAnsi="Times New Roman"/>
          <w:sz w:val="17"/>
          <w:szCs w:val="17"/>
          <w:color w:val="auto"/>
        </w:rPr>
      </w:pPr>
    </w:p>
    <w:p>
      <w:pPr>
        <w:ind w:left="660" w:right="7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0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could cause the market price of our common stock to decline.</w:t>
      </w:r>
    </w:p>
    <w:p>
      <w:pPr>
        <w:spacing w:after="0" w:line="10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0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1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Furthermore, a substantial number of shares of our common stock is reserved for issuance upon the exercise of the 2026 Notes (as defined below). On October 16, 2024, we issued the Redemption Notice with respect to the 2026 Notes. See “</w:t>
      </w:r>
      <w:r>
        <w:rPr>
          <w:rFonts w:ascii="Times New Roman" w:cs="Times New Roman" w:eastAsia="Times New Roman" w:hAnsi="Times New Roman"/>
          <w:sz w:val="18"/>
          <w:szCs w:val="18"/>
          <w:i w:val="1"/>
          <w:iCs w:val="1"/>
          <w:color w:val="auto"/>
        </w:rPr>
        <w:t>We have incurred a significant amount of debt and may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incur additional indebtedness. We may not have sufficient cash flow from our business to make payments on our substantial debt when due</w:t>
      </w:r>
      <w:r>
        <w:rPr>
          <w:rFonts w:ascii="Times New Roman" w:cs="Times New Roman" w:eastAsia="Times New Roman" w:hAnsi="Times New Roman"/>
          <w:sz w:val="18"/>
          <w:szCs w:val="18"/>
          <w:color w:val="auto"/>
        </w:rPr>
        <w:t>” and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xml:space="preserve"> in the Notes to Unaudited Condensed Consolidated Financial Statements included in Part I, Item 1 of this Quarterly Report on Form 10-Q for further details.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0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2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On October 16, 2024, we issued the Redemption Notice for all $1,149,972,000 aggregate principal amount outstanding of the 2026 Notes. Pursuant to the Redemption Notice, on the Redemption Date, we will redeem the 2026 Notes that had not been converted prior to such date at a redemption price equal to 100% of the principal amount of such notes, plus accrued and unpaid interest. We have elected to settle any conversions occurring after the date of the Redemption Notice and prior to the the conversion deadline indicated in the Redemption Notice by delivering common stock, plus cash in lieu of any resulting fractional shares. 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Unaudited Condensed Consolidated Financial Statements included in Part I, Item 1 of this Quarterly Report on Form 10-Q for further details.</w:t>
      </w:r>
    </w:p>
    <w:p>
      <w:pPr>
        <w:spacing w:after="0" w:line="13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we and our subsidiaries may incur substantial additional debt in the future, subject to the restrictions contained in our future debt agreements, some of which may be secured debt.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2026 Notes and our common stock.</w:t>
      </w:r>
    </w:p>
    <w:p>
      <w:pPr>
        <w:spacing w:after="0" w:line="175" w:lineRule="exact"/>
        <w:rPr>
          <w:sz w:val="20"/>
          <w:szCs w:val="20"/>
          <w:color w:val="auto"/>
        </w:rPr>
      </w:pPr>
    </w:p>
    <w:p>
      <w:pPr>
        <w:ind w:right="22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1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0" w:name="page71"/>
    <w:bookmarkEnd w:id="70"/>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5" w:lineRule="exact"/>
        <w:rPr>
          <w:sz w:val="20"/>
          <w:szCs w:val="20"/>
          <w:color w:val="auto"/>
        </w:rPr>
      </w:pPr>
    </w:p>
    <w:p>
      <w:pPr>
        <w:ind w:left="533" w:right="7180" w:hanging="492"/>
        <w:spacing w:after="0" w:line="446" w:lineRule="auto"/>
        <w:tabs>
          <w:tab w:leader="none" w:pos="52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ind w:left="513" w:hanging="472"/>
        <w:spacing w:after="0"/>
        <w:tabs>
          <w:tab w:leader="none" w:pos="51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left="533"/>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533" w:right="7920" w:hanging="533"/>
        <w:spacing w:after="0" w:line="474" w:lineRule="auto"/>
        <w:tabs>
          <w:tab w:leader="none" w:pos="48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348"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50"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41" w:lineRule="exact"/>
        <w:rPr>
          <w:sz w:val="20"/>
          <w:szCs w:val="20"/>
          <w:color w:val="auto"/>
        </w:rPr>
      </w:pPr>
    </w:p>
    <w:p>
      <w:pPr>
        <w:ind w:left="33" w:right="420" w:firstLine="405"/>
        <w:spacing w:after="0" w:line="266" w:lineRule="auto"/>
        <w:rPr>
          <w:sz w:val="20"/>
          <w:szCs w:val="20"/>
          <w:color w:val="auto"/>
        </w:rPr>
      </w:pPr>
      <w:r>
        <w:rPr>
          <w:rFonts w:ascii="Times New Roman" w:cs="Times New Roman" w:eastAsia="Times New Roman" w:hAnsi="Times New Roman"/>
          <w:sz w:val="18"/>
          <w:szCs w:val="18"/>
          <w:color w:val="auto"/>
        </w:rPr>
        <w:t>Certain executive officers and directors of the Company may execute purchases and sales of the Company's common stock through Rule 10b5-1 equity trading plans and “non-Rule 10b5-1 equity trading arrangements” (as defined in Item 408(c) of Regulation S-K).</w:t>
      </w:r>
    </w:p>
    <w:p>
      <w:pPr>
        <w:spacing w:after="0" w:line="189" w:lineRule="exact"/>
        <w:rPr>
          <w:sz w:val="20"/>
          <w:szCs w:val="20"/>
          <w:color w:val="auto"/>
        </w:rPr>
      </w:pPr>
    </w:p>
    <w:p>
      <w:pPr>
        <w:ind w:left="33" w:right="3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2024, two members of our board of directors and one of our executive officers adopted the following 10b5-1 trading arrangements:</w:t>
      </w:r>
    </w:p>
    <w:p>
      <w:pPr>
        <w:spacing w:after="0" w:line="189" w:lineRule="exact"/>
        <w:rPr>
          <w:sz w:val="20"/>
          <w:szCs w:val="20"/>
          <w:color w:val="auto"/>
        </w:rPr>
      </w:pPr>
    </w:p>
    <w:p>
      <w:pPr>
        <w:ind w:left="33" w:right="80" w:firstLine="405"/>
        <w:spacing w:after="0"/>
        <w:rPr>
          <w:sz w:val="20"/>
          <w:szCs w:val="20"/>
          <w:color w:val="auto"/>
        </w:rPr>
      </w:pPr>
      <w:r>
        <w:rPr>
          <w:rFonts w:ascii="Times New Roman" w:cs="Times New Roman" w:eastAsia="Times New Roman" w:hAnsi="Times New Roman"/>
          <w:sz w:val="18"/>
          <w:szCs w:val="18"/>
          <w:color w:val="auto"/>
        </w:rPr>
        <w:t>On September 10, 2024, Hope Cochran, a member of our board of directors, adopted a trading plan intended to satisfy the conditions under Rule 10b5-1(c) of the Exchange Act. Ms. Cochran’s plan is for the sale of up to 4,698 shares of common stock underlying stock options and 4,000 shares of our common stock in amounts and prices determined in accordance with a formula set forth in the plan and terminates on the earlier of the date that all the shares under the plan are sold and September 30, 2025, subject to early termination for certain specified events set forth in the plan.</w:t>
      </w:r>
    </w:p>
    <w:p>
      <w:pPr>
        <w:spacing w:after="0" w:line="212" w:lineRule="exact"/>
        <w:rPr>
          <w:sz w:val="20"/>
          <w:szCs w:val="20"/>
          <w:color w:val="auto"/>
        </w:rPr>
      </w:pPr>
    </w:p>
    <w:p>
      <w:pPr>
        <w:ind w:left="33" w:right="60" w:firstLine="405"/>
        <w:spacing w:after="0" w:line="245" w:lineRule="auto"/>
        <w:rPr>
          <w:sz w:val="20"/>
          <w:szCs w:val="20"/>
          <w:color w:val="auto"/>
        </w:rPr>
      </w:pPr>
      <w:r>
        <w:rPr>
          <w:rFonts w:ascii="Times New Roman" w:cs="Times New Roman" w:eastAsia="Times New Roman" w:hAnsi="Times New Roman"/>
          <w:sz w:val="18"/>
          <w:szCs w:val="18"/>
          <w:color w:val="auto"/>
        </w:rPr>
        <w:t>On October 18, 2024, Charles M. Hazard, Jr, a member of our board of directors, adopted a trading plan intended to satisfy the conditions under Rule 10b5-1(c) of the Exchange Act. Mr. Hazard’s plan is for the sale of up to 10,000 shares of our common stock and 2,000 shares of our common stock held through a trust account in amounts and prices determined in accordance with a formula set forth in the plan and terminates on the earlier of the date that all the shares under the plan are sold and December 31, 2025, subject to early termination for certain specified events set forth in the plan.</w:t>
      </w:r>
    </w:p>
    <w:p>
      <w:pPr>
        <w:spacing w:after="0" w:line="208" w:lineRule="exact"/>
        <w:rPr>
          <w:sz w:val="20"/>
          <w:szCs w:val="20"/>
          <w:color w:val="auto"/>
        </w:rPr>
      </w:pPr>
    </w:p>
    <w:p>
      <w:pPr>
        <w:ind w:left="33" w:firstLine="405"/>
        <w:spacing w:after="0" w:line="245" w:lineRule="auto"/>
        <w:rPr>
          <w:sz w:val="20"/>
          <w:szCs w:val="20"/>
          <w:color w:val="auto"/>
        </w:rPr>
      </w:pPr>
      <w:r>
        <w:rPr>
          <w:rFonts w:ascii="Times New Roman" w:cs="Times New Roman" w:eastAsia="Times New Roman" w:hAnsi="Times New Roman"/>
          <w:sz w:val="18"/>
          <w:szCs w:val="18"/>
          <w:color w:val="auto"/>
        </w:rPr>
        <w:t>On October 18, 2024, Dev Ittycheria, our Chief Executive Officer, adopted a trading plan intended to satisfy the conditions under Rule 10b5-1(c) of the Exchange Act. Mr. Ittycheria’s plan is for the sale of up to 38,036 shares of our common stock underlying employee stock options and up to 61,964 shares of our common stock in amounts and prices determined in accordance with a formula set forth in the plan and terminates on the earlier of the date all the shares under the plan are sold and December 31, 2025, subject to early termination for certain specified events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130"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54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9"/>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8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4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140" w:type="dxa"/>
            <w:vAlign w:val="bottom"/>
            <w:gridSpan w:val="12"/>
            <w:vMerge w:val="continue"/>
          </w:tcPr>
          <w:p>
            <w:pPr>
              <w:spacing w:after="0"/>
              <w:rPr>
                <w:sz w:val="8"/>
                <w:szCs w:val="8"/>
                <w:color w:val="auto"/>
              </w:rPr>
            </w:pPr>
          </w:p>
        </w:tc>
        <w:tc>
          <w:tcPr>
            <w:tcW w:w="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Amended and Restated Certificate of Incorporation of Registrant</w:t>
              </w:r>
            </w:hyperlink>
          </w:p>
        </w:tc>
        <w:tc>
          <w:tcPr>
            <w:tcW w:w="460" w:type="dxa"/>
            <w:vAlign w:val="bottom"/>
            <w:gridSpan w:val="8"/>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10/25/2017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Certificate of Retirement</w:t>
              </w:r>
            </w:hyperlink>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6/16/2020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Amended and Restated Bylaws of Registrant</w:t>
              </w:r>
            </w:hyperlink>
          </w:p>
        </w:tc>
        <w:tc>
          <w:tcPr>
            <w:tcW w:w="1900" w:type="dxa"/>
            <w:vAlign w:val="bottom"/>
            <w:gridSpan w:val="9"/>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11/20/2024</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w:t>
            </w:r>
          </w:p>
        </w:tc>
        <w:tc>
          <w:tcPr>
            <w:tcW w:w="180" w:type="dxa"/>
            <w:vAlign w:val="bottom"/>
            <w:tcBorders>
              <w:top w:val="single" w:sz="8" w:color="0000FF"/>
            </w:tcBorders>
            <w:gridSpan w:val="3"/>
          </w:tcPr>
          <w:p>
            <w:pPr>
              <w:spacing w:after="0"/>
              <w:rPr>
                <w:sz w:val="22"/>
                <w:szCs w:val="22"/>
                <w:color w:val="auto"/>
              </w:rPr>
            </w:pP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3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00" w:type="dxa"/>
            <w:vAlign w:val="bottom"/>
            <w:gridSpan w:val="6"/>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w w:val="99"/>
              </w:rPr>
              <w:t>-</w:t>
            </w: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 of the Sarbanes</w:t>
            </w:r>
          </w:p>
        </w:tc>
        <w:tc>
          <w:tcPr>
            <w:tcW w:w="440" w:type="dxa"/>
            <w:vAlign w:val="bottom"/>
            <w:gridSpan w:val="7"/>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rPr>
              <w:t>-</w:t>
            </w: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right="6320" w:hanging="1074"/>
        <w:spacing w:after="0" w:line="237"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sz w:val="20"/>
          <w:szCs w:val="20"/>
          <w:color w:val="auto"/>
        </w:rPr>
      </w:pPr>
    </w:p>
    <w:p>
      <w:pPr>
        <w:ind w:left="1100" w:hanging="651"/>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1100" w:right="60" w:hanging="651"/>
        <w:spacing w:after="0" w:line="224"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618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MONGODB, INC.</w:t>
            </w:r>
          </w:p>
        </w:tc>
      </w:tr>
      <w:tr>
        <w:trPr>
          <w:trHeight w:val="905"/>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2024</w:t>
            </w:r>
          </w:p>
        </w:tc>
        <w:tc>
          <w:tcPr>
            <w:tcW w:w="21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Dev Ittycheria</w:t>
            </w:r>
          </w:p>
        </w:tc>
      </w:tr>
      <w:tr>
        <w:trPr>
          <w:trHeight w:val="263"/>
        </w:trPr>
        <w:tc>
          <w:tcPr>
            <w:tcW w:w="2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 Ittycheria</w:t>
            </w:r>
          </w:p>
        </w:tc>
      </w:tr>
      <w:tr>
        <w:trPr>
          <w:trHeight w:val="270"/>
        </w:trPr>
        <w:tc>
          <w:tcPr>
            <w:tcW w:w="28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28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026"/>
        </w:trPr>
        <w:tc>
          <w:tcPr>
            <w:tcW w:w="2880" w:type="dxa"/>
            <w:vAlign w:val="bottom"/>
          </w:tcPr>
          <w:p>
            <w:pPr>
              <w:spacing w:after="0"/>
              <w:rPr>
                <w:sz w:val="24"/>
                <w:szCs w:val="24"/>
                <w:color w:val="auto"/>
              </w:rPr>
            </w:pPr>
          </w:p>
        </w:tc>
        <w:tc>
          <w:tcPr>
            <w:tcW w:w="21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Michael Gordon</w:t>
            </w:r>
          </w:p>
        </w:tc>
      </w:tr>
      <w:tr>
        <w:trPr>
          <w:trHeight w:val="263"/>
        </w:trPr>
        <w:tc>
          <w:tcPr>
            <w:tcW w:w="2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Gordon</w:t>
            </w:r>
          </w:p>
        </w:tc>
      </w:tr>
      <w:tr>
        <w:trPr>
          <w:trHeight w:val="270"/>
        </w:trPr>
        <w:tc>
          <w:tcPr>
            <w:tcW w:w="28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r>
      <w:tr>
        <w:trPr>
          <w:trHeight w:val="270"/>
        </w:trPr>
        <w:tc>
          <w:tcPr>
            <w:tcW w:w="28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3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5800" w:val="left"/>
          <w:tab w:leader="none" w:pos="702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24860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3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Gordon,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 Dev Ittycheria, certify, pursuant to 18 U.S.C. Section 1350, as adopted pursuant to Section 906 of the Sarbanes-Oxley Act of 2002, that the Quarterly Report on Form 10-Q of MongoDB, Inc. for the period ended October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tabs>
          <w:tab w:leader="none" w:pos="5780" w:val="left"/>
          <w:tab w:leader="none" w:pos="700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4860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 Michael Gordon, certify, pursuant to 18 U.S.C. Section 1350, as adopted pursuant to Section 906 of the Sarbanes-Oxley Act of 2002, that the Quarterly Report on Form 10-Q of MongoDB, Inc. for the period ended October 31, 2024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9"/>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18" Type="http://schemas.openxmlformats.org/officeDocument/2006/relationships/hyperlink" Target="https://www.sec.gov/Archives/edgar/data/1441816/000110465917063753/a17-24439_1ex3d1.htm" TargetMode="External"/><Relationship Id="rId119" Type="http://schemas.openxmlformats.org/officeDocument/2006/relationships/hyperlink" Target="https://www.sec.gov/Archives/edgar/data/1441816/000144181620000114/mdb-certificateofretir.htm" TargetMode="External"/><Relationship Id="rId120" Type="http://schemas.openxmlformats.org/officeDocument/2006/relationships/hyperlink" Target="https://www.sec.gov/Archives/edgar/data/1441816/000144181624000247/amendedandrestatedbylaws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2024-12-10T15:13:59Z</dcterms:created>
  <dcterms:modified xsi:type="dcterms:W3CDTF">2024-12-10T15:13:59Z</dcterms:modified>
</cp:coreProperties>
</file>