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August 26, 2025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10205" w:type="dxa"/>
        <w:jc w:val="center"/>
        <w:tblInd w:w="0" w:type="dxa"/>
        <w:tblLayout w:type="fixed"/>
        <w:tblCellMar>
          <w:top w:w="28" w:type="dxa"/>
          <w:left w:w="28" w:type="dxa"/>
          <w:bottom w:w="28" w:type="dxa"/>
          <w:right w:w="28" w:type="dxa"/>
        </w:tblCellMar>
      </w:tblPr>
      <w:tblGrid>
        <w:gridCol w:w="1506"/>
        <w:gridCol w:w="1314"/>
        <w:gridCol w:w="1329"/>
        <w:gridCol w:w="109"/>
        <w:gridCol w:w="109"/>
        <w:gridCol w:w="109"/>
        <w:gridCol w:w="554"/>
        <w:gridCol w:w="554"/>
        <w:gridCol w:w="556"/>
        <w:gridCol w:w="109"/>
        <w:gridCol w:w="109"/>
        <w:gridCol w:w="109"/>
        <w:gridCol w:w="1091"/>
        <w:gridCol w:w="1091"/>
        <w:gridCol w:w="1556"/>
      </w:tblGrid>
      <w:tr>
        <w:trPr/>
        <w:tc>
          <w:tcPr>
            <w:tcW w:w="15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1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26, 2025, MongoDB, Inc. (the “Company”) issued a press release announcing its financial results for the three months ended July 31, 2025. A copy of the press release is furnished as Exhibit 99.1 to this Current Report on Form 8</w:t>
        <w:noBreakHyphen/>
        <w:t>K and is incorporated herein by reference.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455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927"/>
        <w:gridCol w:w="927"/>
        <w:gridCol w:w="131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mdb-73125xex991xrelease.htm">
              <w:r>
                <w:rPr>
                  <w:rStyle w:val="InternetLink"/>
                  <w:rFonts w:ascii="Times New Roman;serif" w:hAnsi="Times New Roman;serif"/>
                  <w:b w:val="false"/>
                  <w:color w:val="000080"/>
                  <w:sz w:val="20"/>
                  <w:u w:val="single"/>
                </w:rPr>
                <w:t xml:space="preserve">Press Release dated </w:t>
              </w:r>
            </w:hyperlink>
            <w:hyperlink w:anchor="mdb-73125xex991xrelease.htm">
              <w:r>
                <w:rPr>
                  <w:rStyle w:val="InternetLink"/>
                  <w:rFonts w:ascii="Times New Roman;serif" w:hAnsi="Times New Roman;serif"/>
                  <w:b w:val="false"/>
                  <w:color w:val="000080"/>
                  <w:sz w:val="20"/>
                  <w:u w:val="single"/>
                </w:rPr>
                <w:t>August 26</w:t>
              </w:r>
            </w:hyperlink>
            <w:hyperlink w:anchor="mdb-73125xex991xrelease.htm">
              <w:r>
                <w:rPr>
                  <w:rStyle w:val="InternetLink"/>
                  <w:rFonts w:ascii="Times New Roman;serif" w:hAnsi="Times New Roman;serif"/>
                  <w:b w:val="false"/>
                  <w:color w:val="000080"/>
                  <w:sz w:val="20"/>
                  <w:u w:val="single"/>
                </w:rPr>
                <w:t>, 2025.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380" w:type="dxa"/>
        <w:jc w:val="center"/>
        <w:tblInd w:w="0" w:type="dxa"/>
        <w:tblLayout w:type="fixed"/>
        <w:tblCellMar>
          <w:top w:w="28" w:type="dxa"/>
          <w:left w:w="28" w:type="dxa"/>
          <w:bottom w:w="28" w:type="dxa"/>
          <w:right w:w="28" w:type="dxa"/>
        </w:tblCellMar>
      </w:tblPr>
      <w:tblGrid>
        <w:gridCol w:w="940"/>
        <w:gridCol w:w="825"/>
        <w:gridCol w:w="830"/>
        <w:gridCol w:w="175"/>
        <w:gridCol w:w="175"/>
        <w:gridCol w:w="175"/>
        <w:gridCol w:w="175"/>
        <w:gridCol w:w="175"/>
        <w:gridCol w:w="175"/>
        <w:gridCol w:w="1076"/>
        <w:gridCol w:w="1076"/>
        <w:gridCol w:w="158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Dated: August 26, 2025</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 Ittycheria</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 xml:space="preserve">Dev Ittycheria </w:t>
              <w:br/>
            </w: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President and Chief Executive Officer</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300"/>
        <w:jc w:val="center"/>
        <w:rPr>
          <w:rFonts w:ascii="Times New Roman;serif" w:hAnsi="Times New Roman;serif"/>
          <w:b/>
          <w:color w:val="000000"/>
          <w:sz w:val="26"/>
        </w:rPr>
      </w:pPr>
      <w:r>
        <w:rPr>
          <w:rFonts w:ascii="Times New Roman;serif" w:hAnsi="Times New Roman;serif"/>
          <w:b/>
          <w:color w:val="000000"/>
          <w:sz w:val="26"/>
        </w:rPr>
        <w:t>MongoDB, Inc. Announces Second Quarter Fiscal 2026 Financial Results</w:t>
      </w:r>
    </w:p>
    <w:p>
      <w:pPr>
        <w:pStyle w:val="TextBody"/>
        <w:bidi w:val="0"/>
        <w:spacing w:lineRule="auto" w:line="288" w:before="0" w:after="120"/>
        <w:jc w:val="center"/>
        <w:rPr/>
      </w:pPr>
      <w:r>
        <w:rPr>
          <w:rFonts w:ascii="Times New Roman;serif" w:hAnsi="Times New Roman;serif"/>
          <w:b/>
          <w:i/>
          <w:color w:val="000000"/>
          <w:sz w:val="22"/>
        </w:rPr>
        <w:t>Second Quarter Fiscal 2026 Total Revenue of $591.4 million, up 24%</w:t>
      </w:r>
      <w:r>
        <w:rPr>
          <w:color w:val="000000"/>
        </w:rPr>
        <w:t xml:space="preserve"> </w:t>
      </w:r>
      <w:r>
        <w:rPr>
          <w:rFonts w:ascii="Times New Roman;serif" w:hAnsi="Times New Roman;serif"/>
          <w:b/>
          <w:i/>
          <w:color w:val="000000"/>
          <w:sz w:val="22"/>
        </w:rPr>
        <w:t>year-over-year</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MongoDB Atlas Revenue up 29% year-over-year; 74% of Total Q2 Revenue</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 xml:space="preserve">Added 2,800 Customers, with Over 59,900 Total Customers as of July 31, 2025 </w:t>
      </w:r>
    </w:p>
    <w:p>
      <w:pPr>
        <w:pStyle w:val="TextBody"/>
        <w:bidi w:val="0"/>
        <w:spacing w:lineRule="auto" w:line="288" w:before="0" w:after="180"/>
        <w:jc w:val="left"/>
        <w:rPr/>
      </w:pPr>
      <w:r>
        <w:rPr>
          <w:rFonts w:ascii="Times New Roman;serif" w:hAnsi="Times New Roman;serif"/>
          <w:b/>
          <w:color w:val="000000"/>
          <w:sz w:val="22"/>
        </w:rPr>
        <w:t>NEW YORK - August 26, 2025 -</w:t>
      </w:r>
      <w:r>
        <w:rPr>
          <w:color w:val="000000"/>
        </w:rPr>
        <w:t xml:space="preserve"> </w:t>
      </w:r>
      <w:r>
        <w:rPr>
          <w:rFonts w:ascii="Times New Roman;serif" w:hAnsi="Times New Roman;serif"/>
          <w:b w:val="false"/>
          <w:color w:val="000000"/>
          <w:sz w:val="22"/>
        </w:rPr>
        <w:t>MongoDB, Inc. (NASDAQ: MDB) today announced its financial results for the second quarter ended July 31, 2025.</w:t>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MongoDB delivered strong second quarter results across the board, highlighted by Atlas revenue growth accelerating to 29% and adding over 5,000 customers year-to-date, the highest ever in the first half of the year. We also delivered meaningful margin outperformance as we executed on our plan to drive profitable growth. Reflecting this strength, we are raising our guidance on the top and bottom line for the rest of the year” said Dev Ittycheria, President and Chief Executive Officer of MongoDB.</w:t>
      </w:r>
    </w:p>
    <w:p>
      <w:pPr>
        <w:pStyle w:val="TextBody"/>
        <w:bidi w:val="0"/>
        <w:spacing w:before="0" w:after="0"/>
        <w:jc w:val="left"/>
        <w:rPr/>
      </w:pPr>
      <w:r>
        <w:rPr/>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2"/>
        </w:rPr>
        <w:t>These results reflect the strength of MongoDB’s platform – our flexible document model, expanded database capabilities like search and vector search, enterprise-grade security, durability, availability, performance, and the ability to run anywhere. Many of our recently added customers are building AI applications, underscoring how our value proposition is resonating in the AI era and why MongoDB is emerging as a key component of the AI infrastructure stack.”</w:t>
      </w:r>
    </w:p>
    <w:p>
      <w:pPr>
        <w:pStyle w:val="TextBody"/>
        <w:bidi w:val="0"/>
        <w:spacing w:before="0" w:after="0"/>
        <w:ind w:left="0" w:right="0" w:firstLine="54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Second Quarter Fiscal 2026 Financial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Revenue: </w:t>
      </w:r>
      <w:r>
        <w:rPr>
          <w:rFonts w:ascii="Times New Roman;serif" w:hAnsi="Times New Roman;serif"/>
          <w:b w:val="false"/>
          <w:color w:val="000000"/>
          <w:sz w:val="22"/>
        </w:rPr>
        <w:t>Total revenue was $591.4 million for the second</w:t>
      </w:r>
      <w:r>
        <w:rPr>
          <w:color w:val="000000"/>
        </w:rPr>
        <w:t xml:space="preserve"> </w:t>
      </w:r>
      <w:r>
        <w:rPr>
          <w:rFonts w:ascii="Times New Roman;serif" w:hAnsi="Times New Roman;serif"/>
          <w:b w:val="false"/>
          <w:color w:val="000000"/>
          <w:sz w:val="20"/>
        </w:rPr>
        <w:t xml:space="preserve">quarter of </w:t>
      </w:r>
      <w:r>
        <w:rPr>
          <w:rFonts w:ascii="Times New Roman;serif" w:hAnsi="Times New Roman;serif"/>
          <w:b w:val="false"/>
          <w:color w:val="000000"/>
          <w:sz w:val="22"/>
        </w:rPr>
        <w:t xml:space="preserve">fiscal 2026, an increase of </w:t>
      </w:r>
      <w:r>
        <w:rPr>
          <w:rFonts w:ascii="Times New Roman;serif" w:hAnsi="Times New Roman;serif"/>
          <w:b w:val="false"/>
          <w:color w:val="000000"/>
          <w:sz w:val="20"/>
        </w:rPr>
        <w:t>24%</w:t>
      </w:r>
      <w:r>
        <w:rPr>
          <w:color w:val="000000"/>
        </w:rPr>
        <w:t xml:space="preserve"> </w:t>
      </w:r>
      <w:r>
        <w:rPr>
          <w:rFonts w:ascii="Times New Roman;serif" w:hAnsi="Times New Roman;serif"/>
          <w:b w:val="false"/>
          <w:color w:val="000000"/>
          <w:sz w:val="22"/>
        </w:rPr>
        <w:t xml:space="preserve">year-over-year. Subscription revenue was $572.4 million, an increase of </w:t>
      </w:r>
      <w:r>
        <w:rPr>
          <w:rFonts w:ascii="Times New Roman;serif" w:hAnsi="Times New Roman;serif"/>
          <w:b w:val="false"/>
          <w:color w:val="000000"/>
          <w:sz w:val="20"/>
        </w:rPr>
        <w:t>23%</w:t>
      </w:r>
      <w:r>
        <w:rPr>
          <w:color w:val="000000"/>
        </w:rPr>
        <w:t xml:space="preserve"> </w:t>
      </w:r>
      <w:r>
        <w:rPr>
          <w:rFonts w:ascii="Times New Roman;serif" w:hAnsi="Times New Roman;serif"/>
          <w:b w:val="false"/>
          <w:color w:val="000000"/>
          <w:sz w:val="22"/>
        </w:rPr>
        <w:t xml:space="preserve">year-over-year, and services revenue was $19.0 million, an increase of </w:t>
      </w:r>
      <w:r>
        <w:rPr>
          <w:rFonts w:ascii="Times New Roman;serif" w:hAnsi="Times New Roman;serif"/>
          <w:b w:val="false"/>
          <w:color w:val="000000"/>
          <w:sz w:val="20"/>
        </w:rPr>
        <w:t>33%</w:t>
      </w:r>
      <w:r>
        <w:rPr>
          <w:color w:val="000000"/>
        </w:rPr>
        <w:t xml:space="preserve"> </w:t>
      </w:r>
      <w:r>
        <w:rPr>
          <w:rFonts w:ascii="Times New Roman;serif" w:hAnsi="Times New Roman;serif"/>
          <w:b w:val="false"/>
          <w:color w:val="000000"/>
          <w:sz w:val="22"/>
        </w:rPr>
        <w:t>year-over-year.</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Gross Profit: </w:t>
      </w:r>
      <w:r>
        <w:rPr>
          <w:rFonts w:ascii="Times New Roman;serif" w:hAnsi="Times New Roman;serif"/>
          <w:b w:val="false"/>
          <w:color w:val="000000"/>
          <w:sz w:val="22"/>
        </w:rPr>
        <w:t>Gross profit was $420.0 million for the second</w:t>
      </w:r>
      <w:r>
        <w:rPr>
          <w:color w:val="000000"/>
        </w:rPr>
        <w:t xml:space="preserve"> </w:t>
      </w:r>
      <w:r>
        <w:rPr>
          <w:rFonts w:ascii="Times New Roman;serif" w:hAnsi="Times New Roman;serif"/>
          <w:b w:val="false"/>
          <w:color w:val="000000"/>
          <w:sz w:val="20"/>
        </w:rPr>
        <w:t xml:space="preserve">quarter of </w:t>
      </w:r>
      <w:r>
        <w:rPr>
          <w:rFonts w:ascii="Times New Roman;serif" w:hAnsi="Times New Roman;serif"/>
          <w:b w:val="false"/>
          <w:color w:val="000000"/>
          <w:sz w:val="22"/>
        </w:rPr>
        <w:t xml:space="preserve">fiscal 2026, representing a </w:t>
      </w:r>
      <w:r>
        <w:rPr>
          <w:rFonts w:ascii="Times New Roman;serif" w:hAnsi="Times New Roman;serif"/>
          <w:b w:val="false"/>
          <w:color w:val="000000"/>
          <w:sz w:val="20"/>
        </w:rPr>
        <w:t>71%</w:t>
      </w:r>
      <w:r>
        <w:rPr>
          <w:color w:val="000000"/>
        </w:rPr>
        <w:t xml:space="preserve"> </w:t>
      </w:r>
      <w:r>
        <w:rPr>
          <w:rFonts w:ascii="Times New Roman;serif" w:hAnsi="Times New Roman;serif"/>
          <w:b w:val="false"/>
          <w:color w:val="000000"/>
          <w:sz w:val="22"/>
        </w:rPr>
        <w:t xml:space="preserve">gross margin compared to </w:t>
      </w:r>
      <w:r>
        <w:rPr>
          <w:rFonts w:ascii="Times New Roman;serif" w:hAnsi="Times New Roman;serif"/>
          <w:b w:val="false"/>
          <w:color w:val="000000"/>
          <w:sz w:val="20"/>
        </w:rPr>
        <w:t>73%</w:t>
      </w:r>
      <w:r>
        <w:rPr>
          <w:color w:val="000000"/>
        </w:rPr>
        <w:t xml:space="preserve"> </w:t>
      </w:r>
      <w:r>
        <w:rPr>
          <w:rFonts w:ascii="Times New Roman;serif" w:hAnsi="Times New Roman;serif"/>
          <w:b w:val="false"/>
          <w:color w:val="000000"/>
          <w:sz w:val="22"/>
        </w:rPr>
        <w:t xml:space="preserve">in the year-ago period. Non-GAAP gross profit was $436.4 million, representing a </w:t>
      </w:r>
      <w:r>
        <w:rPr>
          <w:rFonts w:ascii="Times New Roman;serif" w:hAnsi="Times New Roman;serif"/>
          <w:b w:val="false"/>
          <w:color w:val="000000"/>
          <w:sz w:val="20"/>
        </w:rPr>
        <w:t>74%</w:t>
      </w:r>
      <w:r>
        <w:rPr>
          <w:color w:val="000000"/>
        </w:rPr>
        <w:t xml:space="preserve"> </w:t>
      </w:r>
      <w:r>
        <w:rPr>
          <w:rFonts w:ascii="Times New Roman;serif" w:hAnsi="Times New Roman;serif"/>
          <w:b w:val="false"/>
          <w:color w:val="000000"/>
          <w:sz w:val="22"/>
        </w:rPr>
        <w:t xml:space="preserve">non-GAAP gross margin, compared to a non-GAAP gross margin of </w:t>
      </w:r>
      <w:r>
        <w:rPr>
          <w:rFonts w:ascii="Times New Roman;serif" w:hAnsi="Times New Roman;serif"/>
          <w:b w:val="false"/>
          <w:color w:val="000000"/>
          <w:sz w:val="20"/>
        </w:rPr>
        <w:t>75%</w:t>
      </w:r>
      <w:r>
        <w:rPr>
          <w:color w:val="000000"/>
        </w:rPr>
        <w:t xml:space="preserve"> </w:t>
      </w:r>
      <w:r>
        <w:rPr>
          <w:rFonts w:ascii="Times New Roman;serif" w:hAnsi="Times New Roman;serif"/>
          <w:b w:val="false"/>
          <w:color w:val="000000"/>
          <w:sz w:val="22"/>
        </w:rPr>
        <w:t>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Loss from Operations:</w:t>
      </w:r>
      <w:r>
        <w:rPr>
          <w:color w:val="000000"/>
        </w:rPr>
        <w:t xml:space="preserve"> </w:t>
      </w:r>
      <w:r>
        <w:rPr>
          <w:rFonts w:ascii="Times New Roman;serif" w:hAnsi="Times New Roman;serif"/>
          <w:b w:val="false"/>
          <w:color w:val="000000"/>
          <w:sz w:val="22"/>
        </w:rPr>
        <w:t xml:space="preserve">Loss from operations was $65.3 million for the </w:t>
      </w:r>
      <w:r>
        <w:rPr>
          <w:rFonts w:ascii="Times New Roman;serif" w:hAnsi="Times New Roman;serif"/>
          <w:b w:val="false"/>
          <w:color w:val="000000"/>
          <w:sz w:val="20"/>
        </w:rPr>
        <w:t>second quarter of</w:t>
      </w:r>
      <w:r>
        <w:rPr>
          <w:color w:val="000000"/>
        </w:rPr>
        <w:t xml:space="preserve"> </w:t>
      </w:r>
      <w:r>
        <w:rPr>
          <w:rFonts w:ascii="Times New Roman;serif" w:hAnsi="Times New Roman;serif"/>
          <w:b w:val="false"/>
          <w:color w:val="000000"/>
          <w:sz w:val="22"/>
        </w:rPr>
        <w:t>fiscal 2026, compared to a loss from operations of $71.4 million in the year-ago period. Non-GAAP income from operations was $86.8 million, compared to non-GAAP income from operations of $52.5 million 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 xml:space="preserve">Net loss was $47.0 million, or $0.58 per share, based on 81.1 million weighted-average shares outstanding, for the </w:t>
      </w:r>
      <w:r>
        <w:rPr>
          <w:rFonts w:ascii="Times New Roman;serif" w:hAnsi="Times New Roman;serif"/>
          <w:b w:val="false"/>
          <w:color w:val="000000"/>
          <w:sz w:val="20"/>
        </w:rPr>
        <w:t xml:space="preserve">second quarter of </w:t>
      </w:r>
      <w:r>
        <w:rPr>
          <w:rFonts w:ascii="Times New Roman;serif" w:hAnsi="Times New Roman;serif"/>
          <w:b w:val="false"/>
          <w:color w:val="000000"/>
          <w:sz w:val="22"/>
        </w:rPr>
        <w:t xml:space="preserve">fiscal 2026. This compares to a net loss of $54.5 million, or $0.74 per share, in the year-ago period. Non-GAAP net income was $87.2 million, or </w:t>
      </w:r>
      <w:r>
        <w:rPr>
          <w:rFonts w:ascii="Times New Roman;serif" w:hAnsi="Times New Roman;serif"/>
          <w:b w:val="false"/>
          <w:color w:val="000000"/>
          <w:sz w:val="20"/>
        </w:rPr>
        <w:t>$1.00</w:t>
      </w:r>
      <w:r>
        <w:rPr>
          <w:color w:val="000000"/>
        </w:rPr>
        <w:t xml:space="preserve"> </w:t>
      </w:r>
      <w:r>
        <w:rPr>
          <w:rFonts w:ascii="Times New Roman;serif" w:hAnsi="Times New Roman;serif"/>
          <w:b w:val="false"/>
          <w:color w:val="000000"/>
          <w:sz w:val="22"/>
        </w:rPr>
        <w:t xml:space="preserve">per share, based on 87.1 million fully diluted weighted-average shares outstanding. This compares to a non-GAAP net loss of $59.0 million, or </w:t>
      </w:r>
      <w:r>
        <w:rPr>
          <w:rFonts w:ascii="Times New Roman;serif" w:hAnsi="Times New Roman;serif"/>
          <w:b w:val="false"/>
          <w:color w:val="000000"/>
          <w:sz w:val="20"/>
        </w:rPr>
        <w:t xml:space="preserve">$0.70, </w:t>
      </w:r>
      <w:r>
        <w:rPr>
          <w:rFonts w:ascii="Times New Roman;serif" w:hAnsi="Times New Roman;serif"/>
          <w:b w:val="false"/>
          <w:color w:val="000000"/>
          <w:sz w:val="22"/>
        </w:rPr>
        <w:t>per share in the year-ago period.</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2"/>
        </w:rPr>
        <w:t>Cash Flow</w:t>
      </w:r>
      <w:r>
        <w:rPr>
          <w:rFonts w:ascii="Times New Roman;serif" w:hAnsi="Times New Roman;serif"/>
          <w:b w:val="false"/>
          <w:color w:val="000000"/>
          <w:sz w:val="22"/>
        </w:rPr>
        <w:t xml:space="preserve">: As of </w:t>
      </w:r>
      <w:r>
        <w:rPr>
          <w:rFonts w:ascii="Times New Roman;serif" w:hAnsi="Times New Roman;serif"/>
          <w:b w:val="false"/>
          <w:color w:val="000000"/>
          <w:sz w:val="20"/>
        </w:rPr>
        <w:t>July 31, 2025</w:t>
      </w:r>
      <w:r>
        <w:rPr>
          <w:rFonts w:ascii="Times New Roman;serif" w:hAnsi="Times New Roman;serif"/>
          <w:b w:val="false"/>
          <w:color w:val="000000"/>
          <w:sz w:val="22"/>
        </w:rPr>
        <w:t xml:space="preserve">, MongoDB had $2.3 billion in cash, cash equivalents, short-term investments and restricted cash. During the three months ended July 31, 2025, MongoDB generated </w:t>
      </w:r>
      <w:r>
        <w:rPr>
          <w:rFonts w:ascii="Times New Roman;serif" w:hAnsi="Times New Roman;serif"/>
          <w:b w:val="false"/>
          <w:color w:val="000000"/>
          <w:sz w:val="20"/>
        </w:rPr>
        <w:t>$72.1 million</w:t>
      </w:r>
      <w:r>
        <w:rPr>
          <w:color w:val="000000"/>
        </w:rPr>
        <w:t xml:space="preserve"> </w:t>
      </w:r>
      <w:r>
        <w:rPr>
          <w:rFonts w:ascii="Times New Roman;serif" w:hAnsi="Times New Roman;serif"/>
          <w:b w:val="false"/>
          <w:color w:val="000000"/>
          <w:sz w:val="22"/>
        </w:rPr>
        <w:t xml:space="preserve">of cash from operations, compared to a use of </w:t>
      </w:r>
      <w:r>
        <w:rPr>
          <w:rFonts w:ascii="Times New Roman;serif" w:hAnsi="Times New Roman;serif"/>
          <w:b w:val="false"/>
          <w:color w:val="000000"/>
          <w:sz w:val="20"/>
        </w:rPr>
        <w:t>$1.4 million</w:t>
      </w:r>
      <w:r>
        <w:rPr>
          <w:color w:val="000000"/>
        </w:rPr>
        <w:t xml:space="preserve"> </w:t>
      </w:r>
      <w:r>
        <w:rPr>
          <w:rFonts w:ascii="Times New Roman;serif" w:hAnsi="Times New Roman;serif"/>
          <w:b w:val="false"/>
          <w:color w:val="000000"/>
          <w:sz w:val="22"/>
        </w:rPr>
        <w:t>of cash from operations in the year-ago period. MongoDB used $0.5 million of cash in capital expenditures and used $1.7 million of cash in principal payments of finance leases, leading to free cash flow of $69.9 million, compared to negative free cash flow of $4.0 million in the year-ago period.</w:t>
      </w:r>
    </w:p>
    <w:p>
      <w:pPr>
        <w:pStyle w:val="TextBody"/>
        <w:bidi w:val="0"/>
        <w:spacing w:lineRule="auto" w:line="288" w:before="0" w:after="180"/>
        <w:jc w:val="left"/>
        <w:rPr/>
      </w:pPr>
      <w:r>
        <w:rPr>
          <w:rFonts w:ascii="Times New Roman;serif" w:hAnsi="Times New Roman;serif"/>
          <w:b w:val="false"/>
          <w:i/>
          <w:color w:val="000000"/>
          <w:sz w:val="22"/>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r>
        <w:rPr>
          <w:color w:val="000000"/>
        </w:rPr>
        <w:t xml:space="preserve">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Second Quarter Fiscal 2026 and Recent Business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MongoDB unveiled a range of product innovations and AI partner ecosystem expansions that make it faster and easier for customers to build accurate, trustworthy, and reliable AI applications at scale. This includes the launch of several new Voyage AI models— including voyage-context-3 and rerank-2.5—the expansion of MongoDB’s partnerships with major AI providers including LangChain, and the addition of new members to MongoDB’s AI partner ecosystem including Temporal and Galileo.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is deepening its public sector support through its Run Anywhere strategy, delivering secure, scalable data solutions across cloud and on-prem environments. MongoDB announced its commitment to achieving FedRAMP High and DoD Impact Level 5 authorizations for MongoDB Atlas for Government. Additionally, MongoDB Enterprise Advanced is now listed in the AWS Marketplace for the U.S. Intelligence Community, making it easier for federal agencies to discover, purchase, and deploy software and manage their most sensitive data on prem.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kicked off its .local series, with events thus far in Bangkok, Bengaluru, Delhi, Jakarta, Milan, Sao Paolo, and Sydney. MongoDB’s .local series drives developer awareness by providing customers and developers with hands-on experience to build for the future, the skills to drive AI-powered execution, and the opportunity to connect with experts for 1:1 consulting and product demos.</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Third Quarter and Full Year Fiscal 2026 Guidance</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Based on information available to management as of today, August 26, 2025, MongoDB is issuing the following financial guidance for the second quarter and full year fiscal 2026.</w:t>
      </w:r>
    </w:p>
    <w:tbl>
      <w:tblPr>
        <w:tblW w:w="10094" w:type="dxa"/>
        <w:jc w:val="center"/>
        <w:tblInd w:w="0" w:type="dxa"/>
        <w:tblLayout w:type="fixed"/>
        <w:tblCellMar>
          <w:top w:w="28" w:type="dxa"/>
          <w:left w:w="28" w:type="dxa"/>
          <w:bottom w:w="28" w:type="dxa"/>
          <w:right w:w="28" w:type="dxa"/>
        </w:tblCellMar>
      </w:tblPr>
      <w:tblGrid>
        <w:gridCol w:w="1346"/>
        <w:gridCol w:w="1182"/>
        <w:gridCol w:w="1191"/>
        <w:gridCol w:w="1054"/>
        <w:gridCol w:w="1054"/>
        <w:gridCol w:w="1057"/>
        <w:gridCol w:w="937"/>
        <w:gridCol w:w="937"/>
        <w:gridCol w:w="1336"/>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180"/>
              <w:jc w:val="center"/>
              <w:rPr/>
            </w:pPr>
            <w:r>
              <w:rPr>
                <w:rFonts w:ascii="Times New Roman;serif" w:hAnsi="Times New Roman;serif"/>
                <w:b/>
                <w:color w:val="000000"/>
                <w:sz w:val="22"/>
              </w:rPr>
              <w:t>Third</w:t>
            </w:r>
            <w:r>
              <w:rPr>
                <w:color w:val="000000"/>
              </w:rPr>
              <w:t xml:space="preserve"> </w:t>
            </w:r>
            <w:r>
              <w:rPr>
                <w:rFonts w:ascii="Times New Roman;serif" w:hAnsi="Times New Roman;serif"/>
                <w:b/>
                <w:color w:val="000000"/>
                <w:sz w:val="20"/>
              </w:rPr>
              <w:t>Quarter Fiscal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Fiscal 2026</w:t>
            </w:r>
          </w:p>
        </w:tc>
      </w:tr>
      <w:tr>
        <w:trPr/>
        <w:tc>
          <w:tcPr>
            <w:tcW w:w="3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Revenue</w:t>
            </w:r>
          </w:p>
        </w:tc>
        <w:tc>
          <w:tcPr>
            <w:tcW w:w="3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$587.0 million to $592.0 million</w:t>
            </w:r>
          </w:p>
        </w:tc>
        <w:tc>
          <w:tcPr>
            <w:tcW w:w="32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$2.34 billion to $2.36 billion</w:t>
            </w:r>
          </w:p>
        </w:tc>
      </w:tr>
      <w:tr>
        <w:trPr/>
        <w:tc>
          <w:tcPr>
            <w:tcW w:w="3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Income from Operations</w:t>
            </w:r>
          </w:p>
        </w:tc>
        <w:tc>
          <w:tcPr>
            <w:tcW w:w="3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$66.0 million to $70.0 million</w:t>
            </w:r>
          </w:p>
        </w:tc>
        <w:tc>
          <w:tcPr>
            <w:tcW w:w="32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$321.0 million to $331.0 million</w:t>
            </w:r>
          </w:p>
        </w:tc>
      </w:tr>
      <w:tr>
        <w:trPr/>
        <w:tc>
          <w:tcPr>
            <w:tcW w:w="37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Net Income per Share</w:t>
            </w:r>
          </w:p>
        </w:tc>
        <w:tc>
          <w:tcPr>
            <w:tcW w:w="31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$0.76 to $0.79</w:t>
            </w:r>
          </w:p>
        </w:tc>
        <w:tc>
          <w:tcPr>
            <w:tcW w:w="32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$3.64 to $3.73</w:t>
            </w:r>
          </w:p>
        </w:tc>
      </w:tr>
    </w:tbl>
    <w:p>
      <w:pPr>
        <w:pStyle w:val="TextBody"/>
        <w:bidi w:val="0"/>
        <w:spacing w:lineRule="auto" w:line="288" w:before="180" w:after="180"/>
        <w:jc w:val="left"/>
        <w:rPr>
          <w:rFonts w:ascii="Times New Roman;serif" w:hAnsi="Times New Roman;serif"/>
          <w:b w:val="false"/>
          <w:color w:val="000000"/>
          <w:sz w:val="22"/>
        </w:rPr>
      </w:pPr>
      <w:r>
        <w:rPr>
          <w:rFonts w:ascii="Times New Roman;serif" w:hAnsi="Times New Roman;serif"/>
          <w:b w:val="false"/>
          <w:color w:val="000000"/>
          <w:sz w:val="22"/>
        </w:rPr>
        <w:t>Reconciliations of non-GAAP income from operations and non-GAAP net income per share guidance to the most directly comparable GAAP measures are not available without unreasonable efforts on a forward-looking basis due to the high variability, complexity and low visibility with respect to the charges excluded from these non-GAAP measures; in particular, the measures and effects of stock-based compensation expense specific to equity compensation awards that are directly impacted by unpredictable fluctuations in MongoDB’s stock price. MongoDB expects the variability of the above charges to have a significant, and potentially unpredictable, impact on its future GAAP financial results.</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will host a conference call today, August 26, 2025, at 5:00 p.m. (Eastern Time) to discuss its financial results and business outlook. A live webcast of the call will be available on the “Investor Relations” page of MongoDB’s website at https://investors.mongodb.com. To access the call by phone, please go to this link (registration link), and you will be provided with dial in details. To avoid delays, we encourage participants to dial into the conference call fifteen minutes ahead of the scheduled start time. A replay of the webcast will also be available for a limited time at http://investors.mongodb.com.</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certain “forward-looking statements” within the meaning of Section 27A of the Securities Act of 1933, as amended, or the Securities Act, and Section 21E of the Securities Exchange Act of 1934, as amended, including statements concerning MongoDB’s financial guidance for the third fiscal quarter and full year fiscal 2026.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military conflicts between Russia and Ukraine and Israel and Hamas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business and future operating results; liabilities, reputational harm or other adverse consequences resulting from use of AI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social, ethical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effects of social, ethical and regulatory issues relating to the use of new and evolving technologies, such as artificial intelligence, in our offerings or partnerships;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caption “Risk Factors” in our Quarterly Report on Form 10-Q for the quarter ended April 30, 2025, filed with the SEC on June 4, 2025. Additional information will be made available in our Quarterly Report on Form 10-Q for the quarter ended July 31, 2025,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following financial measures defined as non-GAAP financial measures by the SEC: non-GAAP gross profit, non-GAAP gross margin, non-GAAP operating expenses, non-GAAP income from operations, non-GAAP operating margin, non-GAAP net income, non-GAAP net income per share and free cash flow. Non-GAAP gross profit and non-GAAP gross margin exclude expenses associated with stock-based compensation. Non-GAAP operating expenses, non-GAAP income from operations, non-GAAP operating margin, non-GAAP net income and non-GAAP net income per share exclude: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expenses associated with stock-based compensation including employer payroll taxes upon the vesting and exercising of stock-based awards and expenses related to stock appreciation rights previously issued to our employees in China;</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amortization of intangible assets for the acquired technology and acquired customer relationships associated with prior acquisitions;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certain acquisition-related costs and other, including due diligence costs, professional fees in connection with an acquisition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restructuring costs associated with a formal restructuring plan that are primarily related to workforce reductions. The Company excludes these expenses because they are not reflective of ordinary course ongoing business and operating results;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 the case of non-GAAP net income and non-GAAP net income per share, amortization of the debt issuance costs associated with our convertible senior notes and gains or losses on our financial instruments;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2"/>
        </w:rPr>
        <w:t>additionally, non-GAAP net income and non-GAAP net income per share are adjusted for an assumed provision for income taxes based on an estimated long-term non-GAAP tax rate. The non-GAAP tax rate was calculated utilizing a three-year financial projection that excludes the direct impact of the GAAP to non-GAAP adjustments and considers other factors such as operating structure and existing tax positions in various jurisdictions. We intend to periodically reevaluate the projected long-term tax rate, as necessary, for significant events and our ongoing analysis of relevant tax law changes.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income from operations, non-GAAP net income, non-GAAP net income per share,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About MongoDB</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Headquartered in New York, MongoDB’s mission is to empower innovators to create, transform, and disrupt industries with software and data. MongoDB's unified, intelligent data platform was built to power the next generation of applications, and MongoDB is the most widely available, globally distributed database on the market. With integrated capabilities for operational data, search, real-time analytics, and AI-powered retrieval, MongoDB helps organizations everywhere move faster, innovate more efficiently, and simplify complex architectures.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Millions of developers and more than 50,000 customers across almost every industry—including 70% of the Fortune 100—rely on MongoDB for their most important applications. To learn more, visit 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Brian Denyeau</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ICR for MongoDB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646-277-1251</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ir@mongodb.com</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Media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MongoDB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press@mongodb.com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7"/>
        <w:gridCol w:w="2243"/>
        <w:gridCol w:w="2261"/>
        <w:gridCol w:w="196"/>
        <w:gridCol w:w="871"/>
        <w:gridCol w:w="109"/>
        <w:gridCol w:w="109"/>
        <w:gridCol w:w="109"/>
        <w:gridCol w:w="109"/>
        <w:gridCol w:w="207"/>
        <w:gridCol w:w="920"/>
        <w:gridCol w:w="164"/>
      </w:tblGrid>
      <w:tr>
        <w:trPr/>
        <w:tc>
          <w:tcPr>
            <w:tcW w:w="2907"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1,846,444 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doubtful accounts of $11,151 and $8,888 as of July 31, 2025 and January 31, 2025, respectively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2,923,522 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46,377 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3,430,293 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Accrued compensation and benefits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561,987 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648,069 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par value of $0.001 per share; 1,000,000,000 shares authorized as of July 31, 2025 and January 31, 2025; 82,575,113 shares issued and 81,546,068 shares outstanding as of July 31, 2025; 80,558,847 shares issued and 80,467,811 shares outstanding as of January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4,625,093 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Treasury stock, 1,029,045 shares (repurchased at an average of $195.66 per share) as of July 31, 2025 and 99,371 shares (repurchased at an average of $13.27 per share) as of January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(1,840,704)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2,782,224 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3,430,293 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73"/>
        <w:gridCol w:w="1304"/>
        <w:gridCol w:w="1317"/>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887"/>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provision for income taxes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73,543,427 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73,269,824 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w:t>
        <w:noBreakHyphen/>
        <w:t>based compensation expense as follows:</w:t>
      </w:r>
    </w:p>
    <w:tbl>
      <w:tblPr>
        <w:tblW w:w="8175" w:type="dxa"/>
        <w:jc w:val="left"/>
        <w:tblInd w:w="0" w:type="dxa"/>
        <w:tblLayout w:type="fixed"/>
        <w:tblCellMar>
          <w:top w:w="28" w:type="dxa"/>
          <w:left w:w="28" w:type="dxa"/>
          <w:bottom w:w="28" w:type="dxa"/>
          <w:right w:w="28" w:type="dxa"/>
        </w:tblCellMar>
      </w:tblPr>
      <w:tblGrid>
        <w:gridCol w:w="1081"/>
        <w:gridCol w:w="950"/>
        <w:gridCol w:w="95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revenue—subscription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revenue—services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Research 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Total stock</w:t>
              <w:noBreakHyphen/>
              <w:t xml:space="preserve">based compensation expense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67"/>
        <w:gridCol w:w="1450"/>
        <w:gridCol w:w="1460"/>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222"/>
      </w:tblGrid>
      <w:tr>
        <w:trPr/>
        <w:tc>
          <w:tcPr>
            <w:tcW w:w="176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(135,122)</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243,186 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and accretion of discount on short-term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financial instruments,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operating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non-marketable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maturities of marketable securities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marketable securities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(185,633)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investing activities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242,277 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settlement of capped calls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170,589 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under the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18,640 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financing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186,896 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cash, cash equivalents and restricted cash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cash, cash equivalents and restricted cash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488,837 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beginning of period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end of period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1,292,480 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w:t>
      </w:r>
    </w:p>
    <w:p>
      <w:pPr>
        <w:pStyle w:val="TextBody"/>
        <w:bidi w:val="0"/>
        <w:spacing w:lineRule="auto" w:line="288" w:before="0" w:after="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6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100" w:after="180"/>
        <w:jc w:val="left"/>
        <w:rPr/>
      </w:pPr>
      <w:r>
        <w:rPr/>
      </w:r>
    </w:p>
    <w:tbl>
      <w:tblPr>
        <w:tblW w:w="10205" w:type="dxa"/>
        <w:jc w:val="left"/>
        <w:tblInd w:w="0" w:type="dxa"/>
        <w:tblLayout w:type="fixed"/>
        <w:tblCellMar>
          <w:top w:w="28" w:type="dxa"/>
          <w:left w:w="28" w:type="dxa"/>
          <w:bottom w:w="28" w:type="dxa"/>
          <w:right w:w="28" w:type="dxa"/>
        </w:tblCellMar>
      </w:tblPr>
      <w:tblGrid>
        <w:gridCol w:w="1304"/>
        <w:gridCol w:w="1030"/>
        <w:gridCol w:w="1035"/>
        <w:gridCol w:w="196"/>
        <w:gridCol w:w="736"/>
        <w:gridCol w:w="256"/>
        <w:gridCol w:w="109"/>
        <w:gridCol w:w="109"/>
        <w:gridCol w:w="109"/>
        <w:gridCol w:w="196"/>
        <w:gridCol w:w="736"/>
        <w:gridCol w:w="256"/>
        <w:gridCol w:w="109"/>
        <w:gridCol w:w="109"/>
        <w:gridCol w:w="109"/>
        <w:gridCol w:w="196"/>
        <w:gridCol w:w="773"/>
        <w:gridCol w:w="256"/>
        <w:gridCol w:w="109"/>
        <w:gridCol w:w="109"/>
        <w:gridCol w:w="109"/>
        <w:gridCol w:w="196"/>
        <w:gridCol w:w="773"/>
        <w:gridCol w:w="256"/>
        <w:gridCol w:w="109"/>
        <w:gridCol w:w="109"/>
        <w:gridCol w:w="109"/>
        <w:gridCol w:w="109"/>
        <w:gridCol w:w="109"/>
        <w:gridCol w:w="109"/>
        <w:gridCol w:w="109"/>
        <w:gridCol w:w="109"/>
        <w:gridCol w:w="157"/>
      </w:tblGrid>
      <w:tr>
        <w:trPr/>
        <w:tc>
          <w:tcPr>
            <w:tcW w:w="130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gross profit to non-GAAP gross profit:</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(Gross profit/Total revenue) on a GAAP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 Cost of Revenue—Subscription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 Cost of Revenue—Services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gross margin (Non-GAAP gross profit/Total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operating expenses to non-GAAP operating expenses: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operating expense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sales and marketing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operating expense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research and development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operating expense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general and administrative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loss from operations to non-GAAP income from operations: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80"/>
        <w:gridCol w:w="1017"/>
        <w:gridCol w:w="1024"/>
        <w:gridCol w:w="196"/>
        <w:gridCol w:w="680"/>
        <w:gridCol w:w="256"/>
        <w:gridCol w:w="109"/>
        <w:gridCol w:w="109"/>
        <w:gridCol w:w="109"/>
        <w:gridCol w:w="196"/>
        <w:gridCol w:w="680"/>
        <w:gridCol w:w="256"/>
        <w:gridCol w:w="109"/>
        <w:gridCol w:w="109"/>
        <w:gridCol w:w="109"/>
        <w:gridCol w:w="196"/>
        <w:gridCol w:w="736"/>
        <w:gridCol w:w="256"/>
        <w:gridCol w:w="109"/>
        <w:gridCol w:w="109"/>
        <w:gridCol w:w="109"/>
        <w:gridCol w:w="196"/>
        <w:gridCol w:w="770"/>
        <w:gridCol w:w="256"/>
        <w:gridCol w:w="109"/>
        <w:gridCol w:w="109"/>
        <w:gridCol w:w="109"/>
        <w:gridCol w:w="109"/>
        <w:gridCol w:w="109"/>
        <w:gridCol w:w="109"/>
        <w:gridCol w:w="109"/>
        <w:gridCol w:w="109"/>
        <w:gridCol w:w="157"/>
      </w:tblGrid>
      <w:tr>
        <w:trPr/>
        <w:tc>
          <w:tcPr>
            <w:tcW w:w="148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GAAP operating margin (Loss from operations/Total revenue)</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operating margin (Non-GAAP income from operations/Total revenue)</w:t>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net loss to non-GAAP net income:</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related to convertible senior notes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 on financial instruments, 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tax effects and adjustments </w:t>
            </w:r>
            <w:r>
              <w:rPr>
                <w:rFonts w:ascii="Times New Roman;serif" w:hAnsi="Times New Roman;serif"/>
                <w:b w:val="false"/>
                <w:color w:val="000000"/>
                <w:sz w:val="12"/>
              </w:rPr>
              <w:t>*</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net loss per share, diluted, to non-GAAP net income per share, fully diluted:</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diluted,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related to convertible senior notes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 on financial instruments, net</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 and adjustments *</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fully diluted earnings per share</w:t>
            </w:r>
          </w:p>
        </w:tc>
        <w:tc>
          <w:tcPr>
            <w:tcW w:w="8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fully diluted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pStyle w:val="TextBody"/>
        <w:bidi w:val="0"/>
        <w:spacing w:lineRule="auto" w:line="288"/>
        <w:jc w:val="left"/>
        <w:rPr/>
      </w:pPr>
      <w:r>
        <w:rPr>
          <w:rFonts w:ascii="Times New Roman;serif" w:hAnsi="Times New Roman;serif"/>
          <w:b w:val="false"/>
          <w:color w:val="000000"/>
          <w:sz w:val="18"/>
        </w:rPr>
        <w:t>** Fully diluted non-GAAP net income per share is calculated based upon 87.1 million and 87.0 million of fully diluted weighted-average shares of outstanding common stock for the three and six months ended July 31, 2025</w:t>
      </w:r>
      <w:r>
        <w:rPr>
          <w:rFonts w:ascii="Times New Roman;serif" w:hAnsi="Times New Roman;serif"/>
          <w:b w:val="false"/>
          <w:color w:val="000000"/>
          <w:sz w:val="20"/>
        </w:rPr>
        <w:t xml:space="preserve">, respectively,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83.8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83.5 million of fully diluted weighted-average shares of outstanding common stock for the three and six months ended July 31, 2024, respectively.</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free cash flow to net cash provided by operating activities, the most directly comparable GAAP measure, for each of the periods indicated (unaudited, in thousands):</w:t>
      </w:r>
    </w:p>
    <w:tbl>
      <w:tblPr>
        <w:tblW w:w="8644" w:type="dxa"/>
        <w:jc w:val="left"/>
        <w:tblInd w:w="0" w:type="dxa"/>
        <w:tblLayout w:type="fixed"/>
        <w:tblCellMar>
          <w:top w:w="28" w:type="dxa"/>
          <w:left w:w="28" w:type="dxa"/>
          <w:bottom w:w="28" w:type="dxa"/>
          <w:right w:w="28" w:type="dxa"/>
        </w:tblCellMar>
      </w:tblPr>
      <w:tblGrid>
        <w:gridCol w:w="1347"/>
        <w:gridCol w:w="1184"/>
        <w:gridCol w:w="1189"/>
        <w:gridCol w:w="197"/>
        <w:gridCol w:w="652"/>
        <w:gridCol w:w="110"/>
        <w:gridCol w:w="110"/>
        <w:gridCol w:w="110"/>
        <w:gridCol w:w="110"/>
        <w:gridCol w:w="197"/>
        <w:gridCol w:w="637"/>
        <w:gridCol w:w="110"/>
        <w:gridCol w:w="109"/>
        <w:gridCol w:w="109"/>
        <w:gridCol w:w="109"/>
        <w:gridCol w:w="196"/>
        <w:gridCol w:w="736"/>
        <w:gridCol w:w="109"/>
        <w:gridCol w:w="109"/>
        <w:gridCol w:w="109"/>
        <w:gridCol w:w="109"/>
        <w:gridCol w:w="196"/>
        <w:gridCol w:w="64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operating activities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Capital expenditures </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Free cash flow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69,877 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CUSTOMER COUNT METRICS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customer count information as of the periods indicated:</w:t>
      </w:r>
    </w:p>
    <w:tbl>
      <w:tblPr>
        <w:tblW w:w="10205" w:type="dxa"/>
        <w:jc w:val="left"/>
        <w:tblInd w:w="0" w:type="dxa"/>
        <w:tblLayout w:type="fixed"/>
        <w:tblCellMar>
          <w:top w:w="28" w:type="dxa"/>
          <w:left w:w="28" w:type="dxa"/>
          <w:bottom w:w="28" w:type="dxa"/>
          <w:right w:w="28" w:type="dxa"/>
        </w:tblCellMar>
      </w:tblPr>
      <w:tblGrid>
        <w:gridCol w:w="556"/>
        <w:gridCol w:w="469"/>
        <w:gridCol w:w="471"/>
        <w:gridCol w:w="239"/>
        <w:gridCol w:w="232"/>
        <w:gridCol w:w="191"/>
        <w:gridCol w:w="109"/>
        <w:gridCol w:w="109"/>
        <w:gridCol w:w="109"/>
        <w:gridCol w:w="264"/>
        <w:gridCol w:w="234"/>
        <w:gridCol w:w="204"/>
        <w:gridCol w:w="109"/>
        <w:gridCol w:w="109"/>
        <w:gridCol w:w="109"/>
        <w:gridCol w:w="239"/>
        <w:gridCol w:w="232"/>
        <w:gridCol w:w="191"/>
        <w:gridCol w:w="109"/>
        <w:gridCol w:w="109"/>
        <w:gridCol w:w="109"/>
        <w:gridCol w:w="239"/>
        <w:gridCol w:w="232"/>
        <w:gridCol w:w="191"/>
        <w:gridCol w:w="109"/>
        <w:gridCol w:w="109"/>
        <w:gridCol w:w="109"/>
        <w:gridCol w:w="239"/>
        <w:gridCol w:w="232"/>
        <w:gridCol w:w="191"/>
        <w:gridCol w:w="109"/>
        <w:gridCol w:w="109"/>
        <w:gridCol w:w="109"/>
        <w:gridCol w:w="264"/>
        <w:gridCol w:w="234"/>
        <w:gridCol w:w="204"/>
        <w:gridCol w:w="109"/>
        <w:gridCol w:w="109"/>
        <w:gridCol w:w="109"/>
        <w:gridCol w:w="239"/>
        <w:gridCol w:w="232"/>
        <w:gridCol w:w="191"/>
        <w:gridCol w:w="109"/>
        <w:gridCol w:w="109"/>
        <w:gridCol w:w="109"/>
        <w:gridCol w:w="239"/>
        <w:gridCol w:w="232"/>
        <w:gridCol w:w="191"/>
        <w:gridCol w:w="109"/>
        <w:gridCol w:w="109"/>
        <w:gridCol w:w="109"/>
        <w:gridCol w:w="224"/>
        <w:gridCol w:w="224"/>
        <w:gridCol w:w="269"/>
      </w:tblGrid>
      <w:tr>
        <w:trPr/>
        <w:tc>
          <w:tcPr>
            <w:tcW w:w="55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 xml:space="preserve">Total Customers </w:t>
            </w:r>
            <w:r>
              <w:rPr>
                <w:rFonts w:ascii="Times New Roman;serif" w:hAnsi="Times New Roman;serif"/>
                <w:b w:val="false"/>
                <w:color w:val="000000"/>
                <w:sz w:val="12"/>
              </w:rPr>
              <w:t>(a)</w:t>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59,900+</w:t>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Direct Sales Customers</w:t>
            </w:r>
            <w:r>
              <w:rPr>
                <w:rFonts w:ascii="Times New Roman;serif" w:hAnsi="Times New Roman;serif"/>
                <w:b w:val="false"/>
                <w:color w:val="000000"/>
                <w:sz w:val="12"/>
              </w:rPr>
              <w:t>(b)</w:t>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MongoDB Atlas Customers</w:t>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58,300+</w:t>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Customers over $100K</w:t>
            </w:r>
            <w:r>
              <w:rPr>
                <w:rFonts w:ascii="Times New Roman;serif" w:hAnsi="Times New Roman;serif"/>
                <w:b w:val="false"/>
                <w:color w:val="000000"/>
                <w:sz w:val="12"/>
              </w:rPr>
              <w:t>(c)</w:t>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1,855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1,972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2,052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2,137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2,189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2,314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2,396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2,506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Our definition of “customer” excludes users of our free offerings and all affiliated entities are counted as a single customer.</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(b) Direct Sales Customers are customers that were sold through our direct sales force and channel partners.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 Represents the number of customers with $100,000 or greater in annualized recurring revenue (“ARR”) and annualized monthly recurring revenue (“MRR”).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SUPPLEMENTAL REVENUE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supplemental revenue information as of the periods indicated:</w:t>
      </w:r>
    </w:p>
    <w:tbl>
      <w:tblPr>
        <w:tblW w:w="10205" w:type="dxa"/>
        <w:jc w:val="left"/>
        <w:tblInd w:w="0" w:type="dxa"/>
        <w:tblLayout w:type="fixed"/>
        <w:tblCellMar>
          <w:top w:w="28" w:type="dxa"/>
          <w:left w:w="28" w:type="dxa"/>
          <w:bottom w:w="28" w:type="dxa"/>
          <w:right w:w="28" w:type="dxa"/>
        </w:tblCellMar>
      </w:tblPr>
      <w:tblGrid>
        <w:gridCol w:w="540"/>
        <w:gridCol w:w="475"/>
        <w:gridCol w:w="476"/>
        <w:gridCol w:w="109"/>
        <w:gridCol w:w="109"/>
        <w:gridCol w:w="180"/>
        <w:gridCol w:w="181"/>
        <w:gridCol w:w="285"/>
        <w:gridCol w:w="109"/>
        <w:gridCol w:w="109"/>
        <w:gridCol w:w="109"/>
        <w:gridCol w:w="180"/>
        <w:gridCol w:w="181"/>
        <w:gridCol w:w="290"/>
        <w:gridCol w:w="109"/>
        <w:gridCol w:w="109"/>
        <w:gridCol w:w="109"/>
        <w:gridCol w:w="180"/>
        <w:gridCol w:w="181"/>
        <w:gridCol w:w="285"/>
        <w:gridCol w:w="109"/>
        <w:gridCol w:w="109"/>
        <w:gridCol w:w="109"/>
        <w:gridCol w:w="180"/>
        <w:gridCol w:w="181"/>
        <w:gridCol w:w="285"/>
        <w:gridCol w:w="109"/>
        <w:gridCol w:w="109"/>
        <w:gridCol w:w="109"/>
        <w:gridCol w:w="180"/>
        <w:gridCol w:w="181"/>
        <w:gridCol w:w="285"/>
        <w:gridCol w:w="109"/>
        <w:gridCol w:w="109"/>
        <w:gridCol w:w="109"/>
        <w:gridCol w:w="180"/>
        <w:gridCol w:w="181"/>
        <w:gridCol w:w="290"/>
        <w:gridCol w:w="109"/>
        <w:gridCol w:w="109"/>
        <w:gridCol w:w="109"/>
        <w:gridCol w:w="180"/>
        <w:gridCol w:w="181"/>
        <w:gridCol w:w="285"/>
        <w:gridCol w:w="109"/>
        <w:gridCol w:w="109"/>
        <w:gridCol w:w="109"/>
        <w:gridCol w:w="180"/>
        <w:gridCol w:w="181"/>
        <w:gridCol w:w="285"/>
        <w:gridCol w:w="109"/>
        <w:gridCol w:w="109"/>
        <w:gridCol w:w="109"/>
        <w:gridCol w:w="180"/>
        <w:gridCol w:w="181"/>
        <w:gridCol w:w="341"/>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6"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7/31/2023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10/31/2023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4/30/2024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 of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Direct Sales Customers</w:t>
            </w:r>
            <w:r>
              <w:rPr>
                <w:rFonts w:ascii="Times New Roman;serif" w:hAnsi="Times New Roman;serif"/>
                <w:b w:val="false"/>
                <w:color w:val="000000"/>
                <w:sz w:val="13"/>
              </w:rPr>
              <w:t>(a)</w:t>
            </w:r>
          </w:p>
          <w:p>
            <w:pPr>
              <w:pStyle w:val="TableContents"/>
              <w:bidi w:val="0"/>
              <w:spacing w:lineRule="auto" w:line="288" w:before="0" w:after="0"/>
              <w:ind w:left="0" w:right="0" w:hanging="135"/>
              <w:jc w:val="left"/>
              <w:rPr>
                <w:color w:val="000000"/>
              </w:rPr>
            </w:pPr>
            <w:r>
              <w:rPr>
                <w:color w:val="000000"/>
              </w:rPr>
              <w:t> </w:t>
            </w:r>
            <w:r>
              <w:rPr>
                <w:rFonts w:ascii="Times New Roman;serif" w:hAnsi="Times New Roman;serif"/>
                <w:b w:val="false"/>
                <w:color w:val="000000"/>
                <w:sz w:val="20"/>
              </w:rPr>
              <w:t>Revenue: % of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Direct Sales Customers are customers that were sold through our direct sales force and channel partners.</w:t>
      </w:r>
    </w:p>
    <w:p>
      <w:pPr>
        <w:pStyle w:val="TextBody"/>
        <w:bidi w:val="0"/>
        <w:spacing w:before="0" w:after="180"/>
        <w:jc w:val="left"/>
        <w:rPr/>
      </w:pPr>
      <w:r>
        <w:rPr/>
      </w:r>
    </w:p>
    <w:p>
      <w:pPr>
        <w:pStyle w:val="TextBody"/>
        <w:bidi w:val="0"/>
        <w:ind w:left="0" w:right="0" w:firstLine="5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5167</Words>
  <Characters>29728</Characters>
  <CharactersWithSpaces>34380</CharactersWithSpaces>
  <Paragraphs>1118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