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ectPr>
          <w:pgSz w:w="11900" w:h="16838" w:orient="portrait"/>
          <w:cols w:equalWidth="0" w:num="1">
            <w:col w:w="9879"/>
          </w:cols>
          <w:pgMar w:left="580" w:top="240" w:right="1440" w:bottom="1440" w:gutter="0" w:footer="0" w:header="0"/>
        </w:sectPr>
      </w:pPr>
    </w:p>
    <w:p>
      <w:pPr>
        <w:spacing w:after="0" w:line="200" w:lineRule="exact"/>
        <w:rPr>
          <w:sz w:val="24"/>
          <w:szCs w:val="24"/>
          <w:color w:val="auto"/>
        </w:rPr>
      </w:pPr>
    </w:p>
    <w:p>
      <w:pPr>
        <w:spacing w:after="0" w:line="237" w:lineRule="exact"/>
        <w:rPr>
          <w:sz w:val="24"/>
          <w:szCs w:val="24"/>
          <w:color w:val="auto"/>
        </w:rPr>
      </w:pPr>
    </w:p>
    <w:tbl>
      <w:tblPr>
        <w:tblLayout w:type="fixed"/>
        <w:tblInd w:w="880" w:type="dxa"/>
        <w:tblCellMar>
          <w:top w:w="0" w:type="dxa"/>
          <w:left w:w="0" w:type="dxa"/>
          <w:bottom w:w="0" w:type="dxa"/>
          <w:right w:w="0" w:type="dxa"/>
        </w:tblCellMar>
      </w:tblPr>
      <w:tr>
        <w:trPr>
          <w:trHeight w:val="1165"/>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E"/>
              </w:rPr>
              <w:t>accompanying</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E"/>
              </w:rPr>
              <w:t>not permitted.</w:t>
            </w:r>
          </w:p>
        </w:tc>
      </w:tr>
      <w:tr>
        <w:trPr>
          <w:trHeight w:val="4655"/>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E"/>
              </w:rPr>
              <w:t>changed. This preliminary prospectus supplement and the</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E"/>
              </w:rPr>
              <w:t>these securities in any jurisdiction where the offer or sale is</w:t>
            </w:r>
          </w:p>
        </w:tc>
      </w:tr>
      <w:tr>
        <w:trPr>
          <w:trHeight w:val="5389"/>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E"/>
              </w:rPr>
              <w:t>this preliminary prospectus supplement is not complete and may be</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E"/>
              </w:rPr>
              <w:t>an offer to sell these securities and we are not soliciting offers to buy</w:t>
            </w:r>
          </w:p>
        </w:tc>
      </w:tr>
      <w:tr>
        <w:trPr>
          <w:trHeight w:val="1498"/>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E"/>
              </w:rPr>
              <w:t>The information in</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E"/>
              </w:rPr>
              <w:t>prospectus are not</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3" w:lineRule="exact"/>
        <w:rPr>
          <w:sz w:val="24"/>
          <w:szCs w:val="24"/>
          <w:color w:val="auto"/>
        </w:rPr>
      </w:pPr>
    </w:p>
    <w:p>
      <w:pPr>
        <w:jc w:val="right"/>
        <w:ind w:right="119"/>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79"/>
        <w:spacing w:after="0"/>
        <w:rPr>
          <w:sz w:val="20"/>
          <w:szCs w:val="20"/>
          <w:color w:val="auto"/>
        </w:rPr>
      </w:pPr>
      <w:r>
        <w:rPr>
          <w:rFonts w:ascii="Arial" w:cs="Arial" w:eastAsia="Arial" w:hAnsi="Arial"/>
          <w:sz w:val="18"/>
          <w:szCs w:val="18"/>
          <w:b w:val="1"/>
          <w:bCs w:val="1"/>
          <w:color w:val="auto"/>
        </w:rPr>
        <w:t>Registration No. 333-257514</w:t>
      </w:r>
    </w:p>
    <w:p>
      <w:pPr>
        <w:spacing w:after="0" w:line="9" w:lineRule="exact"/>
        <w:rPr>
          <w:sz w:val="24"/>
          <w:szCs w:val="24"/>
          <w:color w:val="auto"/>
        </w:rPr>
      </w:pPr>
    </w:p>
    <w:p>
      <w:pPr>
        <w:ind w:left="2040"/>
        <w:spacing w:after="0"/>
        <w:rPr>
          <w:sz w:val="20"/>
          <w:szCs w:val="20"/>
          <w:color w:val="auto"/>
        </w:rPr>
      </w:pPr>
      <w:r>
        <w:rPr>
          <w:rFonts w:ascii="Arial" w:cs="Arial" w:eastAsia="Arial" w:hAnsi="Arial"/>
          <w:sz w:val="18"/>
          <w:szCs w:val="18"/>
          <w:b w:val="1"/>
          <w:bCs w:val="1"/>
          <w:color w:val="FF665E"/>
        </w:rPr>
        <w:t>SUBJECT TO COMPLETION, DATED JUNE 29, 2021</w:t>
      </w:r>
    </w:p>
    <w:p>
      <w:pPr>
        <w:spacing w:after="0" w:line="204"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color w:val="FF665E"/>
        </w:rPr>
        <w:t>PROSPECTUS SUPPLEMENT</w:t>
      </w:r>
    </w:p>
    <w:p>
      <w:pPr>
        <w:spacing w:after="0" w:line="22" w:lineRule="exact"/>
        <w:rPr>
          <w:sz w:val="24"/>
          <w:szCs w:val="24"/>
          <w:color w:val="auto"/>
        </w:rPr>
      </w:pPr>
    </w:p>
    <w:p>
      <w:pPr>
        <w:spacing w:after="0"/>
        <w:rPr>
          <w:sz w:val="20"/>
          <w:szCs w:val="20"/>
          <w:color w:val="auto"/>
        </w:rPr>
      </w:pPr>
      <w:r>
        <w:rPr>
          <w:rFonts w:ascii="Arial" w:cs="Arial" w:eastAsia="Arial" w:hAnsi="Arial"/>
          <w:sz w:val="20"/>
          <w:szCs w:val="20"/>
          <w:b w:val="1"/>
          <w:bCs w:val="1"/>
          <w:i w:val="1"/>
          <w:iCs w:val="1"/>
          <w:color w:val="FF665E"/>
        </w:rPr>
        <w:t>(TO PROSPECTUS DATED JUNE 29, 2021)</w:t>
      </w:r>
    </w:p>
    <w:p>
      <w:pPr>
        <w:spacing w:after="0" w:line="19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i w:val="1"/>
          <w:iCs w:val="1"/>
          <w:color w:val="auto"/>
        </w:rPr>
        <w:t>2,300,000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1322705</wp:posOffset>
            </wp:positionH>
            <wp:positionV relativeFrom="paragraph">
              <wp:posOffset>95885</wp:posOffset>
            </wp:positionV>
            <wp:extent cx="2580005"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MongoDB, Inc.</w:t>
      </w: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i w:val="1"/>
          <w:i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2059940</wp:posOffset>
            </wp:positionH>
            <wp:positionV relativeFrom="paragraph">
              <wp:posOffset>212725</wp:posOffset>
            </wp:positionV>
            <wp:extent cx="1097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We are offering 2,300,000 shares of our Class A common stock.</w:t>
      </w:r>
    </w:p>
    <w:p>
      <w:pPr>
        <w:spacing w:after="0" w:line="279" w:lineRule="exact"/>
        <w:rPr>
          <w:sz w:val="24"/>
          <w:szCs w:val="24"/>
          <w:color w:val="auto"/>
        </w:rPr>
      </w:pPr>
    </w:p>
    <w:p>
      <w:pPr>
        <w:jc w:val="both"/>
        <w:ind w:right="99"/>
        <w:spacing w:after="0" w:line="324" w:lineRule="auto"/>
        <w:rPr>
          <w:sz w:val="20"/>
          <w:szCs w:val="20"/>
          <w:color w:val="auto"/>
        </w:rPr>
      </w:pPr>
      <w:r>
        <w:rPr>
          <w:rFonts w:ascii="Arial" w:cs="Arial" w:eastAsia="Arial" w:hAnsi="Arial"/>
          <w:sz w:val="16"/>
          <w:szCs w:val="16"/>
          <w:i w:val="1"/>
          <w:iCs w:val="1"/>
          <w:color w:val="auto"/>
        </w:rPr>
        <w:t>Our Class A common stock is listed on the Nasdaq Global Market under the symbol “MDB”. On June 28, 2021, the last reported sale price of our Class A common stock on the Nasdaq Global Market was $389.23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2059940</wp:posOffset>
            </wp:positionH>
            <wp:positionV relativeFrom="paragraph">
              <wp:posOffset>105410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40" w:lineRule="exact"/>
        <w:rPr>
          <w:sz w:val="24"/>
          <w:szCs w:val="24"/>
          <w:color w:val="auto"/>
        </w:rPr>
      </w:pPr>
    </w:p>
    <w:p>
      <w:pPr>
        <w:jc w:val="both"/>
        <w:ind w:right="99"/>
        <w:spacing w:after="0" w:line="297" w:lineRule="auto"/>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Investing in our Class A common stock involves a high degree of risk. See “Risk Factors” beginning on page </w:t>
      </w:r>
      <w:hyperlink w:anchor="page10">
        <w:r>
          <w:rPr>
            <w:rFonts w:ascii="Arial" w:cs="Arial" w:eastAsia="Arial" w:hAnsi="Arial"/>
            <w:sz w:val="19"/>
            <w:szCs w:val="19"/>
            <w:b w:val="1"/>
            <w:bCs w:val="1"/>
            <w:i w:val="1"/>
            <w:iCs w:val="1"/>
            <w:u w:val="single" w:color="auto"/>
            <w:color w:val="0000EE"/>
          </w:rPr>
          <w:t>S-6</w:t>
        </w:r>
        <w:r>
          <w:rPr>
            <w:rFonts w:ascii="Arial" w:cs="Arial" w:eastAsia="Arial" w:hAnsi="Arial"/>
            <w:sz w:val="19"/>
            <w:szCs w:val="19"/>
            <w:b w:val="1"/>
            <w:bCs w:val="1"/>
            <w:i w:val="1"/>
            <w:iCs w:val="1"/>
            <w:u w:val="single" w:color="auto"/>
            <w:color w:val="auto"/>
          </w:rPr>
          <w:t xml:space="preserve"> </w:t>
        </w:r>
      </w:hyperlink>
      <w:r>
        <w:rPr>
          <w:rFonts w:ascii="Arial" w:cs="Arial" w:eastAsia="Arial" w:hAnsi="Arial"/>
          <w:sz w:val="19"/>
          <w:szCs w:val="19"/>
          <w:b w:val="1"/>
          <w:bCs w:val="1"/>
          <w:i w:val="1"/>
          <w:iCs w:val="1"/>
          <w:color w:val="auto"/>
        </w:rPr>
        <w:t>of this prospectus supplement for a discussion of certain risks that you should consider in connection with an investment in our Class A common stock.</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Per</w:t>
            </w:r>
          </w:p>
        </w:tc>
        <w:tc>
          <w:tcPr>
            <w:tcW w:w="720" w:type="dxa"/>
            <w:vAlign w:val="bottom"/>
          </w:tcPr>
          <w:p>
            <w:pPr>
              <w:spacing w:after="0"/>
              <w:rPr>
                <w:sz w:val="14"/>
                <w:szCs w:val="14"/>
                <w:color w:val="auto"/>
              </w:rPr>
            </w:pPr>
          </w:p>
        </w:tc>
      </w:tr>
      <w:tr>
        <w:trPr>
          <w:trHeight w:val="186"/>
        </w:trPr>
        <w:tc>
          <w:tcPr>
            <w:tcW w:w="66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w:t>
            </w:r>
          </w:p>
        </w:tc>
        <w:tc>
          <w:tcPr>
            <w:tcW w:w="72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w:t>
            </w:r>
          </w:p>
        </w:tc>
      </w:tr>
      <w:tr>
        <w:trPr>
          <w:trHeight w:val="25"/>
        </w:trPr>
        <w:tc>
          <w:tcPr>
            <w:tcW w:w="66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8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79"/>
              </w:rPr>
              <w:t>$</w:t>
            </w:r>
          </w:p>
        </w:tc>
      </w:tr>
      <w:tr>
        <w:trPr>
          <w:trHeight w:val="257"/>
        </w:trPr>
        <w:tc>
          <w:tcPr>
            <w:tcW w:w="660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680" w:type="dxa"/>
            <w:vAlign w:val="bottom"/>
          </w:tcPr>
          <w:p>
            <w:pPr>
              <w:jc w:val="right"/>
              <w:ind w:right="497"/>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2"/>
                <w:szCs w:val="22"/>
                <w:color w:val="auto"/>
              </w:rPr>
            </w:pPr>
          </w:p>
        </w:tc>
        <w:tc>
          <w:tcPr>
            <w:tcW w:w="720" w:type="dxa"/>
            <w:vAlign w:val="bottom"/>
          </w:tcPr>
          <w:p>
            <w:pPr>
              <w:jc w:val="right"/>
              <w:ind w:right="535"/>
              <w:spacing w:after="0"/>
              <w:rPr>
                <w:sz w:val="20"/>
                <w:szCs w:val="20"/>
                <w:color w:val="auto"/>
              </w:rPr>
            </w:pPr>
            <w:r>
              <w:rPr>
                <w:rFonts w:ascii="Arial" w:cs="Arial" w:eastAsia="Arial" w:hAnsi="Arial"/>
                <w:sz w:val="18"/>
                <w:szCs w:val="18"/>
                <w:color w:val="auto"/>
                <w:w w:val="79"/>
              </w:rPr>
              <w:t>$</w:t>
            </w:r>
          </w:p>
        </w:tc>
      </w:tr>
      <w:tr>
        <w:trPr>
          <w:trHeight w:val="25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8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79"/>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-496570</wp:posOffset>
            </wp:positionV>
            <wp:extent cx="4757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85" w:lineRule="exact"/>
        <w:rPr>
          <w:sz w:val="24"/>
          <w:szCs w:val="24"/>
          <w:color w:val="auto"/>
        </w:rPr>
      </w:pPr>
    </w:p>
    <w:p>
      <w:pPr>
        <w:ind w:left="360" w:right="99" w:hanging="356"/>
        <w:spacing w:after="0" w:line="273" w:lineRule="auto"/>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in connection with the offering. See the section titled “Underwriting.”</w:t>
      </w:r>
    </w:p>
    <w:p>
      <w:pPr>
        <w:spacing w:after="0" w:line="171" w:lineRule="exact"/>
        <w:rPr>
          <w:sz w:val="24"/>
          <w:szCs w:val="24"/>
          <w:color w:val="auto"/>
        </w:rPr>
      </w:pPr>
    </w:p>
    <w:p>
      <w:pPr>
        <w:jc w:val="both"/>
        <w:ind w:right="79"/>
        <w:spacing w:after="0" w:line="238" w:lineRule="auto"/>
        <w:rPr>
          <w:sz w:val="20"/>
          <w:szCs w:val="20"/>
          <w:color w:val="auto"/>
        </w:rPr>
      </w:pPr>
      <w:r>
        <w:rPr>
          <w:rFonts w:ascii="Arial" w:cs="Arial" w:eastAsia="Arial" w:hAnsi="Arial"/>
          <w:sz w:val="22"/>
          <w:szCs w:val="22"/>
          <w:b w:val="1"/>
          <w:bCs w:val="1"/>
          <w:i w:val="1"/>
          <w:iCs w:val="1"/>
          <w:color w:val="auto"/>
        </w:rPr>
        <w:t>Neither the Securities and Exchange Commission nor any other regulatory body has approved or disapproved of these securities or passed upon the accuracy or adequacy of this prospectus supplement or the accompanying prospectus. Any representation to the contrary is a criminal offense.</w:t>
      </w:r>
    </w:p>
    <w:p>
      <w:pPr>
        <w:spacing w:after="0" w:line="246" w:lineRule="exact"/>
        <w:rPr>
          <w:sz w:val="24"/>
          <w:szCs w:val="24"/>
          <w:color w:val="auto"/>
        </w:rPr>
      </w:pPr>
    </w:p>
    <w:p>
      <w:pPr>
        <w:spacing w:after="0"/>
        <w:rPr>
          <w:sz w:val="20"/>
          <w:szCs w:val="20"/>
          <w:color w:val="auto"/>
        </w:rPr>
      </w:pPr>
      <w:r>
        <w:rPr>
          <w:rFonts w:ascii="Arial" w:cs="Arial" w:eastAsia="Arial" w:hAnsi="Arial"/>
          <w:sz w:val="17"/>
          <w:szCs w:val="17"/>
          <w:i w:val="1"/>
          <w:iCs w:val="1"/>
          <w:color w:val="auto"/>
        </w:rPr>
        <w:t>We expect that delivery of the shares of Class A common stock will be made to investors in book-entry form</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i w:val="1"/>
                <w:iCs w:val="1"/>
                <w:color w:val="auto"/>
              </w:rPr>
              <w:t>through The Depository Trust Company on or about</w:t>
            </w:r>
          </w:p>
        </w:tc>
        <w:tc>
          <w:tcPr>
            <w:tcW w:w="4040" w:type="dxa"/>
            <w:vAlign w:val="bottom"/>
            <w:gridSpan w:val="2"/>
          </w:tcPr>
          <w:p>
            <w:pPr>
              <w:jc w:val="right"/>
              <w:ind w:right="3000"/>
              <w:spacing w:after="0"/>
              <w:rPr>
                <w:sz w:val="20"/>
                <w:szCs w:val="20"/>
                <w:color w:val="auto"/>
              </w:rPr>
            </w:pPr>
            <w:r>
              <w:rPr>
                <w:rFonts w:ascii="Arial" w:cs="Arial" w:eastAsia="Arial" w:hAnsi="Arial"/>
                <w:sz w:val="18"/>
                <w:szCs w:val="18"/>
                <w:i w:val="1"/>
                <w:iCs w:val="1"/>
                <w:color w:val="auto"/>
              </w:rPr>
              <w:t>, 2021.</w:t>
            </w:r>
          </w:p>
        </w:tc>
      </w:tr>
      <w:tr>
        <w:trPr>
          <w:trHeight w:val="281"/>
        </w:trPr>
        <w:tc>
          <w:tcPr>
            <w:tcW w:w="3240" w:type="dxa"/>
            <w:vAlign w:val="bottom"/>
          </w:tcPr>
          <w:p>
            <w:pPr>
              <w:spacing w:after="0"/>
              <w:rPr>
                <w:sz w:val="24"/>
                <w:szCs w:val="24"/>
                <w:color w:val="auto"/>
              </w:rPr>
            </w:pPr>
          </w:p>
        </w:tc>
        <w:tc>
          <w:tcPr>
            <w:tcW w:w="1740" w:type="dxa"/>
            <w:vAlign w:val="bottom"/>
            <w:tcBorders>
              <w:bottom w:val="single" w:sz="8" w:color="auto"/>
            </w:tcBorders>
            <w:gridSpan w:val="2"/>
          </w:tcPr>
          <w:p>
            <w:pPr>
              <w:spacing w:after="0"/>
              <w:rPr>
                <w:sz w:val="24"/>
                <w:szCs w:val="24"/>
                <w:color w:val="auto"/>
              </w:rPr>
            </w:pPr>
          </w:p>
        </w:tc>
        <w:tc>
          <w:tcPr>
            <w:tcW w:w="3220" w:type="dxa"/>
            <w:vAlign w:val="bottom"/>
          </w:tcPr>
          <w:p>
            <w:pPr>
              <w:spacing w:after="0"/>
              <w:rPr>
                <w:sz w:val="24"/>
                <w:szCs w:val="24"/>
                <w:color w:val="auto"/>
              </w:rPr>
            </w:pPr>
          </w:p>
        </w:tc>
      </w:tr>
      <w:tr>
        <w:trPr>
          <w:trHeight w:val="425"/>
        </w:trPr>
        <w:tc>
          <w:tcPr>
            <w:tcW w:w="8200" w:type="dxa"/>
            <w:vAlign w:val="bottom"/>
            <w:gridSpan w:val="4"/>
          </w:tcPr>
          <w:p>
            <w:pPr>
              <w:jc w:val="center"/>
              <w:spacing w:after="0"/>
              <w:rPr>
                <w:sz w:val="20"/>
                <w:szCs w:val="20"/>
                <w:color w:val="auto"/>
              </w:rPr>
            </w:pPr>
            <w:r>
              <w:rPr>
                <w:rFonts w:ascii="Arial" w:cs="Arial" w:eastAsia="Arial" w:hAnsi="Arial"/>
                <w:sz w:val="18"/>
                <w:szCs w:val="18"/>
                <w:b w:val="1"/>
                <w:bCs w:val="1"/>
                <w:i w:val="1"/>
                <w:iCs w:val="1"/>
                <w:color w:val="auto"/>
                <w:w w:val="89"/>
              </w:rPr>
              <w:t>Joint Book-Running Managers</w:t>
            </w:r>
          </w:p>
        </w:tc>
      </w:tr>
      <w:tr>
        <w:trPr>
          <w:trHeight w:val="572"/>
        </w:trPr>
        <w:tc>
          <w:tcPr>
            <w:tcW w:w="4160" w:type="dxa"/>
            <w:vAlign w:val="bottom"/>
            <w:gridSpan w:val="2"/>
          </w:tcPr>
          <w:p>
            <w:pPr>
              <w:spacing w:after="0"/>
              <w:rPr>
                <w:sz w:val="20"/>
                <w:szCs w:val="20"/>
                <w:color w:val="auto"/>
              </w:rPr>
            </w:pPr>
            <w:r>
              <w:rPr>
                <w:rFonts w:ascii="Arial" w:cs="Arial" w:eastAsia="Arial" w:hAnsi="Arial"/>
                <w:sz w:val="29"/>
                <w:szCs w:val="29"/>
                <w:b w:val="1"/>
                <w:bCs w:val="1"/>
                <w:i w:val="1"/>
                <w:iCs w:val="1"/>
                <w:color w:val="auto"/>
              </w:rPr>
              <w:t>MORGAN STANLEY</w:t>
            </w:r>
          </w:p>
        </w:tc>
        <w:tc>
          <w:tcPr>
            <w:tcW w:w="4040" w:type="dxa"/>
            <w:vAlign w:val="bottom"/>
            <w:gridSpan w:val="2"/>
          </w:tcPr>
          <w:p>
            <w:pPr>
              <w:jc w:val="center"/>
              <w:ind w:left="47"/>
              <w:spacing w:after="0"/>
              <w:rPr>
                <w:sz w:val="20"/>
                <w:szCs w:val="20"/>
                <w:color w:val="auto"/>
              </w:rPr>
            </w:pPr>
            <w:r>
              <w:rPr>
                <w:rFonts w:ascii="Arial" w:cs="Arial" w:eastAsia="Arial" w:hAnsi="Arial"/>
                <w:sz w:val="29"/>
                <w:szCs w:val="29"/>
                <w:b w:val="1"/>
                <w:bCs w:val="1"/>
                <w:i w:val="1"/>
                <w:iCs w:val="1"/>
                <w:color w:val="auto"/>
                <w:w w:val="94"/>
              </w:rPr>
              <w:t>GOLDMAN SACHS &amp; CO. LLC</w:t>
            </w:r>
          </w:p>
        </w:tc>
      </w:tr>
      <w:tr>
        <w:trPr>
          <w:trHeight w:val="333"/>
        </w:trPr>
        <w:tc>
          <w:tcPr>
            <w:tcW w:w="3240" w:type="dxa"/>
            <w:vAlign w:val="bottom"/>
          </w:tcPr>
          <w:p>
            <w:pPr>
              <w:spacing w:after="0"/>
              <w:rPr>
                <w:sz w:val="24"/>
                <w:szCs w:val="24"/>
                <w:color w:val="auto"/>
              </w:rPr>
            </w:pPr>
          </w:p>
        </w:tc>
        <w:tc>
          <w:tcPr>
            <w:tcW w:w="4960" w:type="dxa"/>
            <w:vAlign w:val="bottom"/>
            <w:gridSpan w:val="3"/>
          </w:tcPr>
          <w:p>
            <w:pPr>
              <w:jc w:val="center"/>
              <w:ind w:right="3240"/>
              <w:spacing w:after="0"/>
              <w:rPr>
                <w:sz w:val="20"/>
                <w:szCs w:val="20"/>
                <w:color w:val="auto"/>
              </w:rPr>
            </w:pPr>
            <w:r>
              <w:rPr>
                <w:rFonts w:ascii="Arial" w:cs="Arial" w:eastAsia="Arial" w:hAnsi="Arial"/>
                <w:sz w:val="18"/>
                <w:szCs w:val="18"/>
                <w:i w:val="1"/>
                <w:iCs w:val="1"/>
                <w:color w:val="auto"/>
                <w:w w:val="91"/>
              </w:rPr>
              <w:t>Co-Managers</w:t>
            </w:r>
          </w:p>
        </w:tc>
      </w:tr>
      <w:tr>
        <w:trPr>
          <w:trHeight w:val="424"/>
        </w:trPr>
        <w:tc>
          <w:tcPr>
            <w:tcW w:w="4160" w:type="dxa"/>
            <w:vAlign w:val="bottom"/>
            <w:gridSpan w:val="2"/>
          </w:tcPr>
          <w:p>
            <w:pPr>
              <w:ind w:left="180"/>
              <w:spacing w:after="0"/>
              <w:rPr>
                <w:sz w:val="20"/>
                <w:szCs w:val="20"/>
                <w:color w:val="auto"/>
              </w:rPr>
            </w:pPr>
            <w:r>
              <w:rPr>
                <w:rFonts w:ascii="Arial" w:cs="Arial" w:eastAsia="Arial" w:hAnsi="Arial"/>
                <w:sz w:val="22"/>
                <w:szCs w:val="22"/>
                <w:b w:val="1"/>
                <w:bCs w:val="1"/>
                <w:i w:val="1"/>
                <w:iCs w:val="1"/>
                <w:color w:val="auto"/>
                <w:w w:val="87"/>
              </w:rPr>
              <w:t>Siebert WilliamsGuzman &amp; Company</w:t>
            </w:r>
          </w:p>
        </w:tc>
        <w:tc>
          <w:tcPr>
            <w:tcW w:w="4040" w:type="dxa"/>
            <w:vAlign w:val="bottom"/>
            <w:gridSpan w:val="2"/>
          </w:tcPr>
          <w:p>
            <w:pPr>
              <w:jc w:val="center"/>
              <w:ind w:left="107"/>
              <w:spacing w:after="0"/>
              <w:rPr>
                <w:sz w:val="20"/>
                <w:szCs w:val="20"/>
                <w:color w:val="auto"/>
              </w:rPr>
            </w:pPr>
            <w:r>
              <w:rPr>
                <w:rFonts w:ascii="Arial" w:cs="Arial" w:eastAsia="Arial" w:hAnsi="Arial"/>
                <w:sz w:val="22"/>
                <w:szCs w:val="22"/>
                <w:b w:val="1"/>
                <w:bCs w:val="1"/>
                <w:i w:val="1"/>
                <w:iCs w:val="1"/>
                <w:color w:val="auto"/>
                <w:w w:val="89"/>
              </w:rPr>
              <w:t>Tigress FinancialDrexel Hamilton</w:t>
            </w:r>
          </w:p>
        </w:tc>
      </w:tr>
      <w:tr>
        <w:trPr>
          <w:trHeight w:val="274"/>
        </w:trPr>
        <w:tc>
          <w:tcPr>
            <w:tcW w:w="4160" w:type="dxa"/>
            <w:vAlign w:val="bottom"/>
            <w:gridSpan w:val="2"/>
          </w:tcPr>
          <w:p>
            <w:pPr>
              <w:ind w:left="620"/>
              <w:spacing w:after="0"/>
              <w:rPr>
                <w:sz w:val="20"/>
                <w:szCs w:val="20"/>
                <w:color w:val="auto"/>
              </w:rPr>
            </w:pPr>
            <w:r>
              <w:rPr>
                <w:rFonts w:ascii="Arial" w:cs="Arial" w:eastAsia="Arial" w:hAnsi="Arial"/>
                <w:sz w:val="22"/>
                <w:szCs w:val="22"/>
                <w:b w:val="1"/>
                <w:bCs w:val="1"/>
                <w:i w:val="1"/>
                <w:iCs w:val="1"/>
                <w:color w:val="auto"/>
              </w:rPr>
              <w:t>Shank</w:t>
            </w:r>
          </w:p>
        </w:tc>
        <w:tc>
          <w:tcPr>
            <w:tcW w:w="4040" w:type="dxa"/>
            <w:vAlign w:val="bottom"/>
            <w:gridSpan w:val="2"/>
          </w:tcPr>
          <w:p>
            <w:pPr>
              <w:jc w:val="right"/>
              <w:ind w:right="2520"/>
              <w:spacing w:after="0"/>
              <w:rPr>
                <w:sz w:val="20"/>
                <w:szCs w:val="20"/>
                <w:color w:val="auto"/>
              </w:rPr>
            </w:pPr>
            <w:r>
              <w:rPr>
                <w:rFonts w:ascii="Arial" w:cs="Arial" w:eastAsia="Arial" w:hAnsi="Arial"/>
                <w:sz w:val="22"/>
                <w:szCs w:val="22"/>
                <w:b w:val="1"/>
                <w:bCs w:val="1"/>
                <w:i w:val="1"/>
                <w:iCs w:val="1"/>
                <w:color w:val="auto"/>
              </w:rPr>
              <w:t>Partners</w:t>
            </w:r>
          </w:p>
        </w:tc>
      </w:tr>
    </w:tbl>
    <w:p>
      <w:pPr>
        <w:spacing w:after="0" w:line="124" w:lineRule="exact"/>
        <w:rPr>
          <w:sz w:val="24"/>
          <w:szCs w:val="24"/>
          <w:color w:val="auto"/>
        </w:rPr>
      </w:pPr>
    </w:p>
    <w:p>
      <w:pPr>
        <w:sectPr>
          <w:pgSz w:w="11900" w:h="16838" w:orient="portrait"/>
          <w:cols w:equalWidth="0" w:num="2">
            <w:col w:w="1220" w:space="360"/>
            <w:col w:w="8299"/>
          </w:cols>
          <w:pgMar w:left="580" w:top="240" w:right="1440" w:bottom="1440" w:gutter="0" w:footer="0" w:header="0"/>
          <w:type w:val="continuous"/>
        </w:sectPr>
      </w:pPr>
    </w:p>
    <w:p>
      <w:pPr>
        <w:ind w:left="2520"/>
        <w:spacing w:after="0"/>
        <w:rPr>
          <w:sz w:val="20"/>
          <w:szCs w:val="20"/>
          <w:color w:val="auto"/>
        </w:rPr>
      </w:pPr>
      <w:r>
        <w:rPr>
          <w:rFonts w:ascii="Arial" w:cs="Arial" w:eastAsia="Arial" w:hAnsi="Arial"/>
          <w:sz w:val="16"/>
          <w:szCs w:val="16"/>
          <w:i w:val="1"/>
          <w:iCs w:val="1"/>
          <w:color w:val="auto"/>
        </w:rPr>
        <w:t>,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67945</wp:posOffset>
            </wp:positionV>
            <wp:extent cx="68065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240"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Prospectus Supplement</w:t>
      </w:r>
    </w:p>
    <w:p>
      <w:pPr>
        <w:spacing w:after="0" w:line="207" w:lineRule="exact"/>
        <w:rPr>
          <w:sz w:val="20"/>
          <w:szCs w:val="20"/>
          <w:color w:val="auto"/>
        </w:rPr>
      </w:pPr>
    </w:p>
    <w:p>
      <w:pPr>
        <w:jc w:val="both"/>
        <w:ind w:left="4880"/>
        <w:spacing w:after="0"/>
        <w:tabs>
          <w:tab w:leader="none" w:pos="9080" w:val="left"/>
        </w:tabs>
        <w:rPr>
          <w:sz w:val="20"/>
          <w:szCs w:val="20"/>
          <w:color w:val="auto"/>
        </w:rPr>
      </w:pPr>
      <w:r>
        <w:rPr>
          <w:rFonts w:ascii="Arial" w:cs="Arial" w:eastAsia="Arial" w:hAnsi="Arial"/>
          <w:sz w:val="14"/>
          <w:szCs w:val="14"/>
          <w:b w:val="1"/>
          <w:bCs w:val="1"/>
          <w:color w:val="auto"/>
        </w:rPr>
        <w:t>Page</w:t>
      </w:r>
      <w:r>
        <w:rPr>
          <w:sz w:val="20"/>
          <w:szCs w:val="20"/>
          <w:color w:val="auto"/>
        </w:rPr>
        <w:tab/>
      </w: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4911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31"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3520" w:type="dxa"/>
            <w:vAlign w:val="bottom"/>
            <w:tcBorders>
              <w:top w:val="single" w:sz="8" w:color="CCEEFF"/>
            </w:tcBorders>
            <w:gridSpan w:val="11"/>
            <w:shd w:val="clear" w:color="auto" w:fill="CCEEFF"/>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ABOUT THIS PROSPECTUS</w:t>
              </w:r>
            </w:hyperlink>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30"/>
        </w:trPr>
        <w:tc>
          <w:tcPr>
            <w:tcW w:w="180" w:type="dxa"/>
            <w:vAlign w:val="bottom"/>
            <w:tcBorders>
              <w:top w:val="single" w:sz="8" w:color="0000EE"/>
              <w:bottom w:val="single" w:sz="8" w:color="CCEEFF"/>
            </w:tcBorders>
            <w:shd w:val="clear" w:color="auto" w:fill="CCEEFF"/>
          </w:tcPr>
          <w:p>
            <w:pPr>
              <w:spacing w:after="0"/>
              <w:rPr>
                <w:sz w:val="20"/>
                <w:szCs w:val="20"/>
                <w:color w:val="auto"/>
              </w:rPr>
            </w:pPr>
          </w:p>
        </w:tc>
        <w:tc>
          <w:tcPr>
            <w:tcW w:w="120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6"/>
              </w:rPr>
            </w:pPr>
            <w:hyperlink w:anchor="page2">
              <w:r>
                <w:rPr>
                  <w:rFonts w:ascii="Arial" w:cs="Arial" w:eastAsia="Arial" w:hAnsi="Arial"/>
                  <w:sz w:val="18"/>
                  <w:szCs w:val="18"/>
                  <w:color w:val="0000EE"/>
                  <w:w w:val="96"/>
                </w:rPr>
                <w:t>SUPPLEMENT</w:t>
              </w:r>
            </w:hyperlink>
          </w:p>
        </w:tc>
        <w:tc>
          <w:tcPr>
            <w:tcW w:w="920" w:type="dxa"/>
            <w:vAlign w:val="bottom"/>
            <w:tcBorders>
              <w:top w:val="single" w:sz="8" w:color="0000EE"/>
              <w:bottom w:val="single" w:sz="8" w:color="CCEEFF"/>
            </w:tcBorders>
            <w:gridSpan w:val="3"/>
            <w:shd w:val="clear" w:color="auto" w:fill="CCEEFF"/>
          </w:tcPr>
          <w:p>
            <w:pPr>
              <w:spacing w:after="0"/>
              <w:rPr>
                <w:sz w:val="20"/>
                <w:szCs w:val="20"/>
                <w:color w:val="auto"/>
              </w:rPr>
            </w:pPr>
          </w:p>
        </w:tc>
        <w:tc>
          <w:tcPr>
            <w:tcW w:w="122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0000EE"/>
            </w:tcBorders>
            <w:gridSpan w:val="2"/>
            <w:shd w:val="clear" w:color="auto" w:fill="CCEEFF"/>
          </w:tcPr>
          <w:p>
            <w:pPr>
              <w:jc w:val="right"/>
              <w:spacing w:after="0" w:line="196" w:lineRule="exact"/>
              <w:rPr>
                <w:rFonts w:ascii="Arial" w:cs="Arial" w:eastAsia="Arial" w:hAnsi="Arial"/>
                <w:sz w:val="18"/>
                <w:szCs w:val="18"/>
                <w:color w:val="0000EE"/>
                <w:w w:val="99"/>
              </w:rPr>
            </w:pPr>
            <w:hyperlink w:anchor="page2">
              <w:r>
                <w:rPr>
                  <w:rFonts w:ascii="Arial" w:cs="Arial" w:eastAsia="Arial" w:hAnsi="Arial"/>
                  <w:sz w:val="18"/>
                  <w:szCs w:val="18"/>
                  <w:color w:val="0000EE"/>
                  <w:w w:val="99"/>
                </w:rPr>
                <w:t>S-ii</w:t>
              </w:r>
            </w:hyperlink>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2440" w:type="dxa"/>
            <w:vAlign w:val="bottom"/>
            <w:tcBorders>
              <w:bottom w:val="single" w:sz="8" w:color="0000EE"/>
            </w:tcBorders>
            <w:gridSpan w:val="9"/>
          </w:tcPr>
          <w:p>
            <w:pPr>
              <w:spacing w:after="0" w:line="202"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SPECIAL NOTE REGARDING</w:t>
              </w:r>
            </w:hyperlink>
          </w:p>
        </w:tc>
        <w:tc>
          <w:tcPr>
            <w:tcW w:w="10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340" w:type="dxa"/>
            <w:vAlign w:val="bottom"/>
            <w:gridSpan w:val="1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5"/>
          </w:tcPr>
          <w:p>
            <w:pPr>
              <w:jc w:val="right"/>
              <w:ind w:right="6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S-iii</w:t>
              </w:r>
            </w:hyperlink>
          </w:p>
        </w:tc>
      </w:tr>
      <w:tr>
        <w:trPr>
          <w:trHeight w:val="34"/>
        </w:trPr>
        <w:tc>
          <w:tcPr>
            <w:tcW w:w="18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20" w:type="dxa"/>
            <w:vAlign w:val="bottom"/>
            <w:gridSpan w:val="11"/>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60"/>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S-1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520" w:type="dxa"/>
            <w:vAlign w:val="bottom"/>
            <w:gridSpan w:val="1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THE OFFERING</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jc w:val="right"/>
              <w:ind w:right="60"/>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S-4</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30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6"/>
              </w:rPr>
            </w:pPr>
            <w:hyperlink w:anchor="page10">
              <w:r>
                <w:rPr>
                  <w:rFonts w:ascii="Arial" w:cs="Arial" w:eastAsia="Arial" w:hAnsi="Arial"/>
                  <w:sz w:val="18"/>
                  <w:szCs w:val="18"/>
                  <w:color w:val="0000EE"/>
                  <w:w w:val="96"/>
                </w:rPr>
                <w:t>RISK FACTORS</w:t>
              </w:r>
            </w:hyperlink>
          </w:p>
        </w:tc>
        <w:tc>
          <w:tcPr>
            <w:tcW w:w="2220" w:type="dxa"/>
            <w:vAlign w:val="bottom"/>
            <w:tcBorders>
              <w:bottom w:val="single" w:sz="8" w:color="CCEEFF"/>
            </w:tcBorders>
            <w:gridSpan w:val="8"/>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85"/>
              </w:rPr>
            </w:pPr>
            <w:hyperlink w:anchor="page10">
              <w:r>
                <w:rPr>
                  <w:rFonts w:ascii="Arial" w:cs="Arial" w:eastAsia="Arial" w:hAnsi="Arial"/>
                  <w:sz w:val="18"/>
                  <w:szCs w:val="18"/>
                  <w:color w:val="0000EE"/>
                  <w:w w:val="85"/>
                </w:rPr>
                <w:t>S-6</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16"/>
        </w:trPr>
        <w:tc>
          <w:tcPr>
            <w:tcW w:w="3520" w:type="dxa"/>
            <w:vAlign w:val="bottom"/>
            <w:gridSpan w:val="1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5"/>
          </w:tcPr>
          <w:p>
            <w:pPr>
              <w:jc w:val="right"/>
              <w:ind w:right="60"/>
              <w:spacing w:after="0"/>
              <w:rPr>
                <w:rFonts w:ascii="Arial" w:cs="Arial" w:eastAsia="Arial" w:hAnsi="Arial"/>
                <w:sz w:val="18"/>
                <w:szCs w:val="18"/>
                <w:color w:val="0000EE"/>
                <w:w w:val="84"/>
              </w:rPr>
            </w:pPr>
            <w:hyperlink w:anchor="page15">
              <w:r>
                <w:rPr>
                  <w:rFonts w:ascii="Arial" w:cs="Arial" w:eastAsia="Arial" w:hAnsi="Arial"/>
                  <w:sz w:val="18"/>
                  <w:szCs w:val="18"/>
                  <w:color w:val="0000EE"/>
                  <w:w w:val="84"/>
                </w:rPr>
                <w:t>S-11</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3520" w:type="dxa"/>
            <w:vAlign w:val="bottom"/>
            <w:gridSpan w:val="11"/>
            <w:shd w:val="clear" w:color="auto" w:fill="CCEEFF"/>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DIVIDEND POLICY</w:t>
              </w:r>
            </w:hyperlink>
          </w:p>
        </w:tc>
        <w:tc>
          <w:tcPr>
            <w:tcW w:w="480" w:type="dxa"/>
            <w:vAlign w:val="bottom"/>
            <w:gridSpan w:val="7"/>
            <w:shd w:val="clear" w:color="auto" w:fill="CCEEFF"/>
          </w:tcPr>
          <w:p>
            <w:pPr>
              <w:jc w:val="right"/>
              <w:ind w:right="60"/>
              <w:spacing w:after="0"/>
              <w:rPr>
                <w:rFonts w:ascii="Arial" w:cs="Arial" w:eastAsia="Arial" w:hAnsi="Arial"/>
                <w:sz w:val="18"/>
                <w:szCs w:val="18"/>
                <w:color w:val="0000EE"/>
              </w:rPr>
            </w:pPr>
            <w:hyperlink w:anchor="page16">
              <w:r>
                <w:rPr>
                  <w:rFonts w:ascii="Arial" w:cs="Arial" w:eastAsia="Arial" w:hAnsi="Arial"/>
                  <w:sz w:val="18"/>
                  <w:szCs w:val="18"/>
                  <w:color w:val="0000EE"/>
                </w:rPr>
                <w:t>S-12</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548640</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880" w:type="dxa"/>
            <w:vAlign w:val="bottom"/>
            <w:tcBorders>
              <w:top w:val="single" w:sz="8" w:color="CCEEFF"/>
              <w:bottom w:val="single" w:sz="8" w:color="0000EE"/>
            </w:tcBorders>
            <w:gridSpan w:val="3"/>
            <w:shd w:val="clear" w:color="auto" w:fill="CCEEFF"/>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DILUTION</w:t>
              </w:r>
            </w:hyperlink>
          </w:p>
        </w:tc>
        <w:tc>
          <w:tcPr>
            <w:tcW w:w="2640" w:type="dxa"/>
            <w:vAlign w:val="bottom"/>
            <w:tcBorders>
              <w:top w:val="single" w:sz="8" w:color="CCEEFF"/>
              <w:bottom w:val="single" w:sz="8" w:color="CCEEFF"/>
            </w:tcBorders>
            <w:gridSpan w:val="10"/>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0000EE"/>
            </w:tcBorders>
            <w:shd w:val="clear" w:color="auto" w:fill="CCEEFF"/>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S-12</w:t>
              </w:r>
            </w:hyperlink>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03"/>
        </w:trPr>
        <w:tc>
          <w:tcPr>
            <w:tcW w:w="3000" w:type="dxa"/>
            <w:vAlign w:val="bottom"/>
            <w:tcBorders>
              <w:bottom w:val="single" w:sz="8" w:color="0000EE"/>
            </w:tcBorders>
            <w:gridSpan w:val="11"/>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MATERIAL U.S. FEDERAL INCOME</w:t>
              </w:r>
            </w:hyperlink>
          </w:p>
        </w:tc>
        <w:tc>
          <w:tcPr>
            <w:tcW w:w="5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280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TAX CONSEQUENCES FOR NON-</w:t>
              </w:r>
            </w:hyperlink>
          </w:p>
        </w:tc>
        <w:tc>
          <w:tcPr>
            <w:tcW w:w="5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340" w:type="dxa"/>
            <w:vAlign w:val="bottom"/>
            <w:gridSpan w:val="1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U.S. HOLDERS</w:t>
              </w:r>
            </w:hyperlink>
          </w:p>
        </w:tc>
        <w:tc>
          <w:tcPr>
            <w:tcW w:w="460" w:type="dxa"/>
            <w:vAlign w:val="bottom"/>
            <w:gridSpan w:val="3"/>
          </w:tcPr>
          <w:p>
            <w:pPr>
              <w:ind w:left="60"/>
              <w:spacing w:after="0" w:line="196"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S-13</w:t>
              </w:r>
            </w:hyperlink>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520" w:type="dxa"/>
            <w:vAlign w:val="bottom"/>
            <w:gridSpan w:val="13"/>
            <w:shd w:val="clear" w:color="auto" w:fill="CCEEFF"/>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UNDERWRITING</w:t>
              </w:r>
            </w:hyperlink>
          </w:p>
        </w:tc>
        <w:tc>
          <w:tcPr>
            <w:tcW w:w="460" w:type="dxa"/>
            <w:vAlign w:val="bottom"/>
            <w:gridSpan w:val="3"/>
            <w:shd w:val="clear" w:color="auto" w:fill="CCEEFF"/>
          </w:tcPr>
          <w:p>
            <w:pPr>
              <w:ind w:left="60"/>
              <w:spacing w:after="0"/>
              <w:rPr>
                <w:rFonts w:ascii="Arial" w:cs="Arial" w:eastAsia="Arial" w:hAnsi="Arial"/>
                <w:sz w:val="18"/>
                <w:szCs w:val="18"/>
                <w:color w:val="0000EE"/>
                <w:w w:val="99"/>
              </w:rPr>
            </w:pPr>
            <w:hyperlink w:anchor="page21">
              <w:r>
                <w:rPr>
                  <w:rFonts w:ascii="Arial" w:cs="Arial" w:eastAsia="Arial" w:hAnsi="Arial"/>
                  <w:sz w:val="18"/>
                  <w:szCs w:val="18"/>
                  <w:color w:val="0000EE"/>
                  <w:w w:val="99"/>
                </w:rPr>
                <w:t>S-17</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520" w:type="dxa"/>
            <w:vAlign w:val="bottom"/>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MATTERS</w:t>
              </w:r>
            </w:hyperlink>
          </w:p>
        </w:tc>
        <w:tc>
          <w:tcPr>
            <w:tcW w:w="460" w:type="dxa"/>
            <w:vAlign w:val="bottom"/>
            <w:gridSpan w:val="3"/>
          </w:tcPr>
          <w:p>
            <w:pPr>
              <w:ind w:left="60"/>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S-22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3520" w:type="dxa"/>
            <w:vAlign w:val="bottom"/>
            <w:gridSpan w:val="13"/>
            <w:shd w:val="clear" w:color="auto" w:fill="CCEEFF"/>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EXPERTS</w:t>
              </w:r>
            </w:hyperlink>
          </w:p>
        </w:tc>
        <w:tc>
          <w:tcPr>
            <w:tcW w:w="460" w:type="dxa"/>
            <w:vAlign w:val="bottom"/>
            <w:gridSpan w:val="3"/>
            <w:shd w:val="clear" w:color="auto" w:fill="CCEEFF"/>
          </w:tcPr>
          <w:p>
            <w:pPr>
              <w:ind w:left="60"/>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S-22</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3520" w:type="dxa"/>
            <w:vAlign w:val="bottom"/>
            <w:gridSpan w:val="13"/>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WHERE YOU CAN FIND ADDITIONAL</w:t>
              </w:r>
            </w:hyperlink>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INFORMATION</w:t>
              </w:r>
            </w:hyperlink>
          </w:p>
        </w:tc>
        <w:tc>
          <w:tcPr>
            <w:tcW w:w="300" w:type="dxa"/>
            <w:vAlign w:val="bottom"/>
          </w:tcPr>
          <w:p>
            <w:pPr>
              <w:spacing w:after="0"/>
              <w:rPr>
                <w:sz w:val="17"/>
                <w:szCs w:val="17"/>
                <w:color w:val="auto"/>
              </w:rPr>
            </w:pPr>
          </w:p>
        </w:tc>
        <w:tc>
          <w:tcPr>
            <w:tcW w:w="460" w:type="dxa"/>
            <w:vAlign w:val="bottom"/>
            <w:gridSpan w:val="3"/>
          </w:tcPr>
          <w:p>
            <w:pPr>
              <w:ind w:left="60"/>
              <w:spacing w:after="0" w:line="196"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S-22</w:t>
              </w:r>
            </w:hyperlink>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2600" w:type="dxa"/>
            <w:vAlign w:val="bottom"/>
            <w:tcBorders>
              <w:bottom w:val="single" w:sz="8" w:color="0000EE"/>
            </w:tcBorders>
            <w:gridSpan w:val="8"/>
            <w:shd w:val="clear" w:color="auto" w:fill="CCEEFF"/>
          </w:tcPr>
          <w:p>
            <w:pPr>
              <w:spacing w:after="0" w:line="202"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INCORPORATION OF CERTAIN</w:t>
              </w:r>
            </w:hyperlink>
          </w:p>
        </w:tc>
        <w:tc>
          <w:tcPr>
            <w:tcW w:w="920" w:type="dxa"/>
            <w:vAlign w:val="bottom"/>
            <w:tcBorders>
              <w:bottom w:val="single" w:sz="8" w:color="CCEEFF"/>
            </w:tcBorders>
            <w:gridSpan w:val="5"/>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3340" w:type="dxa"/>
            <w:vAlign w:val="bottom"/>
            <w:gridSpan w:val="12"/>
            <w:shd w:val="clear" w:color="auto" w:fill="CCEEFF"/>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DOCUMENTS BY REFERENCE</w:t>
              </w:r>
            </w:hyperlink>
          </w:p>
        </w:tc>
        <w:tc>
          <w:tcPr>
            <w:tcW w:w="460" w:type="dxa"/>
            <w:vAlign w:val="bottom"/>
            <w:gridSpan w:val="3"/>
            <w:shd w:val="clear" w:color="auto" w:fill="CCEEFF"/>
          </w:tcPr>
          <w:p>
            <w:pPr>
              <w:ind w:left="60"/>
              <w:spacing w:after="0" w:line="196"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S-22</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260" w:space="220"/>
            <w:col w:w="4399"/>
          </w:cols>
          <w:pgMar w:left="580" w:top="131"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Page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gridSpan w:val="4"/>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gridSpan w:val="9"/>
            <w:shd w:val="clear" w:color="auto" w:fill="CCEEFF"/>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ABOUT THIS PROSPECTUS</w:t>
              </w:r>
            </w:hyperlink>
          </w:p>
        </w:tc>
        <w:tc>
          <w:tcPr>
            <w:tcW w:w="1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center"/>
              <w:ind w:right="160"/>
              <w:spacing w:after="0"/>
              <w:rPr>
                <w:rFonts w:ascii="Arial" w:cs="Arial" w:eastAsia="Arial" w:hAnsi="Arial"/>
                <w:sz w:val="18"/>
                <w:szCs w:val="18"/>
                <w:color w:val="0000EE"/>
              </w:rPr>
            </w:pPr>
            <w:hyperlink w:anchor="page30">
              <w:r>
                <w:rPr>
                  <w:rFonts w:ascii="Arial" w:cs="Arial" w:eastAsia="Arial" w:hAnsi="Arial"/>
                  <w:sz w:val="18"/>
                  <w:szCs w:val="18"/>
                  <w:color w:val="0000EE"/>
                </w:rPr>
                <w:t>ii</w:t>
              </w:r>
            </w:hyperlink>
          </w:p>
        </w:tc>
        <w:tc>
          <w:tcPr>
            <w:tcW w:w="220" w:type="dxa"/>
            <w:vAlign w:val="bottom"/>
          </w:tcPr>
          <w:p>
            <w:pPr>
              <w:spacing w:after="0"/>
              <w:rPr>
                <w:sz w:val="18"/>
                <w:szCs w:val="18"/>
                <w:color w:val="auto"/>
              </w:rPr>
            </w:pPr>
          </w:p>
        </w:tc>
        <w:tc>
          <w:tcPr>
            <w:tcW w:w="3520" w:type="dxa"/>
            <w:vAlign w:val="bottom"/>
            <w:gridSpan w:val="9"/>
            <w:shd w:val="clear" w:color="auto" w:fill="CCEEFF"/>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DESCRIPTION OF CAPITAL STOCK</w:t>
              </w:r>
            </w:hyperlink>
          </w:p>
        </w:tc>
        <w:tc>
          <w:tcPr>
            <w:tcW w:w="340" w:type="dxa"/>
            <w:vAlign w:val="bottom"/>
            <w:gridSpan w:val="3"/>
            <w:shd w:val="clear" w:color="auto" w:fill="CCEEFF"/>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8</w:t>
              </w:r>
            </w:hyperlink>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gridSpan w:val="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PROSPECTUS SUMMARY</w:t>
              </w:r>
            </w:hyperlink>
          </w:p>
        </w:tc>
        <w:tc>
          <w:tcPr>
            <w:tcW w:w="1260" w:type="dxa"/>
            <w:vAlign w:val="bottom"/>
            <w:gridSpan w:val="4"/>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gridSpan w:val="2"/>
          </w:tcPr>
          <w:p>
            <w:pPr>
              <w:jc w:val="center"/>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1</w:t>
              </w:r>
            </w:hyperlink>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PLAN OF DISTRIBUTION</w:t>
              </w:r>
            </w:hyperlink>
          </w:p>
        </w:tc>
        <w:tc>
          <w:tcPr>
            <w:tcW w:w="560" w:type="dxa"/>
            <w:vAlign w:val="bottom"/>
          </w:tcPr>
          <w:p>
            <w:pPr>
              <w:spacing w:after="0"/>
              <w:rPr>
                <w:sz w:val="18"/>
                <w:szCs w:val="18"/>
                <w:color w:val="auto"/>
              </w:rPr>
            </w:pPr>
          </w:p>
        </w:tc>
        <w:tc>
          <w:tcPr>
            <w:tcW w:w="340" w:type="dxa"/>
            <w:vAlign w:val="bottom"/>
            <w:gridSpan w:val="3"/>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12</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gridSpan w:val="2"/>
            <w:shd w:val="clear" w:color="auto" w:fill="CCEEFF"/>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RISK FACTORS</w:t>
              </w:r>
            </w:hyperlink>
          </w:p>
        </w:tc>
        <w:tc>
          <w:tcPr>
            <w:tcW w:w="2260" w:type="dxa"/>
            <w:vAlign w:val="bottom"/>
            <w:gridSpan w:val="7"/>
            <w:shd w:val="clear" w:color="auto" w:fill="CCEEFF"/>
          </w:tcPr>
          <w:p>
            <w:pPr>
              <w:spacing w:after="0"/>
              <w:rPr>
                <w:sz w:val="18"/>
                <w:szCs w:val="18"/>
                <w:color w:val="auto"/>
              </w:rPr>
            </w:pPr>
          </w:p>
        </w:tc>
        <w:tc>
          <w:tcPr>
            <w:tcW w:w="280" w:type="dxa"/>
            <w:vAlign w:val="bottom"/>
            <w:gridSpan w:val="3"/>
            <w:shd w:val="clear" w:color="auto" w:fill="CCEEFF"/>
          </w:tcPr>
          <w:p>
            <w:pPr>
              <w:jc w:val="center"/>
              <w:ind w:left="115"/>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w:t>
              </w:r>
            </w:hyperlink>
          </w:p>
        </w:tc>
        <w:tc>
          <w:tcPr>
            <w:tcW w:w="16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9"/>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LEGAL MATTERS</w:t>
              </w:r>
            </w:hyperlink>
          </w:p>
        </w:tc>
        <w:tc>
          <w:tcPr>
            <w:tcW w:w="340" w:type="dxa"/>
            <w:vAlign w:val="bottom"/>
            <w:gridSpan w:val="3"/>
            <w:shd w:val="clear" w:color="auto" w:fill="CCEEFF"/>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14</w:t>
              </w:r>
            </w:hyperlink>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SPECIAL NOTE REGARDING</w:t>
              </w:r>
            </w:hyperlink>
          </w:p>
        </w:tc>
        <w:tc>
          <w:tcPr>
            <w:tcW w:w="11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gridSpan w:val="9"/>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EXPERTS</w:t>
              </w:r>
            </w:hyperlink>
          </w:p>
        </w:tc>
        <w:tc>
          <w:tcPr>
            <w:tcW w:w="340" w:type="dxa"/>
            <w:vAlign w:val="bottom"/>
            <w:gridSpan w:val="3"/>
          </w:tcPr>
          <w:p>
            <w:pPr>
              <w:jc w:val="right"/>
              <w:ind w:right="20"/>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14</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20" w:type="dxa"/>
            <w:vAlign w:val="bottom"/>
            <w:gridSpan w:val="7"/>
            <w:vMerge w:val="restart"/>
          </w:tcPr>
          <w:p>
            <w:pPr>
              <w:spacing w:after="0" w:line="182"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FORWARD-LOOKING STATEMENTS</w:t>
              </w:r>
            </w:hyperlink>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vMerge w:val="restart"/>
          </w:tcPr>
          <w:p>
            <w:pPr>
              <w:jc w:val="center"/>
              <w:spacing w:after="0" w:line="182"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4</w:t>
              </w:r>
            </w:hyperlink>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3020" w:type="dxa"/>
            <w:vAlign w:val="bottom"/>
            <w:tcBorders>
              <w:bottom w:val="single" w:sz="8" w:color="0000EE"/>
            </w:tcBorders>
            <w:gridSpan w:val="7"/>
            <w:vMerge w:val="continue"/>
          </w:tcPr>
          <w:p>
            <w:pPr>
              <w:spacing w:after="0"/>
              <w:rPr>
                <w:sz w:val="15"/>
                <w:szCs w:val="15"/>
                <w:color w:val="auto"/>
              </w:rPr>
            </w:pPr>
          </w:p>
        </w:tc>
        <w:tc>
          <w:tcPr>
            <w:tcW w:w="360" w:type="dxa"/>
            <w:vAlign w:val="bottom"/>
            <w:vMerge w:val="restart"/>
          </w:tcPr>
          <w:p>
            <w:pPr>
              <w:spacing w:after="0"/>
              <w:rPr>
                <w:sz w:val="15"/>
                <w:szCs w:val="15"/>
                <w:color w:val="auto"/>
              </w:rPr>
            </w:pPr>
          </w:p>
        </w:tc>
        <w:tc>
          <w:tcPr>
            <w:tcW w:w="200" w:type="dxa"/>
            <w:vAlign w:val="bottom"/>
            <w:gridSpan w:val="2"/>
            <w:vMerge w:val="restart"/>
          </w:tcPr>
          <w:p>
            <w:pPr>
              <w:spacing w:after="0"/>
              <w:rPr>
                <w:sz w:val="15"/>
                <w:szCs w:val="15"/>
                <w:color w:val="auto"/>
              </w:rPr>
            </w:pPr>
          </w:p>
        </w:tc>
        <w:tc>
          <w:tcPr>
            <w:tcW w:w="80" w:type="dxa"/>
            <w:vAlign w:val="bottom"/>
            <w:tcBorders>
              <w:bottom w:val="single" w:sz="8" w:color="0000EE"/>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vMerge w:val="restart"/>
          </w:tcPr>
          <w:p>
            <w:pPr>
              <w:spacing w:after="0"/>
              <w:rPr>
                <w:sz w:val="15"/>
                <w:szCs w:val="15"/>
                <w:color w:val="auto"/>
              </w:rPr>
            </w:pPr>
          </w:p>
        </w:tc>
        <w:tc>
          <w:tcPr>
            <w:tcW w:w="3520" w:type="dxa"/>
            <w:vAlign w:val="bottom"/>
            <w:tcBorders>
              <w:bottom w:val="single" w:sz="8" w:color="CCEEFF"/>
            </w:tcBorders>
            <w:gridSpan w:val="9"/>
            <w:vMerge w:val="restart"/>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WHERE YOU CAN FIND MORE</w:t>
              </w:r>
            </w:hyperlink>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3520" w:type="dxa"/>
            <w:vAlign w:val="bottom"/>
            <w:gridSpan w:val="9"/>
            <w:vMerge w:val="continue"/>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640" w:type="dxa"/>
            <w:vAlign w:val="bottom"/>
            <w:gridSpan w:val="3"/>
            <w:shd w:val="clear" w:color="auto" w:fill="CCEEFF"/>
          </w:tcPr>
          <w:p>
            <w:pPr>
              <w:spacing w:after="0" w:line="182"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USE OF PROCEEDS</w:t>
              </w:r>
            </w:hyperlink>
          </w:p>
        </w:tc>
        <w:tc>
          <w:tcPr>
            <w:tcW w:w="1920" w:type="dxa"/>
            <w:vAlign w:val="bottom"/>
            <w:gridSpan w:val="6"/>
            <w:shd w:val="clear" w:color="auto" w:fill="CCEEFF"/>
          </w:tcPr>
          <w:p>
            <w:pPr>
              <w:spacing w:after="0"/>
              <w:rPr>
                <w:sz w:val="18"/>
                <w:szCs w:val="18"/>
                <w:color w:val="auto"/>
              </w:rPr>
            </w:pPr>
          </w:p>
        </w:tc>
        <w:tc>
          <w:tcPr>
            <w:tcW w:w="280" w:type="dxa"/>
            <w:vAlign w:val="bottom"/>
            <w:gridSpan w:val="3"/>
            <w:shd w:val="clear" w:color="auto" w:fill="CCEEFF"/>
          </w:tcPr>
          <w:p>
            <w:pPr>
              <w:jc w:val="center"/>
              <w:ind w:left="115"/>
              <w:spacing w:after="0" w:line="182"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6</w:t>
              </w:r>
            </w:hyperlink>
          </w:p>
        </w:tc>
        <w:tc>
          <w:tcPr>
            <w:tcW w:w="16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2420" w:type="dxa"/>
            <w:vAlign w:val="bottom"/>
            <w:tcBorders>
              <w:top w:val="single" w:sz="8" w:color="0000EE"/>
            </w:tcBorders>
            <w:gridSpan w:val="5"/>
            <w:shd w:val="clear" w:color="auto" w:fill="CCEEFF"/>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INFORMATION</w:t>
              </w:r>
            </w:hyperlink>
          </w:p>
        </w:tc>
        <w:tc>
          <w:tcPr>
            <w:tcW w:w="920" w:type="dxa"/>
            <w:vAlign w:val="bottom"/>
            <w:tcBorders>
              <w:top w:val="single" w:sz="8" w:color="CCEEFF"/>
            </w:tcBorders>
            <w:gridSpan w:val="3"/>
            <w:shd w:val="clear" w:color="auto" w:fill="CCEEFF"/>
          </w:tcPr>
          <w:p>
            <w:pPr>
              <w:spacing w:after="0"/>
              <w:rPr>
                <w:sz w:val="18"/>
                <w:szCs w:val="18"/>
                <w:color w:val="auto"/>
              </w:rPr>
            </w:pPr>
          </w:p>
        </w:tc>
        <w:tc>
          <w:tcPr>
            <w:tcW w:w="340" w:type="dxa"/>
            <w:vAlign w:val="bottom"/>
            <w:tcBorders>
              <w:top w:val="single" w:sz="8" w:color="CCEEFF"/>
            </w:tcBorders>
            <w:gridSpan w:val="3"/>
            <w:shd w:val="clear" w:color="auto" w:fill="CCEEFF"/>
          </w:tcPr>
          <w:p>
            <w:pPr>
              <w:jc w:val="right"/>
              <w:ind w:right="20"/>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14</w:t>
              </w:r>
            </w:hyperlink>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60" w:type="dxa"/>
            <w:vAlign w:val="bottom"/>
            <w:gridSpan w:val="9"/>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SECURITIES WE MAY OFFER</w:t>
              </w:r>
            </w:hyperlink>
          </w:p>
        </w:tc>
        <w:tc>
          <w:tcPr>
            <w:tcW w:w="280" w:type="dxa"/>
            <w:vAlign w:val="bottom"/>
            <w:gridSpan w:val="3"/>
          </w:tcPr>
          <w:p>
            <w:pPr>
              <w:jc w:val="center"/>
              <w:ind w:left="115"/>
              <w:spacing w:after="0" w:line="182"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7</w:t>
              </w:r>
            </w:hyperlink>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INCORPORATION OF CERTAIN</w:t>
              </w:r>
            </w:hyperlink>
          </w:p>
        </w:tc>
        <w:tc>
          <w:tcPr>
            <w:tcW w:w="92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80" w:type="dxa"/>
            <w:vAlign w:val="bottom"/>
            <w:tcBorders>
              <w:top w:val="single" w:sz="8" w:color="0000EE"/>
            </w:tcBorders>
          </w:tcPr>
          <w:p>
            <w:pPr>
              <w:spacing w:after="0"/>
              <w:rPr>
                <w:sz w:val="15"/>
                <w:szCs w:val="15"/>
                <w:color w:val="auto"/>
              </w:rPr>
            </w:pPr>
          </w:p>
        </w:tc>
        <w:tc>
          <w:tcPr>
            <w:tcW w:w="11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40" w:type="dxa"/>
            <w:vAlign w:val="bottom"/>
            <w:gridSpan w:val="8"/>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INFORMATION BY REFERENCE</w:t>
              </w:r>
            </w:hyperlink>
          </w:p>
        </w:tc>
        <w:tc>
          <w:tcPr>
            <w:tcW w:w="340" w:type="dxa"/>
            <w:vAlign w:val="bottom"/>
            <w:gridSpan w:val="3"/>
          </w:tcPr>
          <w:p>
            <w:pPr>
              <w:jc w:val="right"/>
              <w:ind w:right="2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14</w:t>
              </w:r>
            </w:hyperlink>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-1233805</wp:posOffset>
            </wp:positionV>
            <wp:extent cx="4920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ABOUT THIS PROSPECTUS SUPPLEMENT</w:t>
      </w:r>
    </w:p>
    <w:p>
      <w:pPr>
        <w:spacing w:after="0" w:line="148" w:lineRule="exact"/>
        <w:rPr>
          <w:sz w:val="20"/>
          <w:szCs w:val="20"/>
          <w:color w:val="auto"/>
        </w:rPr>
      </w:pPr>
    </w:p>
    <w:p>
      <w:pPr>
        <w:jc w:val="both"/>
        <w:ind w:left="1260" w:right="419"/>
        <w:spacing w:after="0" w:line="254"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this offering and also adds to and updates information contained in the accompanying prospectus and the documents incorporated by reference into this prospectus supplement and the accompanying prospectus. The second part, the accompanying prospectus, gives more general information, some of which may not apply to this offering. You should read this prospectus supplement and the accompanying prospectus, including the information incorporated by reference herein and therein and any free writing prospectus we have authorized for use in connection with this offering, in their entirety before making an investment decision.</w:t>
      </w:r>
    </w:p>
    <w:p>
      <w:pPr>
        <w:spacing w:after="0" w:line="124" w:lineRule="exact"/>
        <w:rPr>
          <w:sz w:val="20"/>
          <w:szCs w:val="20"/>
          <w:color w:val="auto"/>
        </w:rPr>
      </w:pPr>
    </w:p>
    <w:p>
      <w:pPr>
        <w:jc w:val="both"/>
        <w:ind w:left="1260" w:right="419"/>
        <w:spacing w:after="0" w:line="254" w:lineRule="auto"/>
        <w:rPr>
          <w:sz w:val="20"/>
          <w:szCs w:val="20"/>
          <w:color w:val="auto"/>
        </w:rPr>
      </w:pPr>
      <w:r>
        <w:rPr>
          <w:rFonts w:ascii="Arial" w:cs="Arial" w:eastAsia="Arial" w:hAnsi="Arial"/>
          <w:sz w:val="18"/>
          <w:szCs w:val="18"/>
          <w:color w:val="auto"/>
        </w:rPr>
        <w:t>If anyone provides you with different or inconsistent information, you should not rely on it. You should assume that the information in this prospectus supplement, the accompanying prospectus, any document incorporated by reference herein or therein and any free writing prospectus we have authorized for use in connection with this offering are accurate or complete only as of their respective dates, regardless of the time of delivery of this prospectus supplement, the accompanying prospectus and any authorized free writing prospectus. Our business, financial condition, results of operations and prospects may have changed since those dates.</w:t>
      </w:r>
    </w:p>
    <w:p>
      <w:pPr>
        <w:spacing w:after="0" w:line="127" w:lineRule="exact"/>
        <w:rPr>
          <w:sz w:val="20"/>
          <w:szCs w:val="20"/>
          <w:color w:val="auto"/>
        </w:rPr>
      </w:pPr>
    </w:p>
    <w:p>
      <w:pPr>
        <w:jc w:val="both"/>
        <w:ind w:left="1260" w:right="419"/>
        <w:spacing w:after="0" w:line="269" w:lineRule="auto"/>
        <w:rPr>
          <w:sz w:val="20"/>
          <w:szCs w:val="20"/>
          <w:color w:val="auto"/>
        </w:rPr>
      </w:pPr>
      <w:r>
        <w:rPr>
          <w:rFonts w:ascii="Arial" w:cs="Arial" w:eastAsia="Arial" w:hAnsi="Arial"/>
          <w:sz w:val="17"/>
          <w:szCs w:val="17"/>
          <w:color w:val="auto"/>
        </w:rPr>
        <w:t>In this prospectus supplement, as permitted by law, we “incorporate by reference” information from other documents that we file with the Securities and Exchange Commission (the “SEC”). This means that we can disclose important information to you by referring you to those documents.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the SEC, the information included or incorporated by reference in this prospectus supplement is considered to be automatically updated and superseded. In other words, in case of a conflict or inconsistency between information contained in this prospectus supplement and information in the accompanying prospectus or incorporated by reference into this prospectus supplement, you should rely on the information contained in the document that was filed later. See “Incorporation of Certain Documents by Reference” in this prospectus supplement.</w:t>
      </w:r>
    </w:p>
    <w:p>
      <w:pPr>
        <w:spacing w:after="0" w:line="101"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We are not, and the underwriters are not, making an offer to sell the securities in any jurisdiction where the offer or sale is not permitted or in which the person making such offer or solicitation is not qualified to do so or to any person to whom it is unlawful to make such offer or solicitation.</w:t>
      </w:r>
    </w:p>
    <w:p>
      <w:pPr>
        <w:spacing w:after="0" w:line="116"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You should not consider any information included or incorporated by reference in this prospectus supplement or the accompanying prospectus to be investment, legal or tax advice. You should consult your own counsel, accountants and other advisers for legal, tax, business, financial and related advice regarding the purchase of the shares of Class A common stock offered by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48" w:lineRule="exact"/>
        <w:rPr>
          <w:sz w:val="20"/>
          <w:szCs w:val="20"/>
          <w:color w:val="auto"/>
        </w:rPr>
      </w:pPr>
    </w:p>
    <w:p>
      <w:pPr>
        <w:jc w:val="both"/>
        <w:ind w:left="1260" w:right="419"/>
        <w:spacing w:after="0" w:line="237"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may contain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prospectus supplement include, but are not limited to, statements about:</w:t>
      </w:r>
    </w:p>
    <w:p>
      <w:pPr>
        <w:spacing w:after="0" w:line="87" w:lineRule="exact"/>
        <w:rPr>
          <w:sz w:val="20"/>
          <w:szCs w:val="20"/>
          <w:color w:val="auto"/>
        </w:rPr>
      </w:pPr>
    </w:p>
    <w:p>
      <w:pPr>
        <w:ind w:left="1800" w:right="4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and financial performance, ability to generate positive cash flow and ability to achieve and sustain profitability;</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anticipate and satisfy customer demands, including through the introduction of new features, products or services and the provision of professional services;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expand our sales and marketing organization and to scale our business, including entering into new markets and managing our international expansion;</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COVID-19 pandemic and any associated economic downturn on our future operating and financial performance;</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 and the impact of securities analysts’ reports on these prices;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to build and maintain credibility with the developer community;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customers to use our products;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protect, enforce and enhance our intellectual property;</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growth and expansion of the market for database products and our ability to penetrate such market;</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the security of our software and adequately address privacy concerns;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accurately forecast our sales cycle and make changes to our pricing model;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form new and expand existing strategic partnerships;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attraction and retention of highly skilled and key personnel;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enhance our brand;</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manage our growth and future expenses and maintain our corporate culture;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comply with modified or new laws and regulations applying to our business;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anticipated use of the net proceeds of this offering.</w:t>
      </w:r>
    </w:p>
    <w:p>
      <w:pPr>
        <w:spacing w:after="0" w:line="158"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 supplement.</w:t>
      </w:r>
    </w:p>
    <w:p>
      <w:pPr>
        <w:spacing w:after="0" w:line="103" w:lineRule="exact"/>
        <w:rPr>
          <w:sz w:val="20"/>
          <w:szCs w:val="20"/>
          <w:color w:val="auto"/>
        </w:rPr>
      </w:pPr>
    </w:p>
    <w:p>
      <w:pPr>
        <w:jc w:val="both"/>
        <w:ind w:left="1260" w:right="419"/>
        <w:spacing w:after="0" w:line="238"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prospectus supplement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prospectus supplement, the accompanying prospectus and the documents incorporated by reference herein and therein. Moreover, we operate in a very competitive and rapidly changing environment. New risks and uncertainties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emerge from time to time and it is not possible for us to predict all risks and uncertainties that could have an impact on the forward-looking statements contained in this prospectus supplement.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07"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The forward-looking statements made in this prospectus supplement, the accompanying prospectus and the documents incorporated by reference herein and therein relate only to events as of the date on which the statements are made. We undertake no obligation to update any forward-looking statements made in this prospectus supplement to reflect events or circumstances after the date of this prospectus supplement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61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jc w:val="both"/>
        <w:ind w:left="1280" w:right="399"/>
        <w:spacing w:after="0" w:line="268" w:lineRule="auto"/>
        <w:rPr>
          <w:sz w:val="20"/>
          <w:szCs w:val="20"/>
          <w:color w:val="auto"/>
        </w:rPr>
      </w:pPr>
      <w:r>
        <w:rPr>
          <w:rFonts w:ascii="Arial" w:cs="Arial" w:eastAsia="Arial" w:hAnsi="Arial"/>
          <w:sz w:val="17"/>
          <w:szCs w:val="17"/>
          <w:i w:val="1"/>
          <w:iCs w:val="1"/>
          <w:color w:val="auto"/>
        </w:rPr>
        <w:t>This summary highlights information contained elsewhere in this prospectus supplement, the accompanying prospectus and the documents incorporated by reference herein and therein. This summary sets forth the material terms of this offering, but does not contain all of the information you should consider before investing in our Class A common stock. You should read carefully this entire prospectus supplement and the accompanying prospectus, including the documents incorporated by reference in this prospectus supplement and the accompanying prospectus, and any free writing prospectus we authorize for use in connection with this offering, before making an investment decision to purchase our Class A common stock, especially the risks of investing in our Class A common stock discussed in “Risk Factors” in this prospectus supplement, as well as the consolidated financial statements and notes to those consolidated financial statements incorporated by reference into this prospectus supplement and the accompanying prospectus. This prospectus supplement may add to, update or change information in the accompanying prospectus. Unless the context otherwise requires, the terms “MongoDB,” “the Company,” “we,” “us” and “our” in this prospectus refer to MongoDB, Inc., its divisions and its subsidiaries.</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ind w:left="1280" w:right="399"/>
        <w:spacing w:after="0" w:line="252" w:lineRule="auto"/>
        <w:rPr>
          <w:sz w:val="20"/>
          <w:szCs w:val="20"/>
          <w:color w:val="auto"/>
        </w:rPr>
      </w:pPr>
      <w:r>
        <w:rPr>
          <w:rFonts w:ascii="Arial" w:cs="Arial" w:eastAsia="Arial" w:hAnsi="Arial"/>
          <w:sz w:val="18"/>
          <w:szCs w:val="18"/>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Through our unique document-based architecture, we are able to address the needs of organizations for performance, scalability, flexibility and reliability while maintaining the strengths of legacy databases. Software applications are redefining how organizations across industries engage with their customers, operate their businesses and compete with each other. A database is at the heart of every software application. As a result, selecting a database is a highly strategic decision that directly affects developer productivity, application performance and organizational competitiveness. Our platform addresses the performance, scalability, flexibility and reliability demands of modern applications, while maintaining the strengths of legacy databases. Our business model combines the developer mindshare and adoption benefits of open source with the economic benefits of a proprietary software subscription business model. MongoDB is headquartered in New York City.</w:t>
      </w:r>
    </w:p>
    <w:p>
      <w:pPr>
        <w:spacing w:after="0" w:line="64" w:lineRule="exact"/>
        <w:rPr>
          <w:sz w:val="20"/>
          <w:szCs w:val="20"/>
          <w:color w:val="auto"/>
        </w:rPr>
      </w:pPr>
    </w:p>
    <w:p>
      <w:pPr>
        <w:jc w:val="both"/>
        <w:ind w:left="1280" w:right="399"/>
        <w:spacing w:after="0" w:line="273" w:lineRule="auto"/>
        <w:rPr>
          <w:sz w:val="20"/>
          <w:szCs w:val="20"/>
          <w:color w:val="auto"/>
        </w:rPr>
      </w:pPr>
      <w:r>
        <w:rPr>
          <w:rFonts w:ascii="Arial" w:cs="Arial" w:eastAsia="Arial" w:hAnsi="Arial"/>
          <w:sz w:val="17"/>
          <w:szCs w:val="17"/>
          <w:color w:val="auto"/>
        </w:rPr>
        <w:t>We generate revenue primarily from sales of subscriptions. MongoDB Atlas is our hosted multi-cloud database-as-a-service (“DBaaS”) offering that includes comprehensive infrastructure and management, which we run and manage in the cloud. We have experienced strong growth in self-serve customers of MongoDB Atlas. These customers are charged monthly in arrears based on their usage. In addition, we have also seen growth in MongoDB Atlas customers sold by our sales force. These customers typically sign annual contracts and pay in advance or are invoiced monthly in arrears based on usage.</w:t>
      </w:r>
    </w:p>
    <w:p>
      <w:pPr>
        <w:spacing w:after="0" w:line="56" w:lineRule="exact"/>
        <w:rPr>
          <w:sz w:val="20"/>
          <w:szCs w:val="20"/>
          <w:color w:val="auto"/>
        </w:rPr>
      </w:pPr>
    </w:p>
    <w:p>
      <w:pPr>
        <w:jc w:val="both"/>
        <w:ind w:left="1280" w:right="399"/>
        <w:spacing w:after="0" w:line="259" w:lineRule="auto"/>
        <w:rPr>
          <w:sz w:val="20"/>
          <w:szCs w:val="20"/>
          <w:color w:val="auto"/>
        </w:rPr>
      </w:pPr>
      <w:r>
        <w:rPr>
          <w:rFonts w:ascii="Arial" w:cs="Arial" w:eastAsia="Arial" w:hAnsi="Arial"/>
          <w:sz w:val="18"/>
          <w:szCs w:val="18"/>
          <w:color w:val="auto"/>
        </w:rPr>
        <w:t>MongoDB Enterprise Advanced is our proprietary commercial database server offering for enterprise customers that can run in the cloud, on-premise or in a hybrid environment, and includes our proprietary commercial database server, enterprise management capabilities, our graphical user interface, analytics integrations, technical support and a commercial license to our platform.</w:t>
      </w:r>
    </w:p>
    <w:p>
      <w:pPr>
        <w:spacing w:after="0" w:line="65" w:lineRule="exact"/>
        <w:rPr>
          <w:sz w:val="20"/>
          <w:szCs w:val="20"/>
          <w:color w:val="auto"/>
        </w:rPr>
      </w:pPr>
    </w:p>
    <w:p>
      <w:pPr>
        <w:jc w:val="both"/>
        <w:ind w:left="1280" w:right="399"/>
        <w:spacing w:after="0" w:line="286" w:lineRule="auto"/>
        <w:rPr>
          <w:sz w:val="20"/>
          <w:szCs w:val="20"/>
          <w:color w:val="auto"/>
        </w:rPr>
      </w:pPr>
      <w:r>
        <w:rPr>
          <w:rFonts w:ascii="Arial" w:cs="Arial" w:eastAsia="Arial" w:hAnsi="Arial"/>
          <w:sz w:val="17"/>
          <w:szCs w:val="17"/>
          <w:color w:val="auto"/>
        </w:rPr>
        <w:t>We sell subscriptions directly through our field and inside sales teams, as well as indirectly through channel partners. The majority of our subscription contracts are one year in duration and are invoiced upfront. When we enter into multi-year subscriptions, we typically invoice the customer on an annual basis.</w:t>
      </w:r>
    </w:p>
    <w:p>
      <w:pPr>
        <w:spacing w:after="0" w:line="30" w:lineRule="exact"/>
        <w:rPr>
          <w:sz w:val="20"/>
          <w:szCs w:val="20"/>
          <w:color w:val="auto"/>
        </w:rPr>
      </w:pPr>
    </w:p>
    <w:p>
      <w:pPr>
        <w:jc w:val="both"/>
        <w:ind w:left="1280" w:right="399"/>
        <w:spacing w:after="0" w:line="263" w:lineRule="auto"/>
        <w:rPr>
          <w:sz w:val="20"/>
          <w:szCs w:val="20"/>
          <w:color w:val="auto"/>
        </w:rPr>
      </w:pPr>
      <w:r>
        <w:rPr>
          <w:rFonts w:ascii="Arial" w:cs="Arial" w:eastAsia="Arial" w:hAnsi="Arial"/>
          <w:sz w:val="18"/>
          <w:szCs w:val="18"/>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w:t>
      </w:r>
    </w:p>
    <w:p>
      <w:pPr>
        <w:spacing w:after="0" w:line="62" w:lineRule="exact"/>
        <w:rPr>
          <w:sz w:val="20"/>
          <w:szCs w:val="20"/>
          <w:color w:val="auto"/>
        </w:rPr>
      </w:pPr>
    </w:p>
    <w:p>
      <w:pPr>
        <w:jc w:val="both"/>
        <w:ind w:left="1280" w:right="399"/>
        <w:spacing w:after="0" w:line="254" w:lineRule="auto"/>
        <w:rPr>
          <w:sz w:val="20"/>
          <w:szCs w:val="20"/>
          <w:color w:val="auto"/>
        </w:rPr>
      </w:pPr>
      <w:r>
        <w:rPr>
          <w:rFonts w:ascii="Arial" w:cs="Arial" w:eastAsia="Arial" w:hAnsi="Arial"/>
          <w:sz w:val="18"/>
          <w:szCs w:val="18"/>
          <w:color w:val="auto"/>
        </w:rPr>
        <w:t>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281305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280" w:right="399"/>
        <w:spacing w:after="0" w:line="243" w:lineRule="auto"/>
        <w:rPr>
          <w:sz w:val="20"/>
          <w:szCs w:val="20"/>
          <w:color w:val="auto"/>
        </w:rPr>
      </w:pPr>
      <w:r>
        <w:rPr>
          <w:rFonts w:ascii="Arial" w:cs="Arial" w:eastAsia="Arial" w:hAnsi="Arial"/>
          <w:sz w:val="18"/>
          <w:szCs w:val="18"/>
          <w:color w:val="auto"/>
        </w:rPr>
        <w:t>We also generate revenue from services, which consist primarily of fees associated with consulting and training services. We expect to continue to invest in our services organization as we believe it plays an important role in accelerating our customers’ realization of the benefits of our platform, which helps drive customer retention and expansion.</w:t>
      </w:r>
    </w:p>
    <w:p>
      <w:pPr>
        <w:spacing w:after="0" w:line="53" w:lineRule="exact"/>
        <w:rPr>
          <w:sz w:val="20"/>
          <w:szCs w:val="20"/>
          <w:color w:val="auto"/>
        </w:rPr>
      </w:pPr>
    </w:p>
    <w:p>
      <w:pPr>
        <w:jc w:val="both"/>
        <w:ind w:left="1280" w:right="399"/>
        <w:spacing w:after="0" w:line="239" w:lineRule="auto"/>
        <w:rPr>
          <w:sz w:val="20"/>
          <w:szCs w:val="20"/>
          <w:color w:val="auto"/>
        </w:rPr>
      </w:pPr>
      <w:r>
        <w:rPr>
          <w:rFonts w:ascii="Arial" w:cs="Arial" w:eastAsia="Arial" w:hAnsi="Arial"/>
          <w:sz w:val="18"/>
          <w:szCs w:val="18"/>
          <w:color w:val="auto"/>
        </w:rPr>
        <w:t>We believe the market for our offerings is large and growing. According to IDC, the worldwide database software market, which it refers to as the data management software market, is forecast to be $73 billion in 2021 growing to approximately $119 billion in 2025, representing a 13% compound annual growth rate. We have experienced rapid growth and have made substantial investments in developing our platform and expanding our sales and marketing footprint. We intend to continue to invest heavily to grow our business to take advantage of our market opportunity rather than optimizing for profitability or cash flow in the near term.</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Impact of the COVID-19 Pandemic</w:t>
      </w:r>
    </w:p>
    <w:p>
      <w:pPr>
        <w:spacing w:after="0" w:line="108" w:lineRule="exact"/>
        <w:rPr>
          <w:sz w:val="20"/>
          <w:szCs w:val="20"/>
          <w:color w:val="auto"/>
        </w:rPr>
      </w:pPr>
    </w:p>
    <w:p>
      <w:pPr>
        <w:jc w:val="both"/>
        <w:ind w:left="1280" w:right="399"/>
        <w:spacing w:after="0" w:line="252" w:lineRule="auto"/>
        <w:rPr>
          <w:sz w:val="20"/>
          <w:szCs w:val="20"/>
          <w:color w:val="auto"/>
        </w:rPr>
      </w:pPr>
      <w:r>
        <w:rPr>
          <w:rFonts w:ascii="Arial" w:cs="Arial" w:eastAsia="Arial" w:hAnsi="Arial"/>
          <w:sz w:val="17"/>
          <w:szCs w:val="17"/>
          <w:color w:val="auto"/>
        </w:rPr>
        <w:t>The ongoing COVID- 19 pandemic has continued to impact the United States and the world. As a result, authorities have from time to time implemented numerous measures to contain the virus, including travel bans and restrictions, quarantines, shelter-in-place orders, and business limitations and shutdowns. Although many jurisdictions have relaxed such restrictions, in some cases these restrictions have been or may in the future be re-instituted, and other jurisdictions are imposing restrictions for the first time. As the COVID-19 pandemic continues, it is highly uncertain to what extent and when restrictions will be lifted in various jurisdictions. The full extent of the impact of the ongoing COVID-19 pandemic on our future operational and financial performance will depend on certain developments, including the duration and spread of the outbreak and the impact of new variants of the virus that causes COVID- 19; the public health measures taken by authorities and other entities to contain and treat COVID-19; the actions taken to effect a widespread, global roll- out of the available vaccines; and the impact of the COVID-19 pandemic on the global economy and on our current and prospective customers, employees, vendors and other parties with whom we do business, all of which are uncertain and cannot be predicted.</w:t>
      </w:r>
    </w:p>
    <w:p>
      <w:pPr>
        <w:spacing w:after="0" w:line="59" w:lineRule="exact"/>
        <w:rPr>
          <w:sz w:val="20"/>
          <w:szCs w:val="20"/>
          <w:color w:val="auto"/>
        </w:rPr>
      </w:pPr>
    </w:p>
    <w:p>
      <w:pPr>
        <w:jc w:val="both"/>
        <w:ind w:left="1280" w:right="399"/>
        <w:spacing w:after="0" w:line="241" w:lineRule="auto"/>
        <w:rPr>
          <w:sz w:val="20"/>
          <w:szCs w:val="20"/>
          <w:color w:val="auto"/>
        </w:rPr>
      </w:pPr>
      <w:r>
        <w:rPr>
          <w:rFonts w:ascii="Arial" w:cs="Arial" w:eastAsia="Arial" w:hAnsi="Arial"/>
          <w:sz w:val="18"/>
          <w:szCs w:val="18"/>
          <w:color w:val="auto"/>
        </w:rPr>
        <w:t>We adopted several measures in response to the COVID-19 pandemic, including temporarily requiring employees to work remotely, suspending non-essential travel by our employees, and replacing in-person marketing events (including our annual developer conference) with virtual events. We have informed our employees that they may continue to elect to work remotely until September 1, 2021, even if their office reopens.</w:t>
      </w:r>
    </w:p>
    <w:p>
      <w:pPr>
        <w:spacing w:after="0" w:line="54" w:lineRule="exact"/>
        <w:rPr>
          <w:sz w:val="20"/>
          <w:szCs w:val="20"/>
          <w:color w:val="auto"/>
        </w:rPr>
      </w:pPr>
    </w:p>
    <w:p>
      <w:pPr>
        <w:jc w:val="both"/>
        <w:ind w:left="1280" w:right="399"/>
        <w:spacing w:after="0" w:line="243" w:lineRule="auto"/>
        <w:rPr>
          <w:sz w:val="20"/>
          <w:szCs w:val="20"/>
          <w:color w:val="auto"/>
        </w:rPr>
      </w:pPr>
      <w:r>
        <w:rPr>
          <w:rFonts w:ascii="Arial" w:cs="Arial" w:eastAsia="Arial" w:hAnsi="Arial"/>
          <w:sz w:val="18"/>
          <w:szCs w:val="18"/>
          <w:color w:val="auto"/>
        </w:rPr>
        <w:t>While the broader implications of the ongoing COVID-19 pandemic on our results of operations and overall financial performance remain uncertain, we currently expect our revenue to continue to be negatively impacted by the slowdown in activity and other challenges associated with the COVID-19 pandemic and global uncertainty in the near term.</w:t>
      </w:r>
    </w:p>
    <w:p>
      <w:pPr>
        <w:spacing w:after="0" w:line="66" w:lineRule="exact"/>
        <w:rPr>
          <w:sz w:val="20"/>
          <w:szCs w:val="20"/>
          <w:color w:val="auto"/>
        </w:rPr>
      </w:pPr>
    </w:p>
    <w:p>
      <w:pPr>
        <w:jc w:val="both"/>
        <w:ind w:left="1280" w:right="399"/>
        <w:spacing w:after="0"/>
        <w:rPr>
          <w:sz w:val="20"/>
          <w:szCs w:val="20"/>
          <w:color w:val="auto"/>
        </w:rPr>
      </w:pPr>
      <w:r>
        <w:rPr>
          <w:rFonts w:ascii="Arial" w:cs="Arial" w:eastAsia="Arial" w:hAnsi="Arial"/>
          <w:sz w:val="18"/>
          <w:szCs w:val="18"/>
          <w:color w:val="auto"/>
        </w:rPr>
        <w:t>We will continue to evaluate the nature and extent of the impact of COVID-19 on our business. For further discussion of the potential impacts of the ongoing COVID-19 pandemic on our business, operating results, and financial condition, see the section titled “Risk Factors” included in Part II, Item 1A of our Quarterly Report on Form 10-Q for the quarter ended April 30, 2021. Other factors affecting our performance are included in the Summary Risk Factors below, although we caution you that the ongoing COVID-19 pandemic may also further impact these factors.</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Summary Risk Factors</w:t>
      </w:r>
    </w:p>
    <w:p>
      <w:pPr>
        <w:spacing w:after="0" w:line="162" w:lineRule="exact"/>
        <w:rPr>
          <w:sz w:val="20"/>
          <w:szCs w:val="20"/>
          <w:color w:val="auto"/>
        </w:rPr>
      </w:pPr>
    </w:p>
    <w:p>
      <w:pPr>
        <w:jc w:val="both"/>
        <w:ind w:left="1280" w:right="399"/>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Below is a summary of the material factors that make an investment in our Class A common stock speculative or risky. Importantly, this summary does not address all of the risks that we face. Our business involves significant risks that may have a material adverse effect on our business, financial condition, results of operations, prospects and stock price. These risks are more fully described under “Risk Factors” beginning on page </w:t>
      </w:r>
      <w:hyperlink w:anchor="page10">
        <w:r>
          <w:rPr>
            <w:rFonts w:ascii="Arial" w:cs="Arial" w:eastAsia="Arial" w:hAnsi="Arial"/>
            <w:sz w:val="18"/>
            <w:szCs w:val="18"/>
            <w:u w:val="single" w:color="auto"/>
            <w:color w:val="0000EE"/>
          </w:rPr>
          <w:t>S-6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 supplement and include, among others:</w:t>
      </w:r>
    </w:p>
    <w:p>
      <w:pPr>
        <w:spacing w:after="0" w:line="80" w:lineRule="exact"/>
        <w:rPr>
          <w:sz w:val="20"/>
          <w:szCs w:val="20"/>
          <w:color w:val="auto"/>
        </w:rPr>
      </w:pPr>
    </w:p>
    <w:p>
      <w:pPr>
        <w:ind w:left="1820" w:right="399" w:hanging="182"/>
        <w:spacing w:after="0" w:line="308" w:lineRule="auto"/>
        <w:tabs>
          <w:tab w:leader="none" w:pos="1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ongoing COVID-19 pandemic, related economic downturn and measures taken in response to the pandemic could negatively impact our business, financial condition and results of operations.</w:t>
      </w:r>
    </w:p>
    <w:p>
      <w:pPr>
        <w:spacing w:after="0" w:line="38" w:lineRule="exact"/>
        <w:rPr>
          <w:rFonts w:ascii="Arial" w:cs="Arial" w:eastAsia="Arial" w:hAnsi="Arial"/>
          <w:sz w:val="17"/>
          <w:szCs w:val="17"/>
          <w:color w:val="auto"/>
        </w:rPr>
      </w:pPr>
    </w:p>
    <w:p>
      <w:pPr>
        <w:jc w:val="both"/>
        <w:ind w:left="1820" w:right="399" w:hanging="182"/>
        <w:spacing w:after="0" w:line="263"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conditions in our industry or the global economy or reductions in information technology spending could limit our ability to grow our business and negatively affect our results of operations.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3534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6245" cy="835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399" w:hanging="182"/>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meet our publicly announced guidance or other expectations about our business and future operating results, which would cause our stock price to decline.</w:t>
      </w:r>
    </w:p>
    <w:p>
      <w:pPr>
        <w:spacing w:after="0" w:line="62" w:lineRule="exact"/>
        <w:rPr>
          <w:rFonts w:ascii="Arial" w:cs="Arial" w:eastAsia="Arial" w:hAnsi="Arial"/>
          <w:sz w:val="18"/>
          <w:szCs w:val="18"/>
          <w:color w:val="auto"/>
        </w:rPr>
      </w:pPr>
    </w:p>
    <w:p>
      <w:pPr>
        <w:ind w:left="1820" w:right="399" w:hanging="182"/>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predict our future results of operations.</w:t>
      </w:r>
    </w:p>
    <w:p>
      <w:pPr>
        <w:spacing w:after="0" w:line="62" w:lineRule="exact"/>
        <w:rPr>
          <w:rFonts w:ascii="Arial" w:cs="Arial" w:eastAsia="Arial" w:hAnsi="Arial"/>
          <w:sz w:val="18"/>
          <w:szCs w:val="18"/>
          <w:color w:val="auto"/>
        </w:rPr>
      </w:pPr>
    </w:p>
    <w:p>
      <w:pPr>
        <w:ind w:left="1820" w:right="399" w:hanging="182"/>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and as our costs increase, we may not be able to generate sufficient revenue to achieve or sustain profitability.</w:t>
      </w:r>
    </w:p>
    <w:p>
      <w:pPr>
        <w:spacing w:after="0" w:line="62" w:lineRule="exact"/>
        <w:rPr>
          <w:rFonts w:ascii="Arial" w:cs="Arial" w:eastAsia="Arial" w:hAnsi="Arial"/>
          <w:sz w:val="18"/>
          <w:szCs w:val="18"/>
          <w:color w:val="auto"/>
        </w:rPr>
      </w:pPr>
    </w:p>
    <w:p>
      <w:pPr>
        <w:jc w:val="both"/>
        <w:ind w:left="1820" w:right="399" w:hanging="182"/>
        <w:spacing w:after="0" w:line="263"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75" w:lineRule="exact"/>
        <w:rPr>
          <w:rFonts w:ascii="Arial" w:cs="Arial" w:eastAsia="Arial" w:hAnsi="Arial"/>
          <w:sz w:val="18"/>
          <w:szCs w:val="18"/>
          <w:color w:val="auto"/>
        </w:rPr>
      </w:pPr>
    </w:p>
    <w:p>
      <w:pPr>
        <w:ind w:left="1820" w:hanging="182"/>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face significant competition and expect that intense competition will continue.</w:t>
      </w:r>
    </w:p>
    <w:p>
      <w:pPr>
        <w:spacing w:after="0" w:line="117" w:lineRule="exact"/>
        <w:rPr>
          <w:rFonts w:ascii="Arial" w:cs="Arial" w:eastAsia="Arial" w:hAnsi="Arial"/>
          <w:sz w:val="18"/>
          <w:szCs w:val="18"/>
          <w:color w:val="auto"/>
        </w:rPr>
      </w:pPr>
    </w:p>
    <w:p>
      <w:pPr>
        <w:ind w:left="1820" w:right="399" w:hanging="182"/>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do not effectively expand our sales and marketing organization, we may be unable to add new customers or increase sales to our existing customers.</w:t>
      </w:r>
    </w:p>
    <w:p>
      <w:pPr>
        <w:spacing w:after="0" w:line="62" w:lineRule="exact"/>
        <w:rPr>
          <w:rFonts w:ascii="Arial" w:cs="Arial" w:eastAsia="Arial" w:hAnsi="Arial"/>
          <w:sz w:val="18"/>
          <w:szCs w:val="18"/>
          <w:color w:val="auto"/>
        </w:rPr>
      </w:pPr>
    </w:p>
    <w:p>
      <w:pPr>
        <w:ind w:left="1820" w:right="399" w:hanging="182"/>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decision to offer Community Server under a new license, the Server Side Public License (“SSPL”), may harm adoption of Community Server.</w:t>
      </w:r>
    </w:p>
    <w:p>
      <w:pPr>
        <w:spacing w:after="0" w:line="62" w:lineRule="exact"/>
        <w:rPr>
          <w:rFonts w:ascii="Arial" w:cs="Arial" w:eastAsia="Arial" w:hAnsi="Arial"/>
          <w:sz w:val="18"/>
          <w:szCs w:val="18"/>
          <w:color w:val="auto"/>
        </w:rPr>
      </w:pPr>
    </w:p>
    <w:p>
      <w:pPr>
        <w:ind w:left="1820" w:right="419" w:hanging="182"/>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invested significantly in our MongoDB Atlas offering, and if it fails to achieve market adoption, our business, results of operations and financial condition could be harmed.</w:t>
      </w:r>
    </w:p>
    <w:p>
      <w:pPr>
        <w:spacing w:after="0" w:line="62" w:lineRule="exact"/>
        <w:rPr>
          <w:rFonts w:ascii="Arial" w:cs="Arial" w:eastAsia="Arial" w:hAnsi="Arial"/>
          <w:sz w:val="18"/>
          <w:szCs w:val="18"/>
          <w:color w:val="auto"/>
        </w:rPr>
      </w:pPr>
    </w:p>
    <w:p>
      <w:pPr>
        <w:ind w:left="1820" w:right="399" w:hanging="182"/>
        <w:spacing w:after="0" w:line="308" w:lineRule="auto"/>
        <w:tabs>
          <w:tab w:leader="none" w:pos="1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could be negatively impacted if the GNU Affero General Public License Version 3, the SSPL and other open source licenses under which some of our software is licensed are not enforceable.</w:t>
      </w:r>
    </w:p>
    <w:p>
      <w:pPr>
        <w:spacing w:after="0" w:line="38" w:lineRule="exact"/>
        <w:rPr>
          <w:rFonts w:ascii="Arial" w:cs="Arial" w:eastAsia="Arial" w:hAnsi="Arial"/>
          <w:sz w:val="17"/>
          <w:szCs w:val="17"/>
          <w:color w:val="auto"/>
        </w:rPr>
      </w:pPr>
    </w:p>
    <w:p>
      <w:pPr>
        <w:ind w:left="1820" w:right="399" w:hanging="182"/>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licensing model for Community Server could negatively affect our ability to monetize and protect our intellectual property rights.</w:t>
      </w:r>
    </w:p>
    <w:p>
      <w:pPr>
        <w:spacing w:after="0" w:line="62" w:lineRule="exact"/>
        <w:rPr>
          <w:rFonts w:ascii="Arial" w:cs="Arial" w:eastAsia="Arial" w:hAnsi="Arial"/>
          <w:sz w:val="18"/>
          <w:szCs w:val="18"/>
          <w:color w:val="auto"/>
        </w:rPr>
      </w:pPr>
    </w:p>
    <w:p>
      <w:pPr>
        <w:ind w:left="1820" w:right="399" w:hanging="182"/>
        <w:spacing w:after="0" w:line="308" w:lineRule="auto"/>
        <w:tabs>
          <w:tab w:leader="none" w:pos="1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could incur substantial costs in protecting or defending our intellectual property rights and any failure to protect our intellectual property rights could reduce the value of our software and brand.</w:t>
      </w:r>
    </w:p>
    <w:p>
      <w:pPr>
        <w:spacing w:after="0" w:line="38" w:lineRule="exact"/>
        <w:rPr>
          <w:rFonts w:ascii="Arial" w:cs="Arial" w:eastAsia="Arial" w:hAnsi="Arial"/>
          <w:sz w:val="17"/>
          <w:szCs w:val="17"/>
          <w:color w:val="auto"/>
        </w:rPr>
      </w:pPr>
    </w:p>
    <w:p>
      <w:pPr>
        <w:ind w:left="1820" w:right="399" w:hanging="182"/>
        <w:spacing w:after="0" w:line="308" w:lineRule="auto"/>
        <w:tabs>
          <w:tab w:leader="none" w:pos="1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not able to introduce new features or services successfully and to make enhancements to our software or services, our business and results of operations could be adversely affected.</w:t>
      </w:r>
    </w:p>
    <w:p>
      <w:pPr>
        <w:spacing w:after="0" w:line="38" w:lineRule="exact"/>
        <w:rPr>
          <w:rFonts w:ascii="Arial" w:cs="Arial" w:eastAsia="Arial" w:hAnsi="Arial"/>
          <w:sz w:val="17"/>
          <w:szCs w:val="17"/>
          <w:color w:val="auto"/>
        </w:rPr>
      </w:pPr>
    </w:p>
    <w:p>
      <w:pPr>
        <w:jc w:val="both"/>
        <w:ind w:left="1820" w:right="399" w:hanging="182"/>
        <w:spacing w:after="0" w:line="259"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78" w:lineRule="exact"/>
        <w:rPr>
          <w:rFonts w:ascii="Arial" w:cs="Arial" w:eastAsia="Arial" w:hAnsi="Arial"/>
          <w:sz w:val="18"/>
          <w:szCs w:val="18"/>
          <w:color w:val="auto"/>
        </w:rPr>
      </w:pPr>
    </w:p>
    <w:p>
      <w:pPr>
        <w:jc w:val="both"/>
        <w:ind w:left="1820" w:right="399" w:hanging="182"/>
        <w:spacing w:after="0" w:line="279" w:lineRule="auto"/>
        <w:tabs>
          <w:tab w:leader="none" w:pos="1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our security measures, or those of our service providers, are breached or unauthorized access to personal information or otherwise private or proprietary data is otherwise obtained, our software may be perceived as not being secure, customers may reduce or terminate their use of our software and we may face litigation, regulatory investigations, significant liability and reputational damage.</w:t>
      </w:r>
    </w:p>
    <w:p>
      <w:pPr>
        <w:spacing w:after="0" w:line="63" w:lineRule="exact"/>
        <w:rPr>
          <w:rFonts w:ascii="Arial" w:cs="Arial" w:eastAsia="Arial" w:hAnsi="Arial"/>
          <w:sz w:val="17"/>
          <w:szCs w:val="17"/>
          <w:color w:val="auto"/>
        </w:rPr>
      </w:pPr>
    </w:p>
    <w:p>
      <w:pPr>
        <w:ind w:left="1820" w:right="399" w:hanging="182"/>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not able to maintain and enhance our brand, especially among developers, our business and results of operations may be adversely affected.</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History and Information</w:t>
      </w:r>
    </w:p>
    <w:p>
      <w:pPr>
        <w:spacing w:after="0" w:line="148" w:lineRule="exact"/>
        <w:rPr>
          <w:sz w:val="20"/>
          <w:szCs w:val="20"/>
          <w:color w:val="auto"/>
        </w:rPr>
      </w:pPr>
    </w:p>
    <w:p>
      <w:pPr>
        <w:jc w:val="both"/>
        <w:ind w:left="1280" w:right="399"/>
        <w:spacing w:after="0" w:line="239" w:lineRule="auto"/>
        <w:rPr>
          <w:sz w:val="20"/>
          <w:szCs w:val="20"/>
          <w:color w:val="auto"/>
        </w:rPr>
      </w:pPr>
      <w:r>
        <w:rPr>
          <w:rFonts w:ascii="Arial" w:cs="Arial" w:eastAsia="Arial" w:hAnsi="Arial"/>
          <w:sz w:val="17"/>
          <w:szCs w:val="17"/>
          <w:color w:val="auto"/>
        </w:rPr>
        <w:t>MongoDB, Inc. was incorporated under the laws of the State of Delaware in November 2007, under the name 10Gen, Inc. We changed our name to MongoDB, Inc. on August 27, 2013. Our principal executive offices are located at 1633 Broadway, 38</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New York, New York 10019, and our telephone number is</w:t>
      </w:r>
    </w:p>
    <w:p>
      <w:pPr>
        <w:spacing w:after="0" w:line="2" w:lineRule="exact"/>
        <w:rPr>
          <w:sz w:val="20"/>
          <w:szCs w:val="20"/>
          <w:color w:val="auto"/>
        </w:rPr>
      </w:pPr>
    </w:p>
    <w:p>
      <w:pPr>
        <w:jc w:val="both"/>
        <w:ind w:left="1280" w:right="399" w:hanging="2"/>
        <w:spacing w:after="0" w:line="253" w:lineRule="auto"/>
        <w:tabs>
          <w:tab w:leader="none" w:pos="1777" w:val="left"/>
        </w:tabs>
        <w:numPr>
          <w:ilvl w:val="0"/>
          <w:numId w:val="5"/>
        </w:numPr>
        <w:rPr>
          <w:rFonts w:ascii="Arial" w:cs="Arial" w:eastAsia="Arial" w:hAnsi="Arial"/>
          <w:sz w:val="18"/>
          <w:szCs w:val="18"/>
          <w:color w:val="auto"/>
        </w:rPr>
      </w:pPr>
      <w:r>
        <w:rPr>
          <w:rFonts w:ascii="Arial" w:cs="Arial" w:eastAsia="Arial" w:hAnsi="Arial"/>
          <w:sz w:val="18"/>
          <w:szCs w:val="18"/>
          <w:color w:val="auto"/>
        </w:rPr>
        <w:t>727-4092. Our website address is www.mongodb.com. Information contained on, or that can be accessed through, our website does not constitute part of this prospectus supplement, and you should not consider any information contained on, or that can be accessed through, our website as part of this prospectus supplement or in deciding whether to purchase our Class A common stock.</w:t>
      </w:r>
    </w:p>
    <w:p>
      <w:pPr>
        <w:spacing w:after="0" w:line="124" w:lineRule="exact"/>
        <w:rPr>
          <w:sz w:val="20"/>
          <w:szCs w:val="20"/>
          <w:color w:val="auto"/>
        </w:rPr>
      </w:pPr>
    </w:p>
    <w:p>
      <w:pPr>
        <w:jc w:val="both"/>
        <w:ind w:left="1280" w:right="399"/>
        <w:spacing w:after="0" w:line="239" w:lineRule="auto"/>
        <w:rPr>
          <w:sz w:val="20"/>
          <w:szCs w:val="20"/>
          <w:color w:val="auto"/>
        </w:rPr>
      </w:pPr>
      <w:r>
        <w:rPr>
          <w:rFonts w:ascii="Arial" w:cs="Arial" w:eastAsia="Arial" w:hAnsi="Arial"/>
          <w:sz w:val="18"/>
          <w:szCs w:val="18"/>
          <w:color w:val="auto"/>
        </w:rPr>
        <w:t xml:space="preserve">“MongoDB” and the MongoDB leaf logo, and other trademarks or service marks of MongoDB, Inc. appearing in this prospectus supplement are the property of MongoDB, Inc. Other trademarks, service marks, or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 Solely for convenience, trademarks and trade names referred to in this prospectus supplement may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or ™ symbols.</w:t>
      </w:r>
    </w:p>
    <w:p>
      <w:pPr>
        <w:sectPr>
          <w:pgSz w:w="11900" w:h="16838" w:orient="portrait"/>
          <w:cols w:equalWidth="0" w:num="1">
            <w:col w:w="9879"/>
          </w:cols>
          <w:pgMar w:left="580" w:top="131" w:right="1440" w:bottom="1440" w:gutter="0" w:footer="0" w:header="0"/>
        </w:sectPr>
      </w:pPr>
    </w:p>
    <w:p>
      <w:pPr>
        <w:spacing w:after="0" w:line="396"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281305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10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jc w:val="both"/>
        <w:ind w:left="1280" w:right="399"/>
        <w:spacing w:after="0" w:line="248" w:lineRule="auto"/>
        <w:rPr>
          <w:sz w:val="20"/>
          <w:szCs w:val="20"/>
          <w:color w:val="auto"/>
        </w:rPr>
      </w:pPr>
      <w:r>
        <w:rPr>
          <w:rFonts w:ascii="Arial" w:cs="Arial" w:eastAsia="Arial" w:hAnsi="Arial"/>
          <w:sz w:val="18"/>
          <w:szCs w:val="18"/>
          <w:i w:val="1"/>
          <w:iCs w:val="1"/>
          <w:color w:val="auto"/>
        </w:rPr>
        <w:t>The following summary is provided solely for your convenience and is not intended to be complete. For a more detailed description of our Class A common stock, see “Description of Capital Stock—Class A Common Stock” in the accompanying prospectus.</w:t>
      </w:r>
    </w:p>
    <w:p>
      <w:pPr>
        <w:spacing w:after="0" w:line="74"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Issuer</w:t>
            </w:r>
          </w:p>
        </w:tc>
        <w:tc>
          <w:tcPr>
            <w:tcW w:w="1800" w:type="dxa"/>
            <w:vAlign w:val="bottom"/>
          </w:tcPr>
          <w:p>
            <w:pPr>
              <w:ind w:left="220"/>
              <w:spacing w:after="0"/>
              <w:rPr>
                <w:sz w:val="20"/>
                <w:szCs w:val="20"/>
                <w:color w:val="auto"/>
              </w:rPr>
            </w:pPr>
            <w:r>
              <w:rPr>
                <w:rFonts w:ascii="Arial" w:cs="Arial" w:eastAsia="Arial" w:hAnsi="Arial"/>
                <w:sz w:val="18"/>
                <w:szCs w:val="18"/>
                <w:color w:val="auto"/>
              </w:rPr>
              <w:t>MongoDB, Inc.</w:t>
            </w:r>
          </w:p>
        </w:tc>
        <w:tc>
          <w:tcPr>
            <w:tcW w:w="3600" w:type="dxa"/>
            <w:vAlign w:val="bottom"/>
          </w:tcPr>
          <w:p>
            <w:pPr>
              <w:spacing w:after="0"/>
              <w:rPr>
                <w:sz w:val="20"/>
                <w:szCs w:val="20"/>
                <w:color w:val="auto"/>
              </w:rPr>
            </w:pPr>
          </w:p>
        </w:tc>
      </w:tr>
      <w:tr>
        <w:trPr>
          <w:trHeight w:val="310"/>
        </w:trPr>
        <w:tc>
          <w:tcPr>
            <w:tcW w:w="2800" w:type="dxa"/>
            <w:vAlign w:val="bottom"/>
          </w:tcPr>
          <w:p>
            <w:pPr>
              <w:spacing w:after="0"/>
              <w:rPr>
                <w:sz w:val="20"/>
                <w:szCs w:val="20"/>
                <w:color w:val="auto"/>
              </w:rPr>
            </w:pPr>
            <w:r>
              <w:rPr>
                <w:rFonts w:ascii="Arial" w:cs="Arial" w:eastAsia="Arial" w:hAnsi="Arial"/>
                <w:sz w:val="18"/>
                <w:szCs w:val="18"/>
                <w:color w:val="auto"/>
              </w:rPr>
              <w:t>Class A common stock offered by</w:t>
            </w:r>
          </w:p>
        </w:tc>
        <w:tc>
          <w:tcPr>
            <w:tcW w:w="18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0"/>
        </w:trPr>
        <w:tc>
          <w:tcPr>
            <w:tcW w:w="2800" w:type="dxa"/>
            <w:vAlign w:val="bottom"/>
          </w:tcPr>
          <w:p>
            <w:pPr>
              <w:ind w:left="180"/>
              <w:spacing w:after="0"/>
              <w:rPr>
                <w:sz w:val="20"/>
                <w:szCs w:val="20"/>
                <w:color w:val="auto"/>
              </w:rPr>
            </w:pPr>
            <w:r>
              <w:rPr>
                <w:rFonts w:ascii="Arial" w:cs="Arial" w:eastAsia="Arial" w:hAnsi="Arial"/>
                <w:sz w:val="18"/>
                <w:szCs w:val="18"/>
                <w:color w:val="auto"/>
              </w:rPr>
              <w:t>us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2,300,000 shares of our Class A common stock</w:t>
            </w:r>
          </w:p>
        </w:tc>
      </w:tr>
      <w:tr>
        <w:trPr>
          <w:trHeight w:val="310"/>
        </w:trPr>
        <w:tc>
          <w:tcPr>
            <w:tcW w:w="2800" w:type="dxa"/>
            <w:vAlign w:val="bottom"/>
          </w:tcPr>
          <w:p>
            <w:pPr>
              <w:spacing w:after="0"/>
              <w:rPr>
                <w:sz w:val="20"/>
                <w:szCs w:val="20"/>
                <w:color w:val="auto"/>
              </w:rPr>
            </w:pPr>
            <w:r>
              <w:rPr>
                <w:rFonts w:ascii="Arial" w:cs="Arial" w:eastAsia="Arial" w:hAnsi="Arial"/>
                <w:sz w:val="18"/>
                <w:szCs w:val="18"/>
                <w:color w:val="auto"/>
              </w:rPr>
              <w:t>Class A common stock to be</w:t>
            </w:r>
          </w:p>
        </w:tc>
        <w:tc>
          <w:tcPr>
            <w:tcW w:w="18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outstanding after this</w:t>
            </w:r>
          </w:p>
        </w:tc>
        <w:tc>
          <w:tcPr>
            <w:tcW w:w="18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2800" w:type="dxa"/>
            <w:vAlign w:val="bottom"/>
          </w:tcPr>
          <w:p>
            <w:pPr>
              <w:ind w:left="180"/>
              <w:spacing w:after="0"/>
              <w:rPr>
                <w:sz w:val="20"/>
                <w:szCs w:val="20"/>
                <w:color w:val="auto"/>
              </w:rPr>
            </w:pPr>
            <w:r>
              <w:rPr>
                <w:rFonts w:ascii="Arial" w:cs="Arial" w:eastAsia="Arial" w:hAnsi="Arial"/>
                <w:sz w:val="18"/>
                <w:szCs w:val="18"/>
                <w:color w:val="auto"/>
              </w:rPr>
              <w:t>offering</w:t>
            </w:r>
          </w:p>
        </w:tc>
        <w:tc>
          <w:tcPr>
            <w:tcW w:w="1800" w:type="dxa"/>
            <w:vAlign w:val="bottom"/>
          </w:tcPr>
          <w:p>
            <w:pPr>
              <w:ind w:left="220"/>
              <w:spacing w:after="0"/>
              <w:rPr>
                <w:sz w:val="20"/>
                <w:szCs w:val="20"/>
                <w:color w:val="auto"/>
              </w:rPr>
            </w:pPr>
            <w:r>
              <w:rPr>
                <w:rFonts w:ascii="Arial" w:cs="Arial" w:eastAsia="Arial" w:hAnsi="Arial"/>
                <w:sz w:val="18"/>
                <w:szCs w:val="18"/>
                <w:color w:val="auto"/>
              </w:rPr>
              <w:t>64,396,273 shares</w:t>
            </w:r>
          </w:p>
        </w:tc>
        <w:tc>
          <w:tcPr>
            <w:tcW w:w="3600" w:type="dxa"/>
            <w:vAlign w:val="bottom"/>
          </w:tcPr>
          <w:p>
            <w:pPr>
              <w:spacing w:after="0"/>
              <w:rPr>
                <w:sz w:val="20"/>
                <w:szCs w:val="20"/>
                <w:color w:val="auto"/>
              </w:rPr>
            </w:pPr>
          </w:p>
        </w:tc>
      </w:tr>
      <w:tr>
        <w:trPr>
          <w:trHeight w:val="310"/>
        </w:trPr>
        <w:tc>
          <w:tcPr>
            <w:tcW w:w="2800" w:type="dxa"/>
            <w:vAlign w:val="bottom"/>
          </w:tcPr>
          <w:p>
            <w:pPr>
              <w:spacing w:after="0"/>
              <w:rPr>
                <w:sz w:val="20"/>
                <w:szCs w:val="20"/>
                <w:color w:val="auto"/>
              </w:rPr>
            </w:pPr>
            <w:r>
              <w:rPr>
                <w:rFonts w:ascii="Arial" w:cs="Arial" w:eastAsia="Arial" w:hAnsi="Arial"/>
                <w:sz w:val="18"/>
                <w:szCs w:val="18"/>
                <w:color w:val="auto"/>
              </w:rPr>
              <w:t>Use of proceeds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We  anticipate  that  the  net  proceeds  of  this  offering  will  be</w:t>
            </w:r>
          </w:p>
        </w:tc>
      </w:tr>
      <w:tr>
        <w:trPr>
          <w:trHeight w:val="230"/>
        </w:trPr>
        <w:tc>
          <w:tcPr>
            <w:tcW w:w="2800" w:type="dxa"/>
            <w:vAlign w:val="bottom"/>
          </w:tcPr>
          <w:p>
            <w:pPr>
              <w:spacing w:after="0"/>
              <w:rPr>
                <w:sz w:val="20"/>
                <w:szCs w:val="20"/>
                <w:color w:val="auto"/>
              </w:rPr>
            </w:pPr>
          </w:p>
        </w:tc>
        <w:tc>
          <w:tcPr>
            <w:tcW w:w="1800" w:type="dxa"/>
            <w:vAlign w:val="bottom"/>
          </w:tcPr>
          <w:p>
            <w:pPr>
              <w:ind w:left="220"/>
              <w:spacing w:after="0"/>
              <w:rPr>
                <w:sz w:val="20"/>
                <w:szCs w:val="20"/>
                <w:color w:val="auto"/>
              </w:rPr>
            </w:pPr>
            <w:r>
              <w:rPr>
                <w:rFonts w:ascii="Arial" w:cs="Arial" w:eastAsia="Arial" w:hAnsi="Arial"/>
                <w:sz w:val="18"/>
                <w:szCs w:val="18"/>
                <w:color w:val="auto"/>
              </w:rPr>
              <w:t>approximately $</w:t>
            </w:r>
          </w:p>
        </w:tc>
        <w:tc>
          <w:tcPr>
            <w:tcW w:w="3600" w:type="dxa"/>
            <w:vAlign w:val="bottom"/>
          </w:tcPr>
          <w:p>
            <w:pPr>
              <w:jc w:val="right"/>
              <w:ind w:right="3250"/>
              <w:spacing w:after="0"/>
              <w:rPr>
                <w:sz w:val="20"/>
                <w:szCs w:val="20"/>
                <w:color w:val="auto"/>
              </w:rPr>
            </w:pPr>
            <w:r>
              <w:rPr>
                <w:rFonts w:ascii="Arial" w:cs="Arial" w:eastAsia="Arial" w:hAnsi="Arial"/>
                <w:sz w:val="18"/>
                <w:szCs w:val="18"/>
                <w:color w:val="auto"/>
              </w:rPr>
              <w:t>.</w:t>
            </w:r>
          </w:p>
        </w:tc>
      </w:tr>
      <w:tr>
        <w:trPr>
          <w:trHeight w:val="337"/>
        </w:trPr>
        <w:tc>
          <w:tcPr>
            <w:tcW w:w="2800" w:type="dxa"/>
            <w:vAlign w:val="bottom"/>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We intend to use the net proceeds from the offering for general</w:t>
            </w:r>
          </w:p>
        </w:tc>
      </w:tr>
      <w:tr>
        <w:trPr>
          <w:trHeight w:val="202"/>
        </w:trPr>
        <w:tc>
          <w:tcPr>
            <w:tcW w:w="280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corporate purposes, which may include working capital, capital</w:t>
            </w:r>
          </w:p>
        </w:tc>
      </w:tr>
      <w:tr>
        <w:trPr>
          <w:trHeight w:val="203"/>
        </w:trPr>
        <w:tc>
          <w:tcPr>
            <w:tcW w:w="280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expenditures, the acquisition of other companies or businesses,</w:t>
            </w:r>
          </w:p>
        </w:tc>
      </w:tr>
      <w:tr>
        <w:trPr>
          <w:trHeight w:val="203"/>
        </w:trPr>
        <w:tc>
          <w:tcPr>
            <w:tcW w:w="280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strategic investments, the refinancing or repayment of debt and</w:t>
            </w:r>
          </w:p>
        </w:tc>
      </w:tr>
      <w:tr>
        <w:trPr>
          <w:trHeight w:val="203"/>
        </w:trPr>
        <w:tc>
          <w:tcPr>
            <w:tcW w:w="280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6"/>
              </w:rPr>
              <w:t>share repurchases. These expectations are subject to change. See</w:t>
            </w:r>
          </w:p>
        </w:tc>
      </w:tr>
      <w:tr>
        <w:trPr>
          <w:trHeight w:val="230"/>
        </w:trPr>
        <w:tc>
          <w:tcPr>
            <w:tcW w:w="280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“Use of Proceeds” for additional information.</w:t>
            </w:r>
          </w:p>
        </w:tc>
      </w:tr>
      <w:tr>
        <w:trPr>
          <w:trHeight w:val="296"/>
        </w:trPr>
        <w:tc>
          <w:tcPr>
            <w:tcW w:w="2800" w:type="dxa"/>
            <w:vAlign w:val="bottom"/>
          </w:tcPr>
          <w:p>
            <w:pPr>
              <w:spacing w:after="0"/>
              <w:rPr>
                <w:sz w:val="20"/>
                <w:szCs w:val="20"/>
                <w:color w:val="auto"/>
              </w:rPr>
            </w:pPr>
            <w:r>
              <w:rPr>
                <w:rFonts w:ascii="Arial" w:cs="Arial" w:eastAsia="Arial" w:hAnsi="Arial"/>
                <w:sz w:val="18"/>
                <w:szCs w:val="18"/>
                <w:color w:val="auto"/>
              </w:rPr>
              <w:t>Material U.S. Federal Income Tax</w:t>
            </w:r>
          </w:p>
        </w:tc>
        <w:tc>
          <w:tcPr>
            <w:tcW w:w="18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Consequences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6"/>
              </w:rPr>
              <w:t>For a discussion of material U.S. federal income tax consequences</w:t>
            </w:r>
          </w:p>
        </w:tc>
      </w:tr>
      <w:tr>
        <w:trPr>
          <w:trHeight w:val="216"/>
        </w:trPr>
        <w:tc>
          <w:tcPr>
            <w:tcW w:w="280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relating to the ownership and disposition of the shares of our</w:t>
            </w:r>
          </w:p>
        </w:tc>
      </w:tr>
      <w:tr>
        <w:trPr>
          <w:trHeight w:val="216"/>
        </w:trPr>
        <w:tc>
          <w:tcPr>
            <w:tcW w:w="280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Class A common stock. See “Material U.S. Federal Income Tax</w:t>
            </w:r>
          </w:p>
        </w:tc>
      </w:tr>
      <w:tr>
        <w:trPr>
          <w:trHeight w:val="230"/>
        </w:trPr>
        <w:tc>
          <w:tcPr>
            <w:tcW w:w="280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Consequences for Non-U.S. Holders.”</w:t>
            </w:r>
          </w:p>
        </w:tc>
      </w:tr>
      <w:tr>
        <w:trPr>
          <w:trHeight w:val="323"/>
        </w:trPr>
        <w:tc>
          <w:tcPr>
            <w:tcW w:w="2800" w:type="dxa"/>
            <w:vAlign w:val="bottom"/>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6"/>
              </w:rPr>
              <w:t>You should consult your tax advisor with respect to the U.S. federal</w:t>
            </w:r>
          </w:p>
        </w:tc>
      </w:tr>
      <w:tr>
        <w:trPr>
          <w:trHeight w:val="203"/>
        </w:trPr>
        <w:tc>
          <w:tcPr>
            <w:tcW w:w="280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6"/>
              </w:rPr>
              <w:t>income tax consequences of owning and disposing of shares of our</w:t>
            </w:r>
          </w:p>
        </w:tc>
      </w:tr>
      <w:tr>
        <w:trPr>
          <w:trHeight w:val="203"/>
        </w:trPr>
        <w:tc>
          <w:tcPr>
            <w:tcW w:w="280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8"/>
              </w:rPr>
              <w:t>Class A common stock in light of your own particular situation and</w:t>
            </w:r>
          </w:p>
        </w:tc>
      </w:tr>
      <w:tr>
        <w:trPr>
          <w:trHeight w:val="203"/>
        </w:trPr>
        <w:tc>
          <w:tcPr>
            <w:tcW w:w="2800" w:type="dxa"/>
            <w:vAlign w:val="bottom"/>
          </w:tcPr>
          <w:p>
            <w:pPr>
              <w:spacing w:after="0"/>
              <w:rPr>
                <w:sz w:val="17"/>
                <w:szCs w:val="17"/>
                <w:color w:val="auto"/>
              </w:rPr>
            </w:pPr>
          </w:p>
        </w:tc>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6"/>
              </w:rPr>
              <w:t>with respect to any tax consequences arising under the laws of any</w:t>
            </w:r>
          </w:p>
        </w:tc>
      </w:tr>
      <w:tr>
        <w:trPr>
          <w:trHeight w:val="230"/>
        </w:trPr>
        <w:tc>
          <w:tcPr>
            <w:tcW w:w="280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state, local, foreign or other taxing jurisdiction.</w:t>
            </w:r>
          </w:p>
        </w:tc>
      </w:tr>
      <w:tr>
        <w:trPr>
          <w:trHeight w:val="296"/>
        </w:trPr>
        <w:tc>
          <w:tcPr>
            <w:tcW w:w="2800" w:type="dxa"/>
            <w:vAlign w:val="bottom"/>
          </w:tcPr>
          <w:p>
            <w:pPr>
              <w:spacing w:after="0"/>
              <w:rPr>
                <w:sz w:val="20"/>
                <w:szCs w:val="20"/>
                <w:color w:val="auto"/>
              </w:rPr>
            </w:pPr>
            <w:r>
              <w:rPr>
                <w:rFonts w:ascii="Arial" w:cs="Arial" w:eastAsia="Arial" w:hAnsi="Arial"/>
                <w:sz w:val="18"/>
                <w:szCs w:val="18"/>
                <w:color w:val="auto"/>
              </w:rPr>
              <w:t>Risk Factors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Investing in our Class A common stock involves risk. See “Risk</w:t>
            </w:r>
          </w:p>
        </w:tc>
      </w:tr>
      <w:tr>
        <w:trPr>
          <w:trHeight w:val="216"/>
        </w:trPr>
        <w:tc>
          <w:tcPr>
            <w:tcW w:w="280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8"/>
              </w:rPr>
              <w:t>Factors”  and  all  other  information  included  in  this  prospectus</w:t>
            </w:r>
          </w:p>
        </w:tc>
      </w:tr>
      <w:tr>
        <w:trPr>
          <w:trHeight w:val="216"/>
        </w:trPr>
        <w:tc>
          <w:tcPr>
            <w:tcW w:w="280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7"/>
              </w:rPr>
              <w:t>supplement,  the  accompanying  prospectus  and  the  documents</w:t>
            </w:r>
          </w:p>
        </w:tc>
      </w:tr>
      <w:tr>
        <w:trPr>
          <w:trHeight w:val="216"/>
        </w:trPr>
        <w:tc>
          <w:tcPr>
            <w:tcW w:w="280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6"/>
              </w:rPr>
              <w:t>incorporated by reference for a discussion of factors that should be</w:t>
            </w:r>
          </w:p>
        </w:tc>
      </w:tr>
      <w:tr>
        <w:trPr>
          <w:trHeight w:val="230"/>
        </w:trPr>
        <w:tc>
          <w:tcPr>
            <w:tcW w:w="280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considered before investing in our Class A common stock.</w:t>
            </w:r>
          </w:p>
        </w:tc>
      </w:tr>
      <w:tr>
        <w:trPr>
          <w:trHeight w:val="310"/>
        </w:trPr>
        <w:tc>
          <w:tcPr>
            <w:tcW w:w="2800" w:type="dxa"/>
            <w:vAlign w:val="bottom"/>
          </w:tcPr>
          <w:p>
            <w:pPr>
              <w:spacing w:after="0"/>
              <w:rPr>
                <w:sz w:val="20"/>
                <w:szCs w:val="20"/>
                <w:color w:val="auto"/>
              </w:rPr>
            </w:pPr>
            <w:r>
              <w:rPr>
                <w:rFonts w:ascii="Arial" w:cs="Arial" w:eastAsia="Arial" w:hAnsi="Arial"/>
                <w:sz w:val="18"/>
                <w:szCs w:val="18"/>
                <w:color w:val="auto"/>
              </w:rPr>
              <w:t>Nasdaq Global Market trading</w:t>
            </w:r>
          </w:p>
        </w:tc>
        <w:tc>
          <w:tcPr>
            <w:tcW w:w="18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0"/>
        </w:trPr>
        <w:tc>
          <w:tcPr>
            <w:tcW w:w="2800" w:type="dxa"/>
            <w:vAlign w:val="bottom"/>
          </w:tcPr>
          <w:p>
            <w:pPr>
              <w:ind w:left="180"/>
              <w:spacing w:after="0"/>
              <w:rPr>
                <w:sz w:val="20"/>
                <w:szCs w:val="20"/>
                <w:color w:val="auto"/>
              </w:rPr>
            </w:pPr>
            <w:r>
              <w:rPr>
                <w:rFonts w:ascii="Arial" w:cs="Arial" w:eastAsia="Arial" w:hAnsi="Arial"/>
                <w:sz w:val="18"/>
                <w:szCs w:val="18"/>
                <w:color w:val="auto"/>
              </w:rPr>
              <w:t>symbol</w:t>
            </w:r>
          </w:p>
        </w:tc>
        <w:tc>
          <w:tcPr>
            <w:tcW w:w="1800" w:type="dxa"/>
            <w:vAlign w:val="bottom"/>
          </w:tcPr>
          <w:p>
            <w:pPr>
              <w:ind w:left="220"/>
              <w:spacing w:after="0"/>
              <w:rPr>
                <w:sz w:val="20"/>
                <w:szCs w:val="20"/>
                <w:color w:val="auto"/>
              </w:rPr>
            </w:pPr>
            <w:r>
              <w:rPr>
                <w:rFonts w:ascii="Arial" w:cs="Arial" w:eastAsia="Arial" w:hAnsi="Arial"/>
                <w:sz w:val="18"/>
                <w:szCs w:val="18"/>
                <w:color w:val="auto"/>
              </w:rPr>
              <w:t>“MDB”</w:t>
            </w:r>
          </w:p>
        </w:tc>
        <w:tc>
          <w:tcPr>
            <w:tcW w:w="3600" w:type="dxa"/>
            <w:vAlign w:val="bottom"/>
          </w:tcPr>
          <w:p>
            <w:pPr>
              <w:spacing w:after="0"/>
              <w:rPr>
                <w:sz w:val="20"/>
                <w:szCs w:val="20"/>
                <w:color w:val="auto"/>
              </w:rPr>
            </w:pPr>
          </w:p>
        </w:tc>
      </w:tr>
    </w:tbl>
    <w:p>
      <w:pPr>
        <w:spacing w:after="0" w:line="134" w:lineRule="exact"/>
        <w:rPr>
          <w:sz w:val="20"/>
          <w:szCs w:val="20"/>
          <w:color w:val="auto"/>
        </w:rPr>
      </w:pPr>
    </w:p>
    <w:p>
      <w:pPr>
        <w:ind w:left="1280" w:right="399"/>
        <w:spacing w:after="0" w:line="277" w:lineRule="auto"/>
        <w:rPr>
          <w:sz w:val="20"/>
          <w:szCs w:val="20"/>
          <w:color w:val="auto"/>
        </w:rPr>
      </w:pPr>
      <w:r>
        <w:rPr>
          <w:rFonts w:ascii="Arial" w:cs="Arial" w:eastAsia="Arial" w:hAnsi="Arial"/>
          <w:sz w:val="18"/>
          <w:szCs w:val="18"/>
          <w:color w:val="auto"/>
        </w:rPr>
        <w:t>The number of shares of our Class A common stock that will be outstanding after this offering is based on 62,096,273 shares of our Class A common stock outstanding as of April 30, 2021 and excludes:</w:t>
      </w:r>
    </w:p>
    <w:p>
      <w:pPr>
        <w:spacing w:after="0" w:line="62" w:lineRule="exact"/>
        <w:rPr>
          <w:sz w:val="20"/>
          <w:szCs w:val="20"/>
          <w:color w:val="auto"/>
        </w:rPr>
      </w:pPr>
    </w:p>
    <w:p>
      <w:pPr>
        <w:jc w:val="both"/>
        <w:ind w:left="1820" w:right="399" w:hanging="182"/>
        <w:spacing w:after="0" w:line="263"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3,388,275 shares of our Class A common stock issuable upon the exercise of options to purchase shares of our Class A common stock outstanding as of April 30, 2021, with a weighted-average exercise price of $7.51 per share;</w:t>
      </w:r>
    </w:p>
    <w:p>
      <w:pPr>
        <w:spacing w:after="0" w:line="75" w:lineRule="exact"/>
        <w:rPr>
          <w:rFonts w:ascii="Arial" w:cs="Arial" w:eastAsia="Arial" w:hAnsi="Arial"/>
          <w:sz w:val="18"/>
          <w:szCs w:val="18"/>
          <w:color w:val="auto"/>
        </w:rPr>
      </w:pPr>
    </w:p>
    <w:p>
      <w:pPr>
        <w:ind w:left="1820" w:right="39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3,660,490 shares of our Class A common stock issuable upon the vesting of restricted stock units outstanding as of April 30, 2021;</w:t>
      </w:r>
    </w:p>
    <w:p>
      <w:pPr>
        <w:spacing w:after="0" w:line="62" w:lineRule="exact"/>
        <w:rPr>
          <w:rFonts w:ascii="Arial" w:cs="Arial" w:eastAsia="Arial" w:hAnsi="Arial"/>
          <w:sz w:val="18"/>
          <w:szCs w:val="18"/>
          <w:color w:val="auto"/>
        </w:rPr>
      </w:pPr>
    </w:p>
    <w:p>
      <w:pPr>
        <w:ind w:left="1820" w:right="39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9,442,975 shares of our Class A common stock reserved for issuance upon conversion of our outstanding convertible senior notes as of April 30, 2021; and</w:t>
      </w:r>
    </w:p>
    <w:p>
      <w:pPr>
        <w:spacing w:after="0" w:line="62" w:lineRule="exact"/>
        <w:rPr>
          <w:rFonts w:ascii="Arial" w:cs="Arial" w:eastAsia="Arial" w:hAnsi="Arial"/>
          <w:sz w:val="18"/>
          <w:szCs w:val="18"/>
          <w:color w:val="auto"/>
        </w:rPr>
      </w:pPr>
    </w:p>
    <w:p>
      <w:pPr>
        <w:ind w:left="1820" w:right="39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20,862,712 shares of our Class A common stock reserved for future issuance under our equity compensation plans as of April 30, 2021, consisting of:</w:t>
      </w:r>
    </w:p>
    <w:p>
      <w:pPr>
        <w:spacing w:after="0" w:line="62" w:lineRule="exact"/>
        <w:rPr>
          <w:rFonts w:ascii="Arial" w:cs="Arial" w:eastAsia="Arial" w:hAnsi="Arial"/>
          <w:sz w:val="18"/>
          <w:szCs w:val="18"/>
          <w:color w:val="auto"/>
        </w:rPr>
      </w:pPr>
    </w:p>
    <w:p>
      <w:pPr>
        <w:ind w:left="2180" w:right="399" w:hanging="182"/>
        <w:spacing w:after="0" w:line="277" w:lineRule="auto"/>
        <w:tabs>
          <w:tab w:leader="none" w:pos="2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18,300,423 shares of our Class A common stock reserved for future issuance under our 2016 Equity Incentive Plan (our “2016 Plan”); and</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281305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180" w:right="399" w:hanging="182"/>
        <w:spacing w:after="0" w:line="277" w:lineRule="auto"/>
        <w:tabs>
          <w:tab w:leader="none" w:pos="2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2,562,289 shares of our Class A common stock reserved for future issuance under our 2017 Employee Stock Purchase Plan (our “ESPP”).</w:t>
      </w:r>
    </w:p>
    <w:p>
      <w:pPr>
        <w:spacing w:after="0" w:line="89" w:lineRule="exact"/>
        <w:rPr>
          <w:sz w:val="20"/>
          <w:szCs w:val="20"/>
          <w:color w:val="auto"/>
        </w:rPr>
      </w:pPr>
    </w:p>
    <w:p>
      <w:pPr>
        <w:ind w:left="1280" w:right="399"/>
        <w:spacing w:after="0" w:line="277" w:lineRule="auto"/>
        <w:rPr>
          <w:sz w:val="20"/>
          <w:szCs w:val="20"/>
          <w:color w:val="auto"/>
        </w:rPr>
      </w:pPr>
      <w:r>
        <w:rPr>
          <w:rFonts w:ascii="Arial" w:cs="Arial" w:eastAsia="Arial" w:hAnsi="Arial"/>
          <w:sz w:val="18"/>
          <w:szCs w:val="18"/>
          <w:color w:val="auto"/>
        </w:rPr>
        <w:t>Except as otherwise indicated, all information in this prospectus supplement assumes no exercise or settlement of outstanding stock options or restricted stock units.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1260" w:right="419"/>
        <w:spacing w:after="0" w:line="237"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included or incorporated by reference in this prospectus supplement and the accompanying prospectus and in any free writing prospectus that we may authorize for use in connection with this offering. The risks described below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Class A common stock to decline, resulting in a loss of all or part of your investment. Please also read carefully the section above titled “Special Note Regarding Forward-Looking Statements.”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229" w:lineRule="exact"/>
        <w:rPr>
          <w:sz w:val="20"/>
          <w:szCs w:val="20"/>
          <w:color w:val="auto"/>
        </w:rPr>
      </w:pPr>
    </w:p>
    <w:p>
      <w:pPr>
        <w:ind w:left="1260" w:right="1079"/>
        <w:spacing w:after="0" w:line="261" w:lineRule="auto"/>
        <w:rPr>
          <w:sz w:val="20"/>
          <w:szCs w:val="20"/>
          <w:color w:val="auto"/>
        </w:rPr>
      </w:pPr>
      <w:r>
        <w:rPr>
          <w:rFonts w:ascii="Arial" w:cs="Arial" w:eastAsia="Arial" w:hAnsi="Arial"/>
          <w:sz w:val="18"/>
          <w:szCs w:val="18"/>
          <w:b w:val="1"/>
          <w:bCs w:val="1"/>
          <w:i w:val="1"/>
          <w:iCs w:val="1"/>
          <w:color w:val="auto"/>
        </w:rPr>
        <w:t>If you purchase shares of Class A common stock in this offering, you will suffer immediate dilution of your investment.</w:t>
      </w:r>
    </w:p>
    <w:p>
      <w:pPr>
        <w:spacing w:after="0" w:line="103" w:lineRule="exact"/>
        <w:rPr>
          <w:sz w:val="20"/>
          <w:szCs w:val="20"/>
          <w:color w:val="auto"/>
        </w:rPr>
      </w:pPr>
    </w:p>
    <w:p>
      <w:pPr>
        <w:jc w:val="both"/>
        <w:ind w:left="1260" w:right="419"/>
        <w:spacing w:after="0"/>
        <w:rPr>
          <w:sz w:val="20"/>
          <w:szCs w:val="20"/>
          <w:color w:val="auto"/>
        </w:rPr>
      </w:pPr>
      <w:r>
        <w:rPr>
          <w:rFonts w:ascii="Arial" w:cs="Arial" w:eastAsia="Arial" w:hAnsi="Arial"/>
          <w:sz w:val="18"/>
          <w:szCs w:val="18"/>
          <w:color w:val="auto"/>
        </w:rPr>
        <w:t>The price of our Class A common stock in this offering is substantially higher than the net tangible book value per share of our Class A common stock. Therefore, if you purchase shares of our Class A common stock in this offering, you will pay a price per share that substantially exceeds our historical net tangible book value per share after this offering. To the extent outstanding options are exercised, outstanding restricted stock units are settled, or shares of our Class A common stock are issued in connection with conversion of our outstanding convertible senior notes, you will incur further dilution.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Investors in this offering may experience future dilution.</w:t>
      </w:r>
    </w:p>
    <w:p>
      <w:pPr>
        <w:spacing w:after="0" w:line="158" w:lineRule="exact"/>
        <w:rPr>
          <w:sz w:val="20"/>
          <w:szCs w:val="20"/>
          <w:color w:val="auto"/>
        </w:rPr>
      </w:pPr>
    </w:p>
    <w:p>
      <w:pPr>
        <w:jc w:val="both"/>
        <w:ind w:left="1260" w:right="419"/>
        <w:spacing w:after="0" w:line="238" w:lineRule="auto"/>
        <w:rPr>
          <w:sz w:val="20"/>
          <w:szCs w:val="20"/>
          <w:color w:val="auto"/>
        </w:rPr>
      </w:pPr>
      <w:r>
        <w:rPr>
          <w:rFonts w:ascii="Arial" w:cs="Arial" w:eastAsia="Arial" w:hAnsi="Arial"/>
          <w:sz w:val="18"/>
          <w:szCs w:val="18"/>
          <w:color w:val="auto"/>
        </w:rPr>
        <w:t>In order to raise additional capital, we may in the future offer additional shares of our Class A common stock or other securities convertible into, or exchangeable for, our Class A common stock at prices that may not be the same as the price per share in this offering. We cannot assure you that we will be able to sell shares of our Class A common stock or other related securities in any other offering at a price per share that is equal to or greater than the price per share paid by investors in this offering. If the price per share at which we sell additional shares of our Class A common stock or related securities in future transactions is less than the price per share in this offering, investors who purchase our Class A common stock in this offering will suffer dilution in their investment.</w:t>
      </w:r>
    </w:p>
    <w:p>
      <w:pPr>
        <w:spacing w:after="0" w:line="194"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b w:val="1"/>
          <w:bCs w:val="1"/>
          <w:i w:val="1"/>
          <w:iCs w:val="1"/>
          <w:color w:val="auto"/>
        </w:rPr>
        <w:t>We will have broad discretion in the use of proceeds from this offering and may invest or spend the proceeds in ways with which you do not agree and in ways that may not yield a return.</w:t>
      </w:r>
    </w:p>
    <w:p>
      <w:pPr>
        <w:spacing w:after="0" w:line="90" w:lineRule="exact"/>
        <w:rPr>
          <w:sz w:val="20"/>
          <w:szCs w:val="20"/>
          <w:color w:val="auto"/>
        </w:rPr>
      </w:pPr>
    </w:p>
    <w:p>
      <w:pPr>
        <w:jc w:val="both"/>
        <w:ind w:left="1260" w:right="419"/>
        <w:spacing w:after="0" w:line="238" w:lineRule="auto"/>
        <w:rPr>
          <w:sz w:val="20"/>
          <w:szCs w:val="20"/>
          <w:color w:val="auto"/>
        </w:rPr>
      </w:pPr>
      <w:r>
        <w:rPr>
          <w:rFonts w:ascii="Arial" w:cs="Arial" w:eastAsia="Arial" w:hAnsi="Arial"/>
          <w:sz w:val="18"/>
          <w:szCs w:val="18"/>
          <w:color w:val="auto"/>
        </w:rPr>
        <w:t>Our management will have broad discretion over the use of net proceeds from this offering, including for any of the purposes described in “Use of Proceeds,” and you will not have the opportunity as part of your investment decision to assess whether the net proceeds are being used appropriately. Investors may not agree with our decisions, and our use of the proceeds may not yield any return on your investment. Because of the number and variability of factors that will determine our use of the net proceeds from this offering, their ultimate use may vary substantially from their currently intended use. Our failure to apply the net proceeds of this offering effectively could impair our ability to pursue our growth strategy or could require us to raise additional capital.</w:t>
      </w:r>
    </w:p>
    <w:p>
      <w:pPr>
        <w:spacing w:after="0" w:line="194"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b w:val="1"/>
          <w:bCs w:val="1"/>
          <w:i w:val="1"/>
          <w:iCs w:val="1"/>
          <w:color w:val="auto"/>
        </w:rPr>
        <w:t>The trading price of our Class A common stock has been and is likely to continue to be volatile, which could cause the value of our Class A common stock to decline.</w:t>
      </w:r>
    </w:p>
    <w:p>
      <w:pPr>
        <w:spacing w:after="0" w:line="103"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Technology stocks have historically experienced high levels of volatility. The trading price of our Class A common has been and is likely to continue to be volatile. Factors that could cause fluctuations in the trading price of our Class A common stock include the following:</w:t>
      </w:r>
    </w:p>
    <w:p>
      <w:pPr>
        <w:spacing w:after="0" w:line="74" w:lineRule="exact"/>
        <w:rPr>
          <w:sz w:val="20"/>
          <w:szCs w:val="20"/>
          <w:color w:val="auto"/>
        </w:rPr>
      </w:pPr>
    </w:p>
    <w:p>
      <w:pPr>
        <w:ind w:left="1800" w:right="41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acquisitions or other events by us or our competitors;</w:t>
      </w:r>
    </w:p>
    <w:p>
      <w:pPr>
        <w:spacing w:after="0" w:line="38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how customers perceive the benefits of our product and future product offerings and releases;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large blocks of our Class A common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actual or future expectations of investors or securities analysts;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data breach involving our software;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major catastrophic events in our domestic and foreign markets; and</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“flash crashes,” “freeze flashes” or other glitches that disrupt trading on the securities exchange on which we are listed.</w:t>
      </w:r>
    </w:p>
    <w:p>
      <w:pPr>
        <w:spacing w:after="0" w:line="89" w:lineRule="exact"/>
        <w:rPr>
          <w:sz w:val="20"/>
          <w:szCs w:val="20"/>
          <w:color w:val="auto"/>
        </w:rPr>
      </w:pPr>
    </w:p>
    <w:p>
      <w:pPr>
        <w:jc w:val="both"/>
        <w:ind w:left="1260" w:right="419"/>
        <w:spacing w:after="0" w:line="238" w:lineRule="auto"/>
        <w:rPr>
          <w:sz w:val="20"/>
          <w:szCs w:val="20"/>
          <w:color w:val="auto"/>
        </w:rPr>
      </w:pPr>
      <w:r>
        <w:rPr>
          <w:rFonts w:ascii="Arial" w:cs="Arial" w:eastAsia="Arial" w:hAnsi="Arial"/>
          <w:sz w:val="18"/>
          <w:szCs w:val="18"/>
          <w:color w:val="auto"/>
        </w:rPr>
        <w:t>In addition, if the market for technology stocks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91" w:lineRule="exact"/>
        <w:rPr>
          <w:sz w:val="20"/>
          <w:szCs w:val="20"/>
          <w:color w:val="auto"/>
        </w:rPr>
      </w:pPr>
    </w:p>
    <w:p>
      <w:pPr>
        <w:ind w:left="1260" w:right="1119"/>
        <w:spacing w:after="0" w:line="261" w:lineRule="auto"/>
        <w:rPr>
          <w:sz w:val="20"/>
          <w:szCs w:val="20"/>
          <w:color w:val="auto"/>
        </w:rPr>
      </w:pPr>
      <w:r>
        <w:rPr>
          <w:rFonts w:ascii="Arial" w:cs="Arial" w:eastAsia="Arial" w:hAnsi="Arial"/>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103" w:lineRule="exact"/>
        <w:rPr>
          <w:sz w:val="20"/>
          <w:szCs w:val="20"/>
          <w:color w:val="auto"/>
        </w:rPr>
      </w:pPr>
    </w:p>
    <w:p>
      <w:pPr>
        <w:jc w:val="both"/>
        <w:ind w:left="1260" w:right="419"/>
        <w:spacing w:after="0" w:line="250" w:lineRule="auto"/>
        <w:rPr>
          <w:sz w:val="20"/>
          <w:szCs w:val="20"/>
          <w:color w:val="auto"/>
        </w:rPr>
      </w:pPr>
      <w:r>
        <w:rPr>
          <w:rFonts w:ascii="Arial" w:cs="Arial" w:eastAsia="Arial" w:hAnsi="Arial"/>
          <w:sz w:val="17"/>
          <w:szCs w:val="17"/>
          <w:color w:val="auto"/>
        </w:rPr>
        <w:t>We release earnings guidance in our quarterly and annual earnings conference calls, quarterly and annual earnings releases, or otherwise, regarding our future performance that represents our management’s estimates as of the date of release. This guidance includes forward -looking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One of those key assumptions relates to the impact of the ongoing COVID-19 pandemic and the associated economic uncertainty on our business, which is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conditions caused by the ongoing COVID-19 pandemic, and which could adversely affect our business and future operating results. There are no comparable recent events that provide insights as to the probable effect of the ongoing COVID-19 pandemic, and, as a result, the ultimate impact of the COVID-19 outbreak is highly uncertain and subject to change. We are relying on the reports and models of economic and medical experts in making assumptions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39" w:lineRule="auto"/>
        <w:rPr>
          <w:sz w:val="20"/>
          <w:szCs w:val="20"/>
          <w:color w:val="auto"/>
        </w:rPr>
      </w:pPr>
      <w:r>
        <w:rPr>
          <w:rFonts w:ascii="Arial" w:cs="Arial" w:eastAsia="Arial" w:hAnsi="Arial"/>
          <w:sz w:val="18"/>
          <w:szCs w:val="18"/>
          <w:color w:val="auto"/>
        </w:rPr>
        <w:t>relating to the duration of this crisis and predictions as to timing and pace of any future economic recovery. If these models are incorrect or incomplete, or if we fail to accurately predict the full impact that the COVID-19 pandemic will have on all aspects of our business, the guidance and other forward-looking statements we provide may also be incorrect or incomplete.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spacing w:after="0" w:line="110" w:lineRule="exact"/>
        <w:rPr>
          <w:sz w:val="20"/>
          <w:szCs w:val="20"/>
          <w:color w:val="auto"/>
        </w:rPr>
      </w:pPr>
    </w:p>
    <w:p>
      <w:pPr>
        <w:jc w:val="both"/>
        <w:ind w:left="1260" w:right="419"/>
        <w:spacing w:after="0"/>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22"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prospectus supplement or in the materials incorporated by reference herein could result in the actual operating results being different from our guidance, and the differences may be adverse and material.</w:t>
      </w:r>
    </w:p>
    <w:p>
      <w:pPr>
        <w:spacing w:after="0" w:line="188" w:lineRule="exact"/>
        <w:rPr>
          <w:sz w:val="20"/>
          <w:szCs w:val="20"/>
          <w:color w:val="auto"/>
        </w:rPr>
      </w:pPr>
    </w:p>
    <w:p>
      <w:pPr>
        <w:ind w:left="1260" w:right="1019"/>
        <w:spacing w:after="0" w:line="261"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03" w:lineRule="exact"/>
        <w:rPr>
          <w:sz w:val="20"/>
          <w:szCs w:val="20"/>
          <w:color w:val="auto"/>
        </w:rPr>
      </w:pPr>
    </w:p>
    <w:p>
      <w:pPr>
        <w:jc w:val="both"/>
        <w:ind w:left="1260" w:right="419"/>
        <w:spacing w:after="0" w:line="238"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including those stockholders who purchase shares in this offering. We expect to grant equity awards to employees, directors and consultants under our equity incentive plans. We may also raise capital through additional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do not intend to pay dividends on our Class A common stock for the foreseeable future.</w:t>
      </w:r>
    </w:p>
    <w:p>
      <w:pPr>
        <w:spacing w:after="0" w:line="144"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Class A common stock may only receive a return if the market price of our Class A common stock increases.</w:t>
      </w:r>
    </w:p>
    <w:p>
      <w:pPr>
        <w:spacing w:after="0" w:line="188" w:lineRule="exact"/>
        <w:rPr>
          <w:sz w:val="20"/>
          <w:szCs w:val="20"/>
          <w:color w:val="auto"/>
        </w:rPr>
      </w:pPr>
    </w:p>
    <w:p>
      <w:pPr>
        <w:ind w:left="1260" w:right="679"/>
        <w:spacing w:after="0" w:line="362" w:lineRule="auto"/>
        <w:rPr>
          <w:sz w:val="20"/>
          <w:szCs w:val="20"/>
          <w:color w:val="auto"/>
        </w:rPr>
      </w:pPr>
      <w:r>
        <w:rPr>
          <w:rFonts w:ascii="Arial" w:cs="Arial" w:eastAsia="Arial" w:hAnsi="Arial"/>
          <w:sz w:val="15"/>
          <w:szCs w:val="15"/>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33" w:lineRule="exact"/>
        <w:rPr>
          <w:sz w:val="20"/>
          <w:szCs w:val="20"/>
          <w:color w:val="auto"/>
        </w:rPr>
      </w:pPr>
    </w:p>
    <w:p>
      <w:pPr>
        <w:jc w:val="both"/>
        <w:ind w:left="1260" w:right="419"/>
        <w:spacing w:after="0" w:line="251" w:lineRule="auto"/>
        <w:rPr>
          <w:sz w:val="20"/>
          <w:szCs w:val="20"/>
          <w:color w:val="auto"/>
        </w:rPr>
      </w:pPr>
      <w:r>
        <w:rPr>
          <w:rFonts w:ascii="Arial" w:cs="Arial" w:eastAsia="Arial" w:hAnsi="Arial"/>
          <w:sz w:val="17"/>
          <w:szCs w:val="17"/>
          <w:color w:val="auto"/>
        </w:rPr>
        <w:t>As a public company, we are subject to the reporting requirements of the Exchange Act, the Sarbanes -Oxley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21"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Being a public company under these rules and regulations has made it more expensive for us to obtain director and officer liability insurance and in the future, we may be required to accept reduced coverage or incur</w:t>
      </w:r>
    </w:p>
    <w:p>
      <w:pPr>
        <w:sectPr>
          <w:pgSz w:w="11900" w:h="16838" w:orient="portrait"/>
          <w:cols w:equalWidth="0" w:num="1">
            <w:col w:w="9879"/>
          </w:cols>
          <w:pgMar w:left="580" w:top="132" w:right="1440" w:bottom="1440" w:gutter="0" w:footer="0" w:header="0"/>
        </w:sectPr>
      </w:pPr>
    </w:p>
    <w:p>
      <w:pPr>
        <w:spacing w:after="0" w:line="398"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101"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7"/>
          <w:szCs w:val="17"/>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175" w:lineRule="exact"/>
        <w:rPr>
          <w:sz w:val="20"/>
          <w:szCs w:val="20"/>
          <w:color w:val="auto"/>
        </w:rPr>
      </w:pPr>
    </w:p>
    <w:p>
      <w:pPr>
        <w:ind w:left="1260" w:right="479"/>
        <w:spacing w:after="0" w:line="284"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8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74" w:lineRule="exact"/>
        <w:rPr>
          <w:sz w:val="20"/>
          <w:szCs w:val="20"/>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90"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58" w:lineRule="exact"/>
        <w:rPr>
          <w:sz w:val="20"/>
          <w:szCs w:val="20"/>
          <w:color w:val="auto"/>
        </w:rPr>
      </w:pPr>
    </w:p>
    <w:p>
      <w:pPr>
        <w:jc w:val="both"/>
        <w:ind w:left="1260" w:right="419"/>
        <w:spacing w:after="0" w:line="251" w:lineRule="auto"/>
        <w:rPr>
          <w:sz w:val="20"/>
          <w:szCs w:val="20"/>
          <w:color w:val="auto"/>
        </w:rPr>
      </w:pPr>
      <w:r>
        <w:rPr>
          <w:rFonts w:ascii="Arial" w:cs="Arial" w:eastAsia="Arial" w:hAnsi="Arial"/>
          <w:sz w:val="17"/>
          <w:szCs w:val="17"/>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spacing w:after="0" w:line="181"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Delaware law and our corporate charter and bylaws contain anti-takeover provisions that could delay or discourage takeover attempts that stockholders may consider favorable.</w:t>
      </w:r>
    </w:p>
    <w:p>
      <w:pPr>
        <w:spacing w:after="0" w:line="90"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64" w:lineRule="exact"/>
        <w:rPr>
          <w:sz w:val="20"/>
          <w:szCs w:val="20"/>
          <w:color w:val="auto"/>
        </w:rPr>
      </w:pPr>
    </w:p>
    <w:p>
      <w:pPr>
        <w:ind w:left="1800" w:right="41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48"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ectPr>
          <w:pgSz w:w="11900" w:h="16838" w:orient="portrait"/>
          <w:cols w:equalWidth="0" w:num="1">
            <w:col w:w="9879"/>
          </w:cols>
          <w:pgMar w:left="580" w:top="132" w:right="1440" w:bottom="1440" w:gutter="0" w:footer="0" w:header="0"/>
        </w:sectPr>
      </w:pPr>
    </w:p>
    <w:p>
      <w:pPr>
        <w:spacing w:after="0" w:line="400"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419" w:hanging="180"/>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jc w:val="both"/>
        <w:ind w:left="1800" w:right="419" w:hanging="180"/>
        <w:spacing w:after="0" w:line="259"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spacing w:after="0" w:line="78" w:lineRule="exact"/>
        <w:rPr>
          <w:rFonts w:ascii="Arial" w:cs="Arial" w:eastAsia="Arial" w:hAnsi="Arial"/>
          <w:sz w:val="18"/>
          <w:szCs w:val="18"/>
          <w:color w:val="auto"/>
        </w:rPr>
      </w:pPr>
    </w:p>
    <w:p>
      <w:pPr>
        <w:jc w:val="both"/>
        <w:ind w:left="1800" w:right="419" w:hanging="180"/>
        <w:spacing w:after="0" w:line="275" w:lineRule="auto"/>
        <w:tabs>
          <w:tab w:leader="none" w:pos="1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68" w:lineRule="exact"/>
        <w:rPr>
          <w:rFonts w:ascii="Arial" w:cs="Arial" w:eastAsia="Arial" w:hAnsi="Arial"/>
          <w:sz w:val="17"/>
          <w:szCs w:val="17"/>
          <w:color w:val="auto"/>
        </w:rPr>
      </w:pPr>
    </w:p>
    <w:p>
      <w:pPr>
        <w:jc w:val="both"/>
        <w:ind w:left="1800" w:right="419" w:hanging="180"/>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spacing w:after="0" w:line="75" w:lineRule="exact"/>
        <w:rPr>
          <w:rFonts w:ascii="Arial" w:cs="Arial" w:eastAsia="Arial" w:hAnsi="Arial"/>
          <w:sz w:val="18"/>
          <w:szCs w:val="18"/>
          <w:color w:val="auto"/>
        </w:rPr>
      </w:pPr>
    </w:p>
    <w:p>
      <w:pPr>
        <w:jc w:val="both"/>
        <w:ind w:left="1800" w:right="419" w:hanging="180"/>
        <w:spacing w:after="0" w:line="259"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06"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We estimate that the net proceeds from this offering of our Class A common stock will be approximately</w:t>
      </w:r>
    </w:p>
    <w:p>
      <w:pPr>
        <w:spacing w:after="0" w:line="35" w:lineRule="exact"/>
        <w:rPr>
          <w:sz w:val="20"/>
          <w:szCs w:val="20"/>
          <w:color w:val="auto"/>
        </w:rPr>
      </w:pPr>
    </w:p>
    <w:p>
      <w:pPr>
        <w:ind w:left="1920" w:hanging="660"/>
        <w:spacing w:after="0"/>
        <w:tabs>
          <w:tab w:leader="none" w:pos="1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after deducting estimated offering expenses payable by us.</w:t>
      </w:r>
    </w:p>
    <w:p>
      <w:pPr>
        <w:spacing w:after="0" w:line="143"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We intend to use the net proceeds from the offering for general corporate purposes, which may include working capital, capital expenditures, the acquisition of other companies or businesses, strategic investments, the refinancing or repayment of debt and share repurchases. The amount and timing of these expenditures will vary depending on a number of factors, including competitive and technological developments and the rate of growth, if any, of our business.</w:t>
      </w:r>
    </w:p>
    <w:p>
      <w:pPr>
        <w:spacing w:after="0" w:line="120"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color w:val="auto"/>
        </w:rPr>
        <w:t>Pending their use, we plan to invest the net proceeds from this offering in cash, money market funds, commercial paper, corporate bonds, U.S. agency debt securities and U.S.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8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DILUTION</w:t>
      </w:r>
    </w:p>
    <w:p>
      <w:pPr>
        <w:spacing w:after="0" w:line="162"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If you invest in our Class A common stock, your interest will be diluted to the extent of the difference between the amount per share paid by purchasers of shares of Class A common stock in this public offering and the as adjusted net tangible book value per share of our Class A common stock immediately after this offering.</w:t>
      </w:r>
    </w:p>
    <w:p>
      <w:pPr>
        <w:spacing w:after="0" w:line="119"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As of April 30, 2021, our net tangible book value was approximately $(353.6) million, or $(5.69) per share of Class A common stock. Net tangible book value per share represents the amount of our total tangible assets less our total liabilities, divided by the shares of Class A common stock outstanding at April 30, 2021.</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After giving effect to our sale of 2,300,000 shares of Class A common stock in this offering at the public</w:t>
      </w:r>
    </w:p>
    <w:p>
      <w:pPr>
        <w:spacing w:after="0" w:line="23" w:lineRule="exact"/>
        <w:rPr>
          <w:sz w:val="20"/>
          <w:szCs w:val="20"/>
          <w:color w:val="auto"/>
        </w:rPr>
      </w:pPr>
    </w:p>
    <w:p>
      <w:pPr>
        <w:jc w:val="both"/>
        <w:ind w:left="1260" w:right="419"/>
        <w:spacing w:after="0" w:line="265" w:lineRule="auto"/>
        <w:rPr>
          <w:sz w:val="20"/>
          <w:szCs w:val="20"/>
          <w:color w:val="auto"/>
        </w:rPr>
      </w:pPr>
      <w:r>
        <w:rPr>
          <w:rFonts w:ascii="Arial" w:cs="Arial" w:eastAsia="Arial" w:hAnsi="Arial"/>
          <w:sz w:val="17"/>
          <w:szCs w:val="17"/>
          <w:color w:val="auto"/>
        </w:rPr>
        <w:t>offering price of $ per share, and after deducting estimated underwriting discounts and commissions and estimated offering expenses payable by us, our as adjusted net tangible book value at April 30, 2021</w:t>
      </w:r>
    </w:p>
    <w:tbl>
      <w:tblPr>
        <w:tblLayout w:type="fixed"/>
        <w:tblInd w:w="1260" w:type="dxa"/>
        <w:tblCellMar>
          <w:top w:w="0" w:type="dxa"/>
          <w:left w:w="0" w:type="dxa"/>
          <w:bottom w:w="0" w:type="dxa"/>
          <w:right w:w="0" w:type="dxa"/>
        </w:tblCellMar>
      </w:tblPr>
      <w:tr>
        <w:trPr>
          <w:trHeight w:val="202"/>
        </w:trPr>
        <w:tc>
          <w:tcPr>
            <w:tcW w:w="2980" w:type="dxa"/>
            <w:vAlign w:val="bottom"/>
            <w:gridSpan w:val="2"/>
          </w:tcPr>
          <w:p>
            <w:pPr>
              <w:spacing w:after="0" w:line="202" w:lineRule="exact"/>
              <w:rPr>
                <w:sz w:val="20"/>
                <w:szCs w:val="20"/>
                <w:color w:val="auto"/>
              </w:rPr>
            </w:pPr>
            <w:r>
              <w:rPr>
                <w:rFonts w:ascii="Arial" w:cs="Arial" w:eastAsia="Arial" w:hAnsi="Arial"/>
                <w:sz w:val="18"/>
                <w:szCs w:val="18"/>
                <w:color w:val="auto"/>
              </w:rPr>
              <w:t>would have been approximately $</w:t>
            </w:r>
          </w:p>
        </w:tc>
        <w:tc>
          <w:tcPr>
            <w:tcW w:w="17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million, or $</w:t>
            </w:r>
          </w:p>
        </w:tc>
        <w:tc>
          <w:tcPr>
            <w:tcW w:w="34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per share of Class A common stock. This</w:t>
            </w:r>
          </w:p>
        </w:tc>
        <w:tc>
          <w:tcPr>
            <w:tcW w:w="0" w:type="dxa"/>
            <w:vAlign w:val="bottom"/>
          </w:tcPr>
          <w:p>
            <w:pPr>
              <w:spacing w:after="0"/>
              <w:rPr>
                <w:sz w:val="1"/>
                <w:szCs w:val="1"/>
                <w:color w:val="auto"/>
              </w:rPr>
            </w:pPr>
          </w:p>
        </w:tc>
      </w:tr>
      <w:tr>
        <w:trPr>
          <w:trHeight w:val="216"/>
        </w:trPr>
        <w:tc>
          <w:tcPr>
            <w:tcW w:w="6280" w:type="dxa"/>
            <w:vAlign w:val="bottom"/>
            <w:gridSpan w:val="5"/>
          </w:tcPr>
          <w:p>
            <w:pPr>
              <w:spacing w:after="0"/>
              <w:rPr>
                <w:sz w:val="20"/>
                <w:szCs w:val="20"/>
                <w:color w:val="auto"/>
              </w:rPr>
            </w:pPr>
            <w:r>
              <w:rPr>
                <w:rFonts w:ascii="Arial" w:cs="Arial" w:eastAsia="Arial" w:hAnsi="Arial"/>
                <w:sz w:val="18"/>
                <w:szCs w:val="18"/>
                <w:color w:val="auto"/>
              </w:rPr>
              <w:t>represents an immediate increase in as adjusted net tangible book value of $</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per share to existing</w:t>
            </w:r>
          </w:p>
        </w:tc>
        <w:tc>
          <w:tcPr>
            <w:tcW w:w="0" w:type="dxa"/>
            <w:vAlign w:val="bottom"/>
          </w:tcPr>
          <w:p>
            <w:pPr>
              <w:spacing w:after="0"/>
              <w:rPr>
                <w:sz w:val="1"/>
                <w:szCs w:val="1"/>
                <w:color w:val="auto"/>
              </w:rPr>
            </w:pPr>
          </w:p>
        </w:tc>
      </w:tr>
      <w:tr>
        <w:trPr>
          <w:trHeight w:val="230"/>
        </w:trPr>
        <w:tc>
          <w:tcPr>
            <w:tcW w:w="3600" w:type="dxa"/>
            <w:vAlign w:val="bottom"/>
            <w:gridSpan w:val="3"/>
          </w:tcPr>
          <w:p>
            <w:pPr>
              <w:spacing w:after="0"/>
              <w:rPr>
                <w:sz w:val="20"/>
                <w:szCs w:val="20"/>
                <w:color w:val="auto"/>
              </w:rPr>
            </w:pPr>
            <w:r>
              <w:rPr>
                <w:rFonts w:ascii="Arial" w:cs="Arial" w:eastAsia="Arial" w:hAnsi="Arial"/>
                <w:sz w:val="18"/>
                <w:szCs w:val="18"/>
                <w:color w:val="auto"/>
              </w:rPr>
              <w:t>stockholders and an immediate dilution of $</w:t>
            </w:r>
          </w:p>
        </w:tc>
        <w:tc>
          <w:tcPr>
            <w:tcW w:w="2680" w:type="dxa"/>
            <w:vAlign w:val="bottom"/>
            <w:gridSpan w:val="2"/>
          </w:tcPr>
          <w:p>
            <w:pPr>
              <w:ind w:left="280"/>
              <w:spacing w:after="0"/>
              <w:rPr>
                <w:sz w:val="20"/>
                <w:szCs w:val="20"/>
                <w:color w:val="auto"/>
              </w:rPr>
            </w:pPr>
            <w:r>
              <w:rPr>
                <w:rFonts w:ascii="Arial" w:cs="Arial" w:eastAsia="Arial" w:hAnsi="Arial"/>
                <w:sz w:val="18"/>
                <w:szCs w:val="18"/>
                <w:color w:val="auto"/>
              </w:rPr>
              <w:t>per share to new investors.</w:t>
            </w: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600" w:type="dxa"/>
            <w:vAlign w:val="bottom"/>
            <w:gridSpan w:val="3"/>
          </w:tcPr>
          <w:p>
            <w:pPr>
              <w:spacing w:after="0"/>
              <w:rPr>
                <w:sz w:val="20"/>
                <w:szCs w:val="20"/>
                <w:color w:val="auto"/>
              </w:rPr>
            </w:pPr>
            <w:r>
              <w:rPr>
                <w:rFonts w:ascii="Arial" w:cs="Arial" w:eastAsia="Arial" w:hAnsi="Arial"/>
                <w:sz w:val="18"/>
                <w:szCs w:val="18"/>
                <w:color w:val="auto"/>
              </w:rPr>
              <w:t>The following table illustrates this dilution:</w:t>
            </w: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0" w:type="dxa"/>
            <w:vAlign w:val="bottom"/>
            <w:vMerge w:val="restart"/>
          </w:tcPr>
          <w:p>
            <w:pPr>
              <w:spacing w:after="0"/>
              <w:rPr>
                <w:sz w:val="15"/>
                <w:szCs w:val="15"/>
                <w:color w:val="auto"/>
              </w:rPr>
            </w:pPr>
          </w:p>
        </w:tc>
        <w:tc>
          <w:tcPr>
            <w:tcW w:w="2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0" w:type="dxa"/>
            <w:vAlign w:val="bottom"/>
            <w:vMerge w:val="continue"/>
          </w:tcPr>
          <w:p>
            <w:pPr>
              <w:spacing w:after="0"/>
              <w:rPr>
                <w:sz w:val="16"/>
                <w:szCs w:val="16"/>
                <w:color w:val="auto"/>
              </w:rPr>
            </w:pPr>
          </w:p>
        </w:tc>
        <w:tc>
          <w:tcPr>
            <w:tcW w:w="2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Public offering price per share</w:t>
            </w:r>
          </w:p>
        </w:tc>
        <w:tc>
          <w:tcPr>
            <w:tcW w:w="6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450"/>
              <w:spacing w:after="0" w:line="189"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380" w:type="dxa"/>
            <w:vAlign w:val="bottom"/>
            <w:gridSpan w:val="3"/>
          </w:tcPr>
          <w:p>
            <w:pPr>
              <w:ind w:left="180"/>
              <w:spacing w:after="0"/>
              <w:rPr>
                <w:sz w:val="20"/>
                <w:szCs w:val="20"/>
                <w:color w:val="auto"/>
              </w:rPr>
            </w:pPr>
            <w:r>
              <w:rPr>
                <w:rFonts w:ascii="Arial" w:cs="Arial" w:eastAsia="Arial" w:hAnsi="Arial"/>
                <w:sz w:val="18"/>
                <w:szCs w:val="18"/>
                <w:color w:val="auto"/>
                <w:w w:val="97"/>
              </w:rPr>
              <w:t>Net tangible book value per share as of April 30, 2021</w:t>
            </w:r>
          </w:p>
        </w:tc>
        <w:tc>
          <w:tcPr>
            <w:tcW w:w="1540" w:type="dxa"/>
            <w:vAlign w:val="bottom"/>
          </w:tcPr>
          <w:p>
            <w:pPr>
              <w:spacing w:after="0"/>
              <w:rPr>
                <w:sz w:val="23"/>
                <w:szCs w:val="23"/>
                <w:color w:val="auto"/>
              </w:rPr>
            </w:pPr>
          </w:p>
        </w:tc>
        <w:tc>
          <w:tcPr>
            <w:tcW w:w="1560" w:type="dxa"/>
            <w:vAlign w:val="bottom"/>
          </w:tcPr>
          <w:p>
            <w:pPr>
              <w:ind w:left="240"/>
              <w:spacing w:after="0"/>
              <w:rPr>
                <w:sz w:val="20"/>
                <w:szCs w:val="20"/>
                <w:color w:val="auto"/>
              </w:rPr>
            </w:pPr>
            <w:r>
              <w:rPr>
                <w:rFonts w:ascii="Arial" w:cs="Arial" w:eastAsia="Arial" w:hAnsi="Arial"/>
                <w:sz w:val="18"/>
                <w:szCs w:val="18"/>
                <w:color w:val="auto"/>
              </w:rPr>
              <w:t>$(5.69)</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Increase per share attributable to this offering</w:t>
            </w:r>
          </w:p>
        </w:tc>
        <w:tc>
          <w:tcPr>
            <w:tcW w:w="1540" w:type="dxa"/>
            <w:vAlign w:val="bottom"/>
            <w:shd w:val="clear" w:color="auto" w:fill="CCEEFF"/>
          </w:tcPr>
          <w:p>
            <w:pPr>
              <w:spacing w:after="0"/>
              <w:rPr>
                <w:sz w:val="23"/>
                <w:szCs w:val="23"/>
                <w:color w:val="auto"/>
              </w:rPr>
            </w:pPr>
          </w:p>
        </w:tc>
        <w:tc>
          <w:tcPr>
            <w:tcW w:w="1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6280" w:type="dxa"/>
            <w:vAlign w:val="bottom"/>
            <w:gridSpan w:val="5"/>
          </w:tcPr>
          <w:p>
            <w:pPr>
              <w:ind w:left="360"/>
              <w:spacing w:after="0"/>
              <w:rPr>
                <w:sz w:val="20"/>
                <w:szCs w:val="20"/>
                <w:color w:val="auto"/>
              </w:rPr>
            </w:pPr>
            <w:r>
              <w:rPr>
                <w:rFonts w:ascii="Arial" w:cs="Arial" w:eastAsia="Arial" w:hAnsi="Arial"/>
                <w:sz w:val="18"/>
                <w:szCs w:val="18"/>
                <w:color w:val="auto"/>
              </w:rPr>
              <w:t>As adjusted net tangible book value per share after giving effect to this</w:t>
            </w:r>
          </w:p>
        </w:tc>
        <w:tc>
          <w:tcPr>
            <w:tcW w:w="1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620" w:type="dxa"/>
            <w:vAlign w:val="bottom"/>
          </w:tcPr>
          <w:p>
            <w:pPr>
              <w:ind w:left="180"/>
              <w:spacing w:after="0"/>
              <w:rPr>
                <w:sz w:val="20"/>
                <w:szCs w:val="20"/>
                <w:color w:val="auto"/>
              </w:rPr>
            </w:pPr>
            <w:r>
              <w:rPr>
                <w:rFonts w:ascii="Arial" w:cs="Arial" w:eastAsia="Arial" w:hAnsi="Arial"/>
                <w:sz w:val="18"/>
                <w:szCs w:val="18"/>
                <w:color w:val="auto"/>
              </w:rPr>
              <w:t>offering</w:t>
            </w: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tangible book value dilution per share to investors in this offering</w:t>
            </w:r>
          </w:p>
        </w:tc>
        <w:tc>
          <w:tcPr>
            <w:tcW w:w="15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foregoing calculations are based on 62,096,273 shares of our Class A common stock outstanding as of</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30, 2021 and excludes:</w:t>
      </w:r>
    </w:p>
    <w:p>
      <w:pPr>
        <w:spacing w:after="0" w:line="103" w:lineRule="exact"/>
        <w:rPr>
          <w:sz w:val="20"/>
          <w:szCs w:val="20"/>
          <w:color w:val="auto"/>
        </w:rPr>
      </w:pPr>
    </w:p>
    <w:p>
      <w:pPr>
        <w:jc w:val="both"/>
        <w:ind w:left="1800" w:right="419" w:hanging="180"/>
        <w:spacing w:after="0" w:line="263"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3,388,275 shares of our Class A common stock issuable upon the exercise of options to purchase shares of our Class A common stock outstanding as of April 30, 2021, with a weighted-average exercise price of $7.51 per share;</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3,660,490 shares of our Class A common stock issuable upon the vesting of restricted stock units outstanding as of April 30, 2021;</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9,442,975 shares of our Class A common stock reserved for issuance upon conversion of our outstanding convertible senior notes as of April 30, 2021; and</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20,862,712 shares of our Class A common stock reserved for future issuance under our equity compensation plans as of April 30, 2021, consisting of:</w:t>
      </w:r>
    </w:p>
    <w:p>
      <w:pPr>
        <w:spacing w:after="0" w:line="62" w:lineRule="exact"/>
        <w:rPr>
          <w:rFonts w:ascii="Arial" w:cs="Arial" w:eastAsia="Arial" w:hAnsi="Arial"/>
          <w:sz w:val="18"/>
          <w:szCs w:val="18"/>
          <w:color w:val="auto"/>
        </w:rPr>
      </w:pPr>
    </w:p>
    <w:p>
      <w:pPr>
        <w:ind w:left="2520" w:right="419" w:hanging="180"/>
        <w:spacing w:after="0" w:line="277" w:lineRule="auto"/>
        <w:tabs>
          <w:tab w:leader="none" w:pos="25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18,300,423 shares of our Class A common stock reserved for future issuance under our 2016 Plan; and</w:t>
      </w:r>
    </w:p>
    <w:p>
      <w:pPr>
        <w:spacing w:after="0" w:line="62" w:lineRule="exact"/>
        <w:rPr>
          <w:rFonts w:ascii="Arial" w:cs="Arial" w:eastAsia="Arial" w:hAnsi="Arial"/>
          <w:sz w:val="18"/>
          <w:szCs w:val="18"/>
          <w:color w:val="auto"/>
        </w:rPr>
      </w:pPr>
    </w:p>
    <w:p>
      <w:pPr>
        <w:ind w:left="2520" w:right="899" w:hanging="180"/>
        <w:spacing w:after="0" w:line="277" w:lineRule="auto"/>
        <w:tabs>
          <w:tab w:leader="none" w:pos="25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2,562,289 shares of our Class A common stock reserved for future issuance under our ESPP.</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148"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The following is a discussion of the material U.S. federal income tax consequences relating to the ownership and disposition of our Class A common stock by a non-U.S. holder. For purposes of this discussion, the term “non-U.S. holder” means a beneficial owner of our Class A common stock other than a partnership (or entity or arrangement treated as a partnership for U.S. federal income tax purposes) that is not, for U.S. federal income tax purposes:</w:t>
      </w:r>
    </w:p>
    <w:p>
      <w:pPr>
        <w:spacing w:after="0" w:line="93" w:lineRule="exact"/>
        <w:rPr>
          <w:sz w:val="20"/>
          <w:szCs w:val="20"/>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800" w:right="419" w:hanging="180"/>
        <w:spacing w:after="0" w:line="308" w:lineRule="auto"/>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or organized in or under the laws of the United States, any state thereof, or the District of Columbia;</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28" w:lineRule="exact"/>
        <w:rPr>
          <w:rFonts w:ascii="Arial" w:cs="Arial" w:eastAsia="Arial" w:hAnsi="Arial"/>
          <w:sz w:val="17"/>
          <w:szCs w:val="17"/>
          <w:color w:val="auto"/>
        </w:rPr>
      </w:pPr>
    </w:p>
    <w:p>
      <w:pPr>
        <w:jc w:val="both"/>
        <w:ind w:left="1800" w:right="419" w:hanging="180"/>
        <w:spacing w:after="0" w:line="279" w:lineRule="auto"/>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trust, if a U.S. court is able to exercise primary supervision over the administration of the trust and one or more “United States persons” (as defined in the Internal Revenue Code of 1986, as amended the “Code”) have authority to control all substantial decisions of the trust or if the trust has a valid election in effect to be treated as a United States person under applicable U.S. Treasury Regulations.</w:t>
      </w:r>
    </w:p>
    <w:p>
      <w:pPr>
        <w:spacing w:after="0" w:line="104"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This discussion is based on current provisions of the Code, existing and proposed U.S. Treasury Regulations promulgated thereunder, current administrative rulings and judicial decisions, all as in effect as of the date of this prospectus supplement and all of which are subject to change or to differing interpretation, possibly with retroactive effect. Any change could alter the tax consequences to non-U.S. holders described in this prospectus supplement. In addition, the Internal Revenue Service (the “IRS”), could challenge one or more of the tax consequences described in this prospectus supplement.</w:t>
      </w:r>
    </w:p>
    <w:p>
      <w:pPr>
        <w:spacing w:after="0" w:line="111"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color w:val="auto"/>
        </w:rPr>
        <w:t>This discussion addresses only non-U.S. holders that hold shares of our Class A common stock as a capital asset (generally, property held for investment) within the meaning of Section 1221 of the Code. This discussion does not address all aspects of U.S. federal income taxation that may be relevant to a particular non-U.S. holder in light of that non-U.S. holder’s individual circumstances nor does it address any aspects of state, local or non-U.S. taxes, or the application of the alternative minimum tax, the Medicare contribution tax on net investment income or the special tax accounting rules under Section 451(b) of the Code, any U.S. federal non-income taxes such as estate or gift tax, the rules regarding qualified small business stock within the meaning of Section 1202 of the Code, any election to apply Section 1400Z-2 of the Code to gains recognized with respect to shares of our Class A common stock or any other U.S. federal taxes other than income taxes. This discussion also does not consider any specific facts or circumstances that may apply to a non-U.S. holder and does not address the special tax rules applicable to particular non-U.S. holders, such as:</w:t>
      </w:r>
    </w:p>
    <w:p>
      <w:pPr>
        <w:spacing w:after="0" w:line="92" w:lineRule="exact"/>
        <w:rPr>
          <w:sz w:val="20"/>
          <w:szCs w:val="20"/>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persons that hold our Class A common stock as part of a straddle, hedge, conversion transaction, synthetic security or other integrated investment;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exempt organizations or governmental organizations;</w:t>
      </w:r>
    </w:p>
    <w:p>
      <w:pPr>
        <w:spacing w:after="0" w:line="130"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U.S. expatriates, former citizens or long-term residents of the United States;</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persons that own, or are deemed to own, during the applicable testing period, more than 5% of our outstanding capital stock (except to the extent specifically set forth below);</w:t>
      </w:r>
    </w:p>
    <w:p>
      <w:pPr>
        <w:sectPr>
          <w:pgSz w:w="11900" w:h="16838" w:orient="portrait"/>
          <w:cols w:equalWidth="0" w:num="1">
            <w:col w:w="9879"/>
          </w:cols>
          <w:pgMar w:left="580" w:top="132" w:right="1440" w:bottom="1440" w:gutter="0" w:footer="0" w:header="0"/>
        </w:sectPr>
      </w:pPr>
    </w:p>
    <w:p>
      <w:pPr>
        <w:spacing w:after="0" w:line="38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or</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that acquire our Class A common stock pursuant to the exercise of employee stock options or otherwise as compensation for services.</w:t>
      </w:r>
    </w:p>
    <w:p>
      <w:pPr>
        <w:spacing w:after="0" w:line="103"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In addition, this discussion does not address the tax treatment of partnerships (including any entity or arrangement treated as a partnership for U.S. federal income tax purposes) or other entities that are transparent for U.S. federal income tax purposes or persons who hold their Class A common stock through partnerships or other entities that are transparent for U.S. federal income tax purposes. In the case of a holder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their stock through another transparent entity should consult his, her or its own tax advisor regarding the tax consequences of the acquisition, ownership and disposition of our Class A common stock through a partnership or other transparent entity, as applicable.</w:t>
      </w:r>
    </w:p>
    <w:p>
      <w:pPr>
        <w:spacing w:after="0" w:line="107"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U.S. FEDERAL NON-INCOME TAX LAWS, INCLUDING ESTATE OR GIFT TAX LAWS, OR UNDER THE LAWS OF ANY STATE, LOCAL OR NON-U.S. TAXING JURISDICTION OR UNDER ANY APPLICABLE INCOME TAX TREATY.</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62"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We do not expect to pay any dividends in the foreseeable future. See “Dividend Policy” above in this prospectus supplement. However, in the event that we do pay distributions of cash or property on our Class A common stock, those distributions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Class A common stock. Any remaining excess will be treated as capital gain from the sale of such stock, subject to the tax treatment described below under the heading “Gain on Sale, Exchange or Other Taxable Disposition of Class A Common Stock.”</w:t>
      </w:r>
    </w:p>
    <w:p>
      <w:pPr>
        <w:spacing w:after="0" w:line="129" w:lineRule="exact"/>
        <w:rPr>
          <w:sz w:val="20"/>
          <w:szCs w:val="20"/>
          <w:color w:val="auto"/>
        </w:rPr>
      </w:pPr>
    </w:p>
    <w:p>
      <w:pPr>
        <w:jc w:val="both"/>
        <w:ind w:left="1260" w:right="419"/>
        <w:spacing w:after="0" w:line="275" w:lineRule="auto"/>
        <w:rPr>
          <w:sz w:val="20"/>
          <w:szCs w:val="20"/>
          <w:color w:val="auto"/>
        </w:rPr>
      </w:pPr>
      <w:r>
        <w:rPr>
          <w:rFonts w:ascii="Arial" w:cs="Arial" w:eastAsia="Arial" w:hAnsi="Arial"/>
          <w:sz w:val="17"/>
          <w:szCs w:val="17"/>
          <w:color w:val="auto"/>
        </w:rPr>
        <w:t>Subject to the discussions below under the headings “Information Reporting and Backup Withholding” and “Foreign Account Tax Compliance Act,” and the discussion in the following paragraph regarding income effectively connected with a U.S. trade or business,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95"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maintained by the non-U.S. holder within the United States, are generally exempt from the 30% withholding tax described above if the non-U.S. holder satisfies applicable certification and disclosure requirements. To obtain this exemption, a non-U.S. holder must generally provide us or the applicable withholding agent with a properly executed IRS Form W-8ECI (or applicable successor form) properly certifying such exemption. However, such U.S. effectively connected income, net of specified deductions and credits, is taxed at the regular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rPr>
          <w:sz w:val="20"/>
          <w:szCs w:val="20"/>
          <w:color w:val="auto"/>
        </w:rPr>
      </w:pPr>
      <w:r>
        <w:rPr>
          <w:rFonts w:ascii="Arial" w:cs="Arial" w:eastAsia="Arial" w:hAnsi="Arial"/>
          <w:sz w:val="18"/>
          <w:szCs w:val="18"/>
          <w:color w:val="auto"/>
        </w:rPr>
        <w:t>A non-U.S. holder of our Class A common stock who claims the benefit of an applicable income tax treaty between the United States and such holder’s country of residence generally will be required to provide a properly executed IRS Form W-8BEN or W-8BEN-E (or applicable successor form) certifying qualification for the lower treaty rate and satisfy applicable certification and other requirements. Non-U.S. holders are urged to consult their own tax advisors regarding their entitlement to benefits under a relevant income tax treaty.</w:t>
      </w:r>
    </w:p>
    <w:p>
      <w:pPr>
        <w:spacing w:after="0" w:line="108" w:lineRule="exact"/>
        <w:rPr>
          <w:sz w:val="20"/>
          <w:szCs w:val="20"/>
          <w:color w:val="auto"/>
        </w:rPr>
      </w:pPr>
    </w:p>
    <w:p>
      <w:pPr>
        <w:jc w:val="both"/>
        <w:ind w:left="1260" w:right="419"/>
        <w:spacing w:after="0" w:line="291" w:lineRule="auto"/>
        <w:rPr>
          <w:sz w:val="20"/>
          <w:szCs w:val="20"/>
          <w:color w:val="auto"/>
        </w:rPr>
      </w:pPr>
      <w:r>
        <w:rPr>
          <w:rFonts w:ascii="Arial" w:cs="Arial" w:eastAsia="Arial" w:hAnsi="Arial"/>
          <w:sz w:val="17"/>
          <w:szCs w:val="17"/>
          <w:color w:val="auto"/>
        </w:rPr>
        <w:t>A non-U.S. holder that is eligible for a reduced rate of U.S. withholding tax under an income tax treaty may obtain a refund or credit of any excess amounts withheld by timely filing an appropriate claim with the IRS.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Gain on Sale, Exchange or Other Taxable Disposition of Class A Common Stock</w:t>
      </w:r>
    </w:p>
    <w:p>
      <w:pPr>
        <w:spacing w:after="0" w:line="162"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Subject to the discussions below under the headings “Information Reporting and Backup Withholding” and “Foreign Account Tax Compliance Act,” a non-U.S. holder generally will not be subject to U.S. federal income tax on gain recognized on a sale, exchange or other taxable disposition of our Class A common stock unless:</w:t>
      </w:r>
    </w:p>
    <w:p>
      <w:pPr>
        <w:spacing w:after="0" w:line="80" w:lineRule="exact"/>
        <w:rPr>
          <w:sz w:val="20"/>
          <w:szCs w:val="20"/>
          <w:color w:val="auto"/>
        </w:rPr>
      </w:pPr>
    </w:p>
    <w:p>
      <w:pPr>
        <w:jc w:val="both"/>
        <w:ind w:left="1800" w:right="419" w:hanging="180"/>
        <w:spacing w:after="0" w:line="254"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applicable income tax treaty so provides, the gain is attributable to a permanent establishment maintained by the non-U.S. holder in the United States; in these cases, the non-U.S. holder will be taxed on a net income basis at the regular rates and in the manner applicable to United States persons (as defined in the Code), and, if the non-U.S. holder is a foreign corporation, an additional branch profits tax at a rate of 30%, or a lower rate as may be specified by an applicable income tax treaty, may also apply;</w:t>
      </w:r>
    </w:p>
    <w:p>
      <w:pPr>
        <w:spacing w:after="0" w:line="73" w:lineRule="exact"/>
        <w:rPr>
          <w:rFonts w:ascii="Arial" w:cs="Arial" w:eastAsia="Arial" w:hAnsi="Arial"/>
          <w:sz w:val="18"/>
          <w:szCs w:val="18"/>
          <w:color w:val="auto"/>
        </w:rPr>
      </w:pPr>
    </w:p>
    <w:p>
      <w:pPr>
        <w:jc w:val="both"/>
        <w:ind w:left="1800" w:right="419" w:hanging="180"/>
        <w:spacing w:after="0" w:line="273"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non-U.S. holder is an non-resident alien individual present in the United States for 183 days or more in the taxable year of the disposition and certain other conditions are met, in which case the non-U.S. holder will be subject to U.S. federal income tax at a rate of 30% (or such lower rate as may be specified by an applicable income tax treaty) on the amount of net gain derived from the disposition, which may be offset by certain capital losses allocable to U.S. sources, provided the non-U.S. holder has timely filed U.S. federal income tax returns with respect to such losses; or</w:t>
      </w:r>
    </w:p>
    <w:p>
      <w:pPr>
        <w:spacing w:after="0" w:line="69" w:lineRule="exact"/>
        <w:rPr>
          <w:rFonts w:ascii="Arial" w:cs="Arial" w:eastAsia="Arial" w:hAnsi="Arial"/>
          <w:sz w:val="17"/>
          <w:szCs w:val="17"/>
          <w:color w:val="auto"/>
        </w:rPr>
      </w:pPr>
    </w:p>
    <w:p>
      <w:pPr>
        <w:jc w:val="both"/>
        <w:ind w:left="1800" w:right="419" w:hanging="180"/>
        <w:spacing w:after="0" w:line="269"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are or were a “U.S. real property holding corporation” during the shorter of the five-year period ending on the date of the disposition or the period that the non-U.S. holder held our Class A common stock, unless our Class A common stock is regularly traded on an established securities market and the non-U.S. holder held no more than five percent of our outstanding Class A common stock, directly or indirectly, actually or constructively, during such period. Generally, a corporation is a “U.S. real property holding corporation” if the fair market value of its “U.S. real property interests” equals or exceeds 50% of the sum of the fair market value of its worldwide real property interests plus its other assets used or held for use in a trade or business. Although there can be no assurance in this regard, we believe that we have not been and are not currently, and we do not anticipate becoming, a “U.S. real property holding corporation” for U.S. federal income tax purposes. No assurance can be provided that our Class A common stock will be regularly traded on an established securities market for purposes of the rules described above.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62"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7"/>
          <w:szCs w:val="17"/>
          <w:color w:val="auto"/>
        </w:rPr>
        <w:t>We (or the applicable paying agent) must report annually to the IRS and to each non-U.S. holder the gross amount of the distributions on our Class A common stock paid to such holder and the tax withheld, if any, with respect to such distributions. Non -U.S. holders may have to comply with specific certification procedures to establish that the holder is not a United States person (as defined in the Code) in order to avoid backup withholding at the applicable rate (currently 24%) with respect to dividends on our Class A common stock. Generally, a holder will comply with such procedures if it provides a properly executed IRS Form W-8BEN, W-8BEN-E, or W-8ECI or otherwise establishes an exemption.</w:t>
      </w:r>
    </w:p>
    <w:p>
      <w:pPr>
        <w:spacing w:after="0" w:line="99" w:lineRule="exact"/>
        <w:rPr>
          <w:sz w:val="20"/>
          <w:szCs w:val="20"/>
          <w:color w:val="auto"/>
        </w:rPr>
      </w:pPr>
    </w:p>
    <w:p>
      <w:pPr>
        <w:jc w:val="both"/>
        <w:ind w:left="1260" w:right="419"/>
        <w:spacing w:after="0"/>
        <w:rPr>
          <w:sz w:val="20"/>
          <w:szCs w:val="20"/>
          <w:color w:val="auto"/>
        </w:rPr>
      </w:pPr>
      <w:r>
        <w:rPr>
          <w:rFonts w:ascii="Arial" w:cs="Arial" w:eastAsia="Arial" w:hAnsi="Arial"/>
          <w:sz w:val="18"/>
          <w:szCs w:val="18"/>
          <w:color w:val="auto"/>
        </w:rPr>
        <w:t>Information reporting and backup withholding generally will apply to the proceeds of a disposition of our Class A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States through a foreign broker. However, for information reporting purposes, dispositions effected through a non-U.S. office of a broker that is a United States person (within the meaning of the Code) or that has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07"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Pursuant to the provisions of a specific treaty or agreement, copies of information returns may be made available to the tax authorities of the country in which the non-U.S. holder resides or is incorporated. Any documentation provided to an applicable withholding agent may need to be updated in certain circumstances.</w:t>
      </w:r>
    </w:p>
    <w:p>
      <w:pPr>
        <w:spacing w:after="0" w:line="119"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be refunded or credited against the non-U.S. holder’s U.S. federal income tax liability, if any, provided that an appropriate claim is timely filed with the IRS.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Account Tax Compliance Act</w:t>
      </w:r>
    </w:p>
    <w:p>
      <w:pPr>
        <w:spacing w:after="0" w:line="162"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7"/>
          <w:szCs w:val="17"/>
          <w:color w:val="auto"/>
        </w:rPr>
        <w:t>Sections 1471 to 1474 of the Code (commonly referred to as the Foreign Account Tax Compliance Act, or “FATCA”) generally impose a 30% withholding tax on any “withholdable payment” to a “foreign financial institution” (both as defined in the Code), unless such institution enters into an agreement with the U.S. government to deduct and withhold a 30% tax on certain payments made by such foreign financial institution and to collect and provide to the U.S. tax authorities substantial information regarding U.S. account holders of such institution (which would include certain equity and debt holders of such institution, as well as certain account holders that are foreign entities with United States owners) or another applicable exception applies or such institution is compliant with applicable foreign law enacted in connection with an applicable intergovernmental agreement between the United States and a foreign jurisdiction. FATCA will also generally impose a 30% withholding tax on any “withholdable payment” (as defined in the Code) to a foreign entity that is not a financial institution, unless such entity provides the withholding agent with a certification identifying the substantial U.S. owners of the entity (which generally includes any United States person who directly or indirectly owns more than 10% of the entity), if any, or another applicable exception applies or such entity is compliant with applicable foreign law enacted in connection with an applicable intergovernmental agreement between the United States and a foreign jurisdiction. Under certain circumstances, a non-U.S. holder might be eligible for refunds or credits of such taxes.</w:t>
      </w:r>
    </w:p>
    <w:p>
      <w:pPr>
        <w:spacing w:after="0" w:line="99" w:lineRule="exact"/>
        <w:rPr>
          <w:sz w:val="20"/>
          <w:szCs w:val="20"/>
          <w:color w:val="auto"/>
        </w:rPr>
      </w:pPr>
    </w:p>
    <w:p>
      <w:pPr>
        <w:jc w:val="both"/>
        <w:ind w:left="1260" w:right="419"/>
        <w:spacing w:after="0" w:line="272" w:lineRule="auto"/>
        <w:rPr>
          <w:sz w:val="20"/>
          <w:szCs w:val="20"/>
          <w:color w:val="auto"/>
        </w:rPr>
      </w:pPr>
      <w:r>
        <w:rPr>
          <w:rFonts w:ascii="Arial" w:cs="Arial" w:eastAsia="Arial" w:hAnsi="Arial"/>
          <w:sz w:val="17"/>
          <w:szCs w:val="17"/>
          <w:color w:val="auto"/>
        </w:rPr>
        <w:t>Under final regulations and other current guidance, the withholding provisions described above apply currently to dividends on our Class A common stock. Proposed regulations provide that FATCA withholding does not apply to gross proceeds from the disposition of property of a type that can produce U.S. source dividends or interest; however, prior versions of the rules would have made such gross proceeds subject to FATCA withholding. Taxpayers (including withholding agents) can rely on the proposed regulations until final regulations are issued. The FATCA withholding tax will apply regardless of whether a payment would otherwise be exempt from or not subject to U.S. nonresident withholding tax (e.g., as capital gain).</w:t>
      </w:r>
    </w:p>
    <w:p>
      <w:pPr>
        <w:spacing w:after="0" w:line="177" w:lineRule="exact"/>
        <w:rPr>
          <w:sz w:val="20"/>
          <w:szCs w:val="20"/>
          <w:color w:val="auto"/>
        </w:rPr>
      </w:pPr>
    </w:p>
    <w:p>
      <w:pPr>
        <w:ind w:left="1260" w:right="479"/>
        <w:spacing w:after="0" w:line="327" w:lineRule="auto"/>
        <w:rPr>
          <w:sz w:val="20"/>
          <w:szCs w:val="20"/>
          <w:color w:val="auto"/>
        </w:rPr>
      </w:pPr>
      <w:r>
        <w:rPr>
          <w:rFonts w:ascii="Arial" w:cs="Arial" w:eastAsia="Arial" w:hAnsi="Arial"/>
          <w:sz w:val="15"/>
          <w:szCs w:val="15"/>
          <w:b w:val="1"/>
          <w:bCs w:val="1"/>
          <w:i w:val="1"/>
          <w:iCs w:val="1"/>
          <w:color w:val="auto"/>
        </w:rPr>
        <w:t>The preceding discussion of material U.S. federal tax consequences is for general information only. It is not tax advice. Prospective investors should consult their own tax advisors regarding the particular U.S. federal, state, local and non-U.S. tax consequences of acquiring, holding and disposing of our Class A common stock, including the consequences of any proposed changes in applicable laws or any applicable income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supplement, the underwriters named below, for whom Morgan Stanley &amp; Co. LLC and Goldman Sachs &amp; Co. LLC are is acting as representatives, have severally agreed to purchase, and we have agreed to sell to them, severally, the number of shares indicated below:</w:t>
      </w:r>
    </w:p>
    <w:p>
      <w:pPr>
        <w:spacing w:after="0" w:line="15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r>
      <w:tr>
        <w:trPr>
          <w:trHeight w:val="192"/>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640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6"/>
                <w:szCs w:val="16"/>
                <w:color w:val="auto"/>
              </w:rPr>
            </w:pPr>
          </w:p>
        </w:tc>
      </w:tr>
      <w:tr>
        <w:trPr>
          <w:trHeight w:val="257"/>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Siebert, Williams Shank &amp; Co., LLC</w:t>
            </w: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6"/>
        </w:trPr>
        <w:tc>
          <w:tcPr>
            <w:tcW w:w="6760" w:type="dxa"/>
            <w:vAlign w:val="bottom"/>
            <w:gridSpan w:val="2"/>
          </w:tcPr>
          <w:p>
            <w:pPr>
              <w:spacing w:after="0"/>
              <w:rPr>
                <w:sz w:val="20"/>
                <w:szCs w:val="20"/>
                <w:color w:val="auto"/>
              </w:rPr>
            </w:pPr>
            <w:r>
              <w:rPr>
                <w:rFonts w:ascii="Arial" w:cs="Arial" w:eastAsia="Arial" w:hAnsi="Arial"/>
                <w:sz w:val="18"/>
                <w:szCs w:val="18"/>
                <w:color w:val="auto"/>
              </w:rPr>
              <w:t>Guzman &amp; Company</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Tigress Financial Partners LLC</w:t>
            </w: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63"/>
        </w:trPr>
        <w:tc>
          <w:tcPr>
            <w:tcW w:w="6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Drexel Hamilton, LLC</w:t>
            </w:r>
          </w:p>
        </w:tc>
        <w:tc>
          <w:tcPr>
            <w:tcW w:w="7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2,300,000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-187960</wp:posOffset>
            </wp:positionV>
            <wp:extent cx="42862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95"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supplement are subject to the approval of certain legal matters by their counsel and to certain other conditions. The underwriters are obligated to take and pay for all of the shares of Class A common stock offered by this prospectus supplement if any such shares are taken.</w:t>
      </w:r>
    </w:p>
    <w:p>
      <w:pPr>
        <w:spacing w:after="0" w:line="99" w:lineRule="exact"/>
        <w:rPr>
          <w:sz w:val="20"/>
          <w:szCs w:val="20"/>
          <w:color w:val="auto"/>
        </w:rPr>
      </w:pPr>
    </w:p>
    <w:p>
      <w:pPr>
        <w:jc w:val="both"/>
        <w:ind w:left="1260" w:right="419"/>
        <w:spacing w:after="0" w:line="258" w:lineRule="auto"/>
        <w:rPr>
          <w:sz w:val="20"/>
          <w:szCs w:val="20"/>
          <w:color w:val="auto"/>
        </w:rPr>
      </w:pPr>
      <w:r>
        <w:rPr>
          <w:rFonts w:ascii="Arial" w:cs="Arial" w:eastAsia="Arial" w:hAnsi="Arial"/>
          <w:sz w:val="17"/>
          <w:szCs w:val="17"/>
          <w:color w:val="auto"/>
        </w:rPr>
        <w:t>The underwriters initially propose to offer part of the shares of Class A common stock directly to the public at the offering price listed on the cover page of this prospectus supplement and part to certain dealers at a</w:t>
      </w:r>
    </w:p>
    <w:p>
      <w:pPr>
        <w:spacing w:after="0" w:line="1" w:lineRule="exact"/>
        <w:rPr>
          <w:sz w:val="20"/>
          <w:szCs w:val="20"/>
          <w:color w:val="auto"/>
        </w:rPr>
      </w:pPr>
    </w:p>
    <w:p>
      <w:pPr>
        <w:jc w:val="both"/>
        <w:ind w:left="1260" w:right="419"/>
        <w:spacing w:after="0" w:line="239" w:lineRule="auto"/>
        <w:rPr>
          <w:sz w:val="20"/>
          <w:szCs w:val="20"/>
          <w:color w:val="auto"/>
        </w:rPr>
      </w:pPr>
      <w:r>
        <w:rPr>
          <w:rFonts w:ascii="Arial" w:cs="Arial" w:eastAsia="Arial" w:hAnsi="Arial"/>
          <w:sz w:val="18"/>
          <w:szCs w:val="18"/>
          <w:color w:val="auto"/>
        </w:rPr>
        <w:t>price that represents a concession not in excess of $ per share under the public offering price. After the initial offering of the shares of Class A common stock, the offering price and other selling terms may from time to time be varied by the representatives.</w:t>
      </w:r>
    </w:p>
    <w:p>
      <w:pPr>
        <w:spacing w:after="0" w:line="122"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Per</w:t>
            </w:r>
          </w:p>
        </w:tc>
        <w:tc>
          <w:tcPr>
            <w:tcW w:w="380" w:type="dxa"/>
            <w:vAlign w:val="bottom"/>
          </w:tcPr>
          <w:p>
            <w:pPr>
              <w:spacing w:after="0"/>
              <w:rPr>
                <w:sz w:val="14"/>
                <w:szCs w:val="14"/>
                <w:color w:val="auto"/>
              </w:rPr>
            </w:pPr>
          </w:p>
        </w:tc>
      </w:tr>
      <w:tr>
        <w:trPr>
          <w:trHeight w:val="186"/>
        </w:trPr>
        <w:tc>
          <w:tcPr>
            <w:tcW w:w="6520" w:type="dxa"/>
            <w:vAlign w:val="bottom"/>
          </w:tcPr>
          <w:p>
            <w:pPr>
              <w:spacing w:after="0"/>
              <w:rPr>
                <w:sz w:val="16"/>
                <w:szCs w:val="16"/>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Share</w:t>
            </w: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w w:val="95"/>
              </w:rPr>
              <w:t>Total</w:t>
            </w:r>
          </w:p>
        </w:tc>
      </w:tr>
      <w:tr>
        <w:trPr>
          <w:trHeight w:val="25"/>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-496570</wp:posOffset>
            </wp:positionV>
            <wp:extent cx="45091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09135" cy="8890"/>
                    </a:xfrm>
                    <a:prstGeom prst="rect">
                      <a:avLst/>
                    </a:prstGeom>
                    <a:noFill/>
                  </pic:spPr>
                </pic:pic>
              </a:graphicData>
            </a:graphic>
          </wp:anchor>
        </w:drawing>
      </w:r>
    </w:p>
    <w:p>
      <w:pPr>
        <w:spacing w:after="0" w:line="114"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$765,000. We have also agreed to reimburse the underwriters for certain of their expenses in an amount up to $30,000.</w:t>
      </w:r>
    </w:p>
    <w:p>
      <w:pPr>
        <w:spacing w:after="0" w:line="10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Class A common stock is listed on the Nasdaq Global Market under the trading symbol “MDB”.</w:t>
      </w:r>
    </w:p>
    <w:p>
      <w:pPr>
        <w:spacing w:after="0" w:line="158" w:lineRule="exact"/>
        <w:rPr>
          <w:sz w:val="20"/>
          <w:szCs w:val="20"/>
          <w:color w:val="auto"/>
        </w:rPr>
      </w:pPr>
    </w:p>
    <w:p>
      <w:pPr>
        <w:jc w:val="both"/>
        <w:ind w:left="1260" w:right="419"/>
        <w:spacing w:after="0" w:line="239" w:lineRule="auto"/>
        <w:rPr>
          <w:sz w:val="20"/>
          <w:szCs w:val="20"/>
          <w:color w:val="auto"/>
        </w:rPr>
      </w:pPr>
      <w:r>
        <w:rPr>
          <w:rFonts w:ascii="Arial" w:cs="Arial" w:eastAsia="Arial" w:hAnsi="Arial"/>
          <w:sz w:val="18"/>
          <w:szCs w:val="18"/>
          <w:color w:val="auto"/>
        </w:rPr>
        <w:t>We, our directors, our executive officers and certain holders of our Class A common stock and securities exercisable for shares of our Class A common stock have agreed that, have agreed or will agree that, subject to specified limited exceptions, for a period of 60 days from the date of this prospectus, we and they will not, without the prior written consent of Morgan Stanley &amp; Co. LLC on behalf of the underwriters, dispose of or hedge any shares or any securities convertible into or exchangeable for our Class A common stock. Morgan Stanley &amp; Co. LLC in its sole discretion may release any of the securities subject to these lock-up agreements at any time.</w:t>
      </w:r>
    </w:p>
    <w:p>
      <w:pPr>
        <w:spacing w:after="0" w:line="123" w:lineRule="exact"/>
        <w:rPr>
          <w:sz w:val="20"/>
          <w:szCs w:val="20"/>
          <w:color w:val="auto"/>
        </w:rPr>
      </w:pPr>
    </w:p>
    <w:p>
      <w:pPr>
        <w:jc w:val="both"/>
        <w:ind w:left="1260" w:right="419"/>
        <w:spacing w:after="0" w:line="270" w:lineRule="auto"/>
        <w:rPr>
          <w:sz w:val="20"/>
          <w:szCs w:val="20"/>
          <w:color w:val="auto"/>
        </w:rPr>
      </w:pPr>
      <w:r>
        <w:rPr>
          <w:rFonts w:ascii="Arial" w:cs="Arial" w:eastAsia="Arial" w:hAnsi="Arial"/>
          <w:sz w:val="17"/>
          <w:szCs w:val="17"/>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w:t>
      </w:r>
    </w:p>
    <w:p>
      <w:pPr>
        <w:spacing w:after="0" w:line="38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1" w:lineRule="auto"/>
        <w:rPr>
          <w:sz w:val="20"/>
          <w:szCs w:val="20"/>
          <w:color w:val="auto"/>
        </w:rPr>
      </w:pPr>
      <w:r>
        <w:rPr>
          <w:rFonts w:ascii="Arial" w:cs="Arial" w:eastAsia="Arial" w:hAnsi="Arial"/>
          <w:sz w:val="17"/>
          <w:szCs w:val="17"/>
          <w:color w:val="auto"/>
        </w:rPr>
        <w:t>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08"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103"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7"/>
          <w:szCs w:val="17"/>
          <w:color w:val="auto"/>
        </w:rPr>
        <w:t>A prospectus supplement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06" w:lineRule="exact"/>
        <w:rPr>
          <w:sz w:val="20"/>
          <w:szCs w:val="20"/>
          <w:color w:val="auto"/>
        </w:rPr>
      </w:pPr>
    </w:p>
    <w:p>
      <w:pPr>
        <w:jc w:val="both"/>
        <w:ind w:left="1260" w:right="419"/>
        <w:spacing w:after="0"/>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08" w:lineRule="exact"/>
        <w:rPr>
          <w:sz w:val="20"/>
          <w:szCs w:val="20"/>
          <w:color w:val="auto"/>
        </w:rPr>
      </w:pPr>
    </w:p>
    <w:p>
      <w:pPr>
        <w:jc w:val="both"/>
        <w:ind w:left="1260" w:right="419"/>
        <w:spacing w:after="0" w:line="254"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13" w:lineRule="exact"/>
        <w:rPr>
          <w:sz w:val="20"/>
          <w:szCs w:val="20"/>
          <w:color w:val="auto"/>
        </w:rPr>
      </w:pPr>
    </w:p>
    <w:p>
      <w:pPr>
        <w:jc w:val="both"/>
        <w:ind w:left="1260" w:right="419"/>
        <w:spacing w:after="0" w:line="237"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58" w:lineRule="exact"/>
        <w:rPr>
          <w:sz w:val="20"/>
          <w:szCs w:val="20"/>
          <w:color w:val="auto"/>
        </w:rPr>
      </w:pPr>
    </w:p>
    <w:p>
      <w:pPr>
        <w:jc w:val="both"/>
        <w:ind w:left="1260" w:right="419"/>
        <w:spacing w:after="0"/>
        <w:rPr>
          <w:sz w:val="20"/>
          <w:szCs w:val="20"/>
          <w:color w:val="auto"/>
        </w:rPr>
      </w:pPr>
      <w:r>
        <w:rPr>
          <w:rFonts w:ascii="Arial" w:cs="Arial" w:eastAsia="Arial" w:hAnsi="Arial"/>
          <w:sz w:val="18"/>
          <w:szCs w:val="18"/>
          <w:color w:val="auto"/>
        </w:rPr>
        <w:t>In relation to each Member State of the European Economic Area and the United Kingdom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color w:val="auto"/>
        </w:rPr>
        <w:t>except that offers of securities may be made to the public in that Relevant State at any time under the following exemptions under the Prospectus Regulation:</w:t>
      </w:r>
    </w:p>
    <w:p>
      <w:pPr>
        <w:spacing w:after="0" w:line="90" w:lineRule="exact"/>
        <w:rPr>
          <w:sz w:val="20"/>
          <w:szCs w:val="20"/>
          <w:color w:val="auto"/>
        </w:rPr>
      </w:pPr>
    </w:p>
    <w:p>
      <w:pPr>
        <w:ind w:left="1620" w:hanging="36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44"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or</w:t>
      </w:r>
    </w:p>
    <w:p>
      <w:pPr>
        <w:spacing w:after="0" w:line="89" w:lineRule="exact"/>
        <w:rPr>
          <w:rFonts w:ascii="Arial" w:cs="Arial" w:eastAsia="Arial" w:hAnsi="Arial"/>
          <w:sz w:val="18"/>
          <w:szCs w:val="18"/>
          <w:color w:val="auto"/>
        </w:rPr>
      </w:pPr>
    </w:p>
    <w:p>
      <w:pPr>
        <w:ind w:left="1620" w:hanging="36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w:t>
      </w:r>
    </w:p>
    <w:p>
      <w:pPr>
        <w:spacing w:after="0" w:line="114"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any shares, and the expression “Prospectus Regulation” means Regulation (EU) 2017/1129 (as amended).</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Each underwriter has represented and agreed that:</w:t>
      </w:r>
    </w:p>
    <w:p>
      <w:pPr>
        <w:spacing w:after="0" w:line="158" w:lineRule="exact"/>
        <w:rPr>
          <w:sz w:val="20"/>
          <w:szCs w:val="20"/>
          <w:color w:val="auto"/>
        </w:rPr>
      </w:pPr>
    </w:p>
    <w:p>
      <w:pPr>
        <w:jc w:val="both"/>
        <w:ind w:left="1620" w:right="419" w:hanging="360"/>
        <w:spacing w:after="0" w:line="257"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Class A common stock in circumstances in which Section 21(1) of the FSMA does not apply to us; and</w:t>
      </w:r>
    </w:p>
    <w:p>
      <w:pPr>
        <w:spacing w:after="0" w:line="106" w:lineRule="exact"/>
        <w:rPr>
          <w:rFonts w:ascii="Arial" w:cs="Arial" w:eastAsia="Arial" w:hAnsi="Arial"/>
          <w:sz w:val="18"/>
          <w:szCs w:val="18"/>
          <w:color w:val="auto"/>
        </w:rPr>
      </w:pPr>
    </w:p>
    <w:p>
      <w:pPr>
        <w:jc w:val="both"/>
        <w:ind w:left="1620" w:right="419" w:hanging="360"/>
        <w:spacing w:after="0" w:line="263"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Japan</w:t>
      </w:r>
    </w:p>
    <w:p>
      <w:pPr>
        <w:spacing w:after="0" w:line="15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01" w:lineRule="exact"/>
        <w:rPr>
          <w:sz w:val="20"/>
          <w:szCs w:val="20"/>
          <w:color w:val="auto"/>
        </w:rPr>
      </w:pPr>
    </w:p>
    <w:p>
      <w:pPr>
        <w:jc w:val="both"/>
        <w:ind w:left="1260" w:right="419"/>
        <w:spacing w:after="0" w:line="239"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2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For Qualified Institutional Investors (“QII”)</w:t>
      </w:r>
    </w:p>
    <w:p>
      <w:pPr>
        <w:spacing w:after="0" w:line="158" w:lineRule="exact"/>
        <w:rPr>
          <w:sz w:val="20"/>
          <w:szCs w:val="20"/>
          <w:color w:val="auto"/>
        </w:rPr>
      </w:pPr>
    </w:p>
    <w:p>
      <w:pPr>
        <w:jc w:val="both"/>
        <w:ind w:left="1260" w:right="419"/>
        <w:spacing w:after="0"/>
        <w:rPr>
          <w:sz w:val="20"/>
          <w:szCs w:val="20"/>
          <w:color w:val="auto"/>
        </w:rPr>
      </w:pPr>
      <w:r>
        <w:rPr>
          <w:rFonts w:ascii="Arial" w:cs="Arial" w:eastAsia="Arial" w:hAnsi="Arial"/>
          <w:sz w:val="18"/>
          <w:szCs w:val="18"/>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For Non-QII Investors</w:t>
      </w:r>
    </w:p>
    <w:p>
      <w:pPr>
        <w:spacing w:after="0" w:line="158"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w:t>
      </w:r>
    </w:p>
    <w:p>
      <w:pPr>
        <w:sectPr>
          <w:pgSz w:w="11900" w:h="16838" w:orient="portrait"/>
          <w:cols w:equalWidth="0" w:num="1">
            <w:col w:w="9879"/>
          </w:cols>
          <w:pgMar w:left="580" w:top="131" w:right="1440" w:bottom="1440" w:gutter="0" w:footer="0" w:header="0"/>
        </w:sectPr>
      </w:pPr>
    </w:p>
    <w:p>
      <w:pPr>
        <w:spacing w:after="0" w:line="38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Paragraph 1, Article 4 of the FIEL, has not been made in relation to the shares of Class A common stock. The shares of Class A common stock may only be transferred en bloc without subdivision to a single investor.</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Hong Kong</w:t>
      </w:r>
    </w:p>
    <w:p>
      <w:pPr>
        <w:spacing w:after="0" w:line="144" w:lineRule="exact"/>
        <w:rPr>
          <w:sz w:val="20"/>
          <w:szCs w:val="20"/>
          <w:color w:val="auto"/>
        </w:rPr>
      </w:pPr>
    </w:p>
    <w:p>
      <w:pPr>
        <w:jc w:val="both"/>
        <w:ind w:left="1260" w:right="419"/>
        <w:spacing w:after="0" w:line="251" w:lineRule="auto"/>
        <w:rPr>
          <w:sz w:val="20"/>
          <w:szCs w:val="20"/>
          <w:color w:val="auto"/>
        </w:rPr>
      </w:pPr>
      <w:r>
        <w:rPr>
          <w:rFonts w:ascii="Arial" w:cs="Arial" w:eastAsia="Arial" w:hAnsi="Arial"/>
          <w:sz w:val="17"/>
          <w:szCs w:val="17"/>
          <w:color w:val="auto"/>
        </w:rPr>
        <w:t>The shares of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Singapore</w:t>
      </w:r>
    </w:p>
    <w:p>
      <w:pPr>
        <w:spacing w:after="0" w:line="158"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13" w:lineRule="exact"/>
        <w:rPr>
          <w:sz w:val="20"/>
          <w:szCs w:val="20"/>
          <w:color w:val="auto"/>
        </w:rPr>
      </w:pPr>
    </w:p>
    <w:p>
      <w:pPr>
        <w:jc w:val="both"/>
        <w:ind w:left="1260" w:right="419"/>
        <w:spacing w:after="0" w:line="269"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01" w:lineRule="exact"/>
        <w:rPr>
          <w:sz w:val="20"/>
          <w:szCs w:val="20"/>
          <w:color w:val="auto"/>
        </w:rPr>
      </w:pPr>
    </w:p>
    <w:p>
      <w:pPr>
        <w:jc w:val="both"/>
        <w:ind w:left="1260" w:right="419"/>
        <w:spacing w:after="0" w:line="269"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ectPr>
          <w:pgSz w:w="11900" w:h="16838" w:orient="portrait"/>
          <w:cols w:equalWidth="0" w:num="1">
            <w:col w:w="9879"/>
          </w:cols>
          <w:pgMar w:left="580" w:top="131" w:right="1440" w:bottom="1440" w:gutter="0" w:footer="0" w:header="0"/>
        </w:sectPr>
      </w:pPr>
    </w:p>
    <w:p>
      <w:pPr>
        <w:spacing w:after="0" w:line="39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Canada</w:t>
      </w:r>
    </w:p>
    <w:p>
      <w:pPr>
        <w:spacing w:after="0" w:line="144"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25"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5"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Cooley LLP is serving as our counsel in this offering. The underwriters have been represented Wilson Sonsini Goodrich &amp; Rosati, New York, New York. As of the date of this prospectus supplement, GC&amp;H Investments and GC&amp;H Investments, LLC, entities comprised of partners and associates of Cooley LLP, beneficially in an aggregate of 8,525 shares of our Class A common stock.</w:t>
      </w:r>
    </w:p>
    <w:p>
      <w:pPr>
        <w:spacing w:after="0" w:line="18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1260" w:right="419"/>
        <w:spacing w:after="0"/>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Reporting) </w:t>
      </w:r>
      <w:hyperlink r:id="rId49">
        <w:r>
          <w:rPr>
            <w:rFonts w:ascii="Arial" w:cs="Arial" w:eastAsia="Arial" w:hAnsi="Arial"/>
            <w:sz w:val="18"/>
            <w:szCs w:val="18"/>
            <w:color w:val="auto"/>
          </w:rPr>
          <w:t xml:space="preserve">incorporated in this prospectus supplement by reference to the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EE"/>
          </w:rPr>
          <w:t>ended January 31, 2021</w:t>
        </w:r>
        <w:r>
          <w:rPr>
            <w:rFonts w:ascii="Arial" w:cs="Arial" w:eastAsia="Arial" w:hAnsi="Arial"/>
            <w:sz w:val="18"/>
            <w:szCs w:val="18"/>
            <w:color w:val="0000EE"/>
          </w:rPr>
          <w:t xml:space="preserve"> </w:t>
        </w:r>
        <w:r>
          <w:rPr>
            <w:rFonts w:ascii="Arial" w:cs="Arial" w:eastAsia="Arial" w:hAnsi="Arial"/>
            <w:sz w:val="18"/>
            <w:szCs w:val="18"/>
            <w:color w:val="000000"/>
          </w:rPr>
          <w:t>have been so incorporated in reliance on the report of PricewaterhouseCoopers LLP,</w:t>
        </w:r>
      </w:hyperlink>
      <w:r>
        <w:rPr>
          <w:rFonts w:ascii="Arial" w:cs="Arial" w:eastAsia="Arial" w:hAnsi="Arial"/>
          <w:sz w:val="18"/>
          <w:szCs w:val="18"/>
          <w:color w:val="0000EE"/>
        </w:rPr>
        <w:t xml:space="preserve"> </w:t>
      </w:r>
      <w:r>
        <w:rPr>
          <w:rFonts w:ascii="Arial" w:cs="Arial" w:eastAsia="Arial" w:hAnsi="Arial"/>
          <w:sz w:val="18"/>
          <w:szCs w:val="18"/>
          <w:color w:val="000000"/>
        </w:rPr>
        <w:t>an independent registered public accounting firm, given on the authority of said firm as experts in auditing and accounting.</w:t>
      </w:r>
    </w:p>
    <w:p>
      <w:pPr>
        <w:spacing w:after="0" w:line="18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We have filed with the SEC a registration statement on Form S-3 under the Securities Act with respect to the Class A common stock offered by this prospectus supplement. This prospectus supplement, which forms a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w:t>
      </w:r>
    </w:p>
    <w:p>
      <w:pPr>
        <w:spacing w:after="0" w:line="111"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under the Exchange Act. Our SEC filings, including the complete registration statement of which this prospectus supplement is a part, are available to the public from commercial document retrieval services and also available at the Internet website maintained by the SEC at http://www.sec.gov.</w:t>
      </w:r>
    </w:p>
    <w:p>
      <w:pPr>
        <w:spacing w:after="0" w:line="119"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These documents are also available, free of charge, through the Investors section of our website, which is located at investors.mongodb.com. Information contained on, or that can be accessed through, our website is not incorporated by reference into this prospectus supplement or the accompanying prospectus and you should not consider such information to be part of this prospectus supplement or the accompanying prospectus.</w:t>
      </w:r>
    </w:p>
    <w:p>
      <w:pPr>
        <w:spacing w:after="0" w:line="18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62"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The SEC allows us to “incorporate by reference” into this prospectus supplement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we file pursuant to Section 13(a), 13(c), 14, or 15(d) of the Exchange Act on or after the date of this prospectus supplement and prior to the termination of the offering of our Class A common stock (other than, in each case, documents or information deemed to have been furnished and not filed in accordance with SEC rules) (Commission File No. 001-38240):</w:t>
      </w:r>
    </w:p>
    <w:p>
      <w:pPr>
        <w:spacing w:after="0" w:line="88" w:lineRule="exact"/>
        <w:rPr>
          <w:sz w:val="20"/>
          <w:szCs w:val="20"/>
          <w:color w:val="auto"/>
        </w:rPr>
      </w:pPr>
    </w:p>
    <w:p>
      <w:pPr>
        <w:ind w:left="1800" w:right="419" w:hanging="180"/>
        <w:spacing w:after="0" w:line="277" w:lineRule="auto"/>
        <w:tabs>
          <w:tab w:leader="none" w:pos="1800" w:val="left"/>
        </w:tabs>
        <w:numPr>
          <w:ilvl w:val="0"/>
          <w:numId w:val="21"/>
        </w:numPr>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our Annual Report on Form 10-K for the fiscal year ended January 31, 2021, filed with the SEC on</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March 22, 2021;</w:t>
        </w:r>
      </w:hyperlink>
    </w:p>
    <w:p>
      <w:pPr>
        <w:spacing w:after="0" w:line="62" w:lineRule="exact"/>
        <w:rPr>
          <w:rFonts w:ascii="Arial" w:cs="Arial" w:eastAsia="Arial" w:hAnsi="Arial"/>
          <w:sz w:val="18"/>
          <w:szCs w:val="18"/>
          <w:u w:val="single" w:color="auto"/>
          <w:color w:val="0000EE"/>
        </w:rPr>
      </w:pPr>
    </w:p>
    <w:p>
      <w:pPr>
        <w:ind w:left="1800" w:right="419" w:hanging="180"/>
        <w:spacing w:after="0" w:line="277" w:lineRule="auto"/>
        <w:tabs>
          <w:tab w:leader="none" w:pos="1800" w:val="left"/>
        </w:tabs>
        <w:numPr>
          <w:ilvl w:val="0"/>
          <w:numId w:val="21"/>
        </w:numPr>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our Quarterly Report on Form 10-Q for the quarter ended April 30, 2021, filed with the SEC on</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June 4, 2021;</w:t>
        </w:r>
      </w:hyperlink>
    </w:p>
    <w:p>
      <w:pPr>
        <w:spacing w:after="0" w:line="62" w:lineRule="exact"/>
        <w:rPr>
          <w:rFonts w:ascii="Arial" w:cs="Arial" w:eastAsia="Arial" w:hAnsi="Arial"/>
          <w:sz w:val="18"/>
          <w:szCs w:val="18"/>
          <w:u w:val="single" w:color="auto"/>
          <w:color w:val="0000EE"/>
        </w:rPr>
      </w:pPr>
    </w:p>
    <w:p>
      <w:pPr>
        <w:ind w:left="1800" w:hanging="180"/>
        <w:spacing w:after="0"/>
        <w:tabs>
          <w:tab w:leader="none" w:pos="1800" w:val="left"/>
        </w:tabs>
        <w:numPr>
          <w:ilvl w:val="0"/>
          <w:numId w:val="21"/>
        </w:numPr>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our Current Report on Form 8-K filed with the SEC on June 29, 2021;</w:t>
        </w:r>
      </w:hyperlink>
    </w:p>
    <w:p>
      <w:pPr>
        <w:spacing w:after="0" w:line="117" w:lineRule="exact"/>
        <w:rPr>
          <w:rFonts w:ascii="Arial" w:cs="Arial" w:eastAsia="Arial" w:hAnsi="Arial"/>
          <w:sz w:val="18"/>
          <w:szCs w:val="18"/>
          <w:u w:val="single" w:color="auto"/>
          <w:color w:val="0000EE"/>
        </w:rPr>
      </w:pPr>
    </w:p>
    <w:p>
      <w:pPr>
        <w:jc w:val="both"/>
        <w:ind w:left="1800" w:right="419" w:hanging="180"/>
        <w:spacing w:after="0" w:line="263" w:lineRule="auto"/>
        <w:tabs>
          <w:tab w:leader="none" w:pos="1800" w:val="left"/>
        </w:tabs>
        <w:numPr>
          <w:ilvl w:val="0"/>
          <w:numId w:val="21"/>
        </w:numPr>
        <w:rPr>
          <w:rFonts w:ascii="Arial" w:cs="Arial" w:eastAsia="Arial" w:hAnsi="Arial"/>
          <w:sz w:val="18"/>
          <w:szCs w:val="18"/>
          <w:color w:val="000000"/>
        </w:rPr>
      </w:pPr>
      <w:hyperlink r:id="rId52">
        <w:r>
          <w:rPr>
            <w:rFonts w:ascii="Arial" w:cs="Arial" w:eastAsia="Arial" w:hAnsi="Arial"/>
            <w:sz w:val="18"/>
            <w:szCs w:val="18"/>
            <w:color w:val="auto"/>
          </w:rPr>
          <w:t xml:space="preserve">the portions of our </w:t>
        </w:r>
        <w:r>
          <w:rPr>
            <w:rFonts w:ascii="Arial" w:cs="Arial" w:eastAsia="Arial" w:hAnsi="Arial"/>
            <w:sz w:val="18"/>
            <w:szCs w:val="18"/>
            <w:u w:val="single" w:color="auto"/>
            <w:color w:val="0000EE"/>
          </w:rPr>
          <w:t>Proxy Statement pursuant to Section 14(a) of the Exchange Act for our 2021</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EE"/>
          </w:rPr>
          <w:t>Annual Meeting of Stockholders, filed with the SEC on May 17, 2021,</w:t>
        </w:r>
        <w:r>
          <w:rPr>
            <w:rFonts w:ascii="Arial" w:cs="Arial" w:eastAsia="Arial" w:hAnsi="Arial"/>
            <w:sz w:val="18"/>
            <w:szCs w:val="18"/>
            <w:color w:val="0000EE"/>
          </w:rPr>
          <w:t xml:space="preserve"> </w:t>
        </w:r>
        <w:r>
          <w:rPr>
            <w:rFonts w:ascii="Arial" w:cs="Arial" w:eastAsia="Arial" w:hAnsi="Arial"/>
            <w:sz w:val="18"/>
            <w:szCs w:val="18"/>
            <w:color w:val="000000"/>
          </w:rPr>
          <w:t>that are incorporated by</w:t>
        </w:r>
      </w:hyperlink>
      <w:r>
        <w:rPr>
          <w:rFonts w:ascii="Arial" w:cs="Arial" w:eastAsia="Arial" w:hAnsi="Arial"/>
          <w:sz w:val="18"/>
          <w:szCs w:val="18"/>
          <w:color w:val="0000EE"/>
        </w:rPr>
        <w:t xml:space="preserve"> </w:t>
      </w:r>
      <w:r>
        <w:rPr>
          <w:rFonts w:ascii="Arial" w:cs="Arial" w:eastAsia="Arial" w:hAnsi="Arial"/>
          <w:sz w:val="18"/>
          <w:szCs w:val="18"/>
          <w:color w:val="000000"/>
        </w:rPr>
        <w:t xml:space="preserve">reference in our </w:t>
      </w:r>
      <w:hyperlink r:id="rId49">
        <w:r>
          <w:rPr>
            <w:rFonts w:ascii="Arial" w:cs="Arial" w:eastAsia="Arial" w:hAnsi="Arial"/>
            <w:sz w:val="18"/>
            <w:szCs w:val="18"/>
            <w:u w:val="single" w:color="auto"/>
            <w:color w:val="0000EE"/>
          </w:rPr>
          <w:t>Annual Report on Form 10-K for the fiscal year ended January 31, 2021</w:t>
        </w:r>
      </w:hyperlink>
      <w:r>
        <w:rPr>
          <w:rFonts w:ascii="Arial" w:cs="Arial" w:eastAsia="Arial" w:hAnsi="Arial"/>
          <w:sz w:val="18"/>
          <w:szCs w:val="18"/>
          <w:color w:val="000000"/>
        </w:rPr>
        <w:t>; and</w:t>
      </w:r>
    </w:p>
    <w:p>
      <w:pPr>
        <w:spacing w:after="0" w:line="75" w:lineRule="exact"/>
        <w:rPr>
          <w:rFonts w:ascii="Arial" w:cs="Arial" w:eastAsia="Arial" w:hAnsi="Arial"/>
          <w:sz w:val="18"/>
          <w:szCs w:val="18"/>
          <w:color w:val="000000"/>
        </w:rPr>
      </w:pPr>
    </w:p>
    <w:p>
      <w:pPr>
        <w:jc w:val="both"/>
        <w:ind w:left="1800" w:right="419" w:hanging="180"/>
        <w:spacing w:after="0" w:line="263" w:lineRule="auto"/>
        <w:tabs>
          <w:tab w:leader="none" w:pos="1800" w:val="left"/>
        </w:tabs>
        <w:numPr>
          <w:ilvl w:val="0"/>
          <w:numId w:val="21"/>
        </w:numPr>
        <w:rPr>
          <w:rFonts w:ascii="Arial" w:cs="Arial" w:eastAsia="Arial" w:hAnsi="Arial"/>
          <w:sz w:val="18"/>
          <w:szCs w:val="18"/>
          <w:color w:val="0000EE"/>
        </w:rPr>
      </w:pPr>
      <w:hyperlink r:id="rId53">
        <w:r>
          <w:rPr>
            <w:rFonts w:ascii="Arial" w:cs="Arial" w:eastAsia="Arial" w:hAnsi="Arial"/>
            <w:sz w:val="18"/>
            <w:szCs w:val="18"/>
            <w:color w:val="auto"/>
          </w:rPr>
          <w:t xml:space="preserve">the description of our Class A common stock set forth in our registration statement on </w:t>
        </w:r>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filed with the SEC on October 10, 2017</w:t>
        </w:r>
        <w:r>
          <w:rPr>
            <w:rFonts w:ascii="Arial" w:cs="Arial" w:eastAsia="Arial" w:hAnsi="Arial"/>
            <w:sz w:val="18"/>
            <w:szCs w:val="18"/>
            <w:color w:val="000000"/>
          </w:rPr>
          <w:t>, including any amendments thereto or reports filed for the</w:t>
        </w:r>
      </w:hyperlink>
      <w:r>
        <w:rPr>
          <w:rFonts w:ascii="Arial" w:cs="Arial" w:eastAsia="Arial" w:hAnsi="Arial"/>
          <w:sz w:val="18"/>
          <w:szCs w:val="18"/>
          <w:color w:val="0000EE"/>
        </w:rPr>
        <w:t xml:space="preserve"> </w:t>
      </w:r>
      <w:r>
        <w:rPr>
          <w:rFonts w:ascii="Arial" w:cs="Arial" w:eastAsia="Arial" w:hAnsi="Arial"/>
          <w:sz w:val="18"/>
          <w:szCs w:val="18"/>
          <w:color w:val="000000"/>
        </w:rPr>
        <w:t>purposes</w:t>
      </w:r>
    </w:p>
    <w:p>
      <w:pPr>
        <w:sectPr>
          <w:pgSz w:w="11900" w:h="16838" w:orient="portrait"/>
          <w:cols w:equalWidth="0" w:num="1">
            <w:col w:w="9879"/>
          </w:cols>
          <w:pgMar w:left="580" w:top="131" w:right="1440" w:bottom="1440" w:gutter="0" w:footer="0" w:header="0"/>
        </w:sectPr>
      </w:pPr>
    </w:p>
    <w:p>
      <w:pPr>
        <w:spacing w:after="0" w:line="400" w:lineRule="exact"/>
        <w:rPr>
          <w:rFonts w:ascii="Arial" w:cs="Arial" w:eastAsia="Arial" w:hAnsi="Arial"/>
          <w:sz w:val="18"/>
          <w:szCs w:val="18"/>
          <w:color w:val="auto"/>
        </w:rPr>
      </w:pPr>
    </w:p>
    <w:p>
      <w:pPr>
        <w:ind w:left="5160"/>
        <w:spacing w:after="0"/>
        <w:rPr>
          <w:sz w:val="20"/>
          <w:szCs w:val="20"/>
          <w:color w:val="auto"/>
        </w:rPr>
      </w:pPr>
      <w:r>
        <w:rPr>
          <w:rFonts w:ascii="Arial" w:cs="Arial" w:eastAsia="Arial" w:hAnsi="Arial"/>
          <w:sz w:val="17"/>
          <w:szCs w:val="17"/>
          <w:color w:val="auto"/>
        </w:rPr>
        <w:t>S-22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spacing w:after="0" w:line="277" w:lineRule="auto"/>
        <w:rPr>
          <w:rFonts w:ascii="Arial" w:cs="Arial" w:eastAsia="Arial" w:hAnsi="Arial"/>
          <w:sz w:val="18"/>
          <w:szCs w:val="18"/>
          <w:u w:val="single" w:color="auto"/>
          <w:color w:val="0000EE"/>
        </w:rPr>
      </w:pPr>
      <w:hyperlink r:id="rId55">
        <w:r>
          <w:rPr>
            <w:rFonts w:ascii="Arial" w:cs="Arial" w:eastAsia="Arial" w:hAnsi="Arial"/>
            <w:sz w:val="18"/>
            <w:szCs w:val="18"/>
            <w:color w:val="auto"/>
          </w:rPr>
          <w:t xml:space="preserve">of updating this description, including </w:t>
        </w:r>
        <w:r>
          <w:rPr>
            <w:rFonts w:ascii="Arial" w:cs="Arial" w:eastAsia="Arial" w:hAnsi="Arial"/>
            <w:sz w:val="18"/>
            <w:szCs w:val="18"/>
            <w:u w:val="single" w:color="auto"/>
            <w:color w:val="0000EE"/>
          </w:rPr>
          <w:t>Exhibit 4.7 to our Annual Report on Form 10-K filed with the</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SEC on March 22, 2021.</w:t>
        </w:r>
      </w:hyperlink>
    </w:p>
    <w:p>
      <w:pPr>
        <w:spacing w:after="0" w:line="89"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7"/>
          <w:szCs w:val="17"/>
          <w:color w:val="auto"/>
        </w:rPr>
        <w:t>We are not incorporating by reference any information furnished under items 2.02 or 7.01 (or corresponding information furnished under item 9.01 or included as an exhibit) in any past or future current report on Form 8-K that we may file or furnish with the SEC, unless otherwise specified in such current report or in such form or in a particular prospectus supplement. The documents listed above or subsequently filed by us pursuant to Sections 13(a), 13(c), 14 and 15(d) of the Exchange Act in each year during which the offering made pursuant to this prospectus supplement is in effect prior to the filing with the SEC of our Annual Report on Form 10-K covering such year shall cease to be incorporated by reference in this prospectus supplement from and after the filing of such Annual Reports.</w:t>
      </w:r>
    </w:p>
    <w:p>
      <w:pPr>
        <w:spacing w:after="0" w:line="111" w:lineRule="exact"/>
        <w:rPr>
          <w:sz w:val="20"/>
          <w:szCs w:val="20"/>
          <w:color w:val="auto"/>
        </w:rPr>
      </w:pPr>
    </w:p>
    <w:p>
      <w:pPr>
        <w:jc w:val="both"/>
        <w:ind w:left="1260" w:right="419"/>
        <w:spacing w:after="0" w:line="272" w:lineRule="auto"/>
        <w:rPr>
          <w:sz w:val="20"/>
          <w:szCs w:val="20"/>
          <w:color w:val="auto"/>
        </w:rPr>
      </w:pPr>
      <w:r>
        <w:rPr>
          <w:rFonts w:ascii="Arial" w:cs="Arial" w:eastAsia="Arial" w:hAnsi="Arial"/>
          <w:sz w:val="17"/>
          <w:szCs w:val="17"/>
          <w:color w:val="auto"/>
        </w:rPr>
        <w:t>Any statement contained herein shall be deemed to be modified or superseded for purposes of this prospectus supplement to the extent that a statement contained in any subsequently filed incorporated document modifies or supersedes such statement. Any statement contained in an incorporated document shall be deemed to be modified or superseded for purposes of this prospectus supplement to the extent that a statement contained herein or in any other subsequently filed incorporated document modifies or supersedes such statement. Any such statement so modified or superseded shall not be deemed, except as so modified or superseded, to constitute a part of this prospectus supplement.</w:t>
      </w:r>
    </w:p>
    <w:p>
      <w:pPr>
        <w:spacing w:after="0" w:line="110"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This prospectus supplement is part of a registration statement on Form S-3 filed with the SEC under the Securities Act. This prospectus supplement does not contain all of the information set forth in the registration statement. You should read the registration statement for further information about us.</w:t>
      </w:r>
    </w:p>
    <w:p>
      <w:pPr>
        <w:spacing w:after="0" w:line="103"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Documents incorporated by reference herein are available from us, without charge, excluding all exhibits unless specifically incorporated by reference in the documents. You may obtain documents incorporated by reference in this prospectus supplement by writing to us at the following address or by calling us at the telephone number listed below:</w:t>
      </w:r>
    </w:p>
    <w:p>
      <w:pPr>
        <w:spacing w:after="0" w:line="11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Attn: General Counsel</w:t>
      </w:r>
    </w:p>
    <w:p>
      <w:pPr>
        <w:jc w:val="center"/>
        <w:ind w:right="-800"/>
        <w:spacing w:after="0" w:line="215" w:lineRule="auto"/>
        <w:rPr>
          <w:sz w:val="20"/>
          <w:szCs w:val="20"/>
          <w:color w:val="auto"/>
        </w:rPr>
      </w:pPr>
      <w:r>
        <w:rPr>
          <w:rFonts w:ascii="Arial" w:cs="Arial" w:eastAsia="Arial" w:hAnsi="Arial"/>
          <w:sz w:val="18"/>
          <w:szCs w:val="18"/>
          <w:color w:val="auto"/>
        </w:rPr>
        <w:t>1633 Broadway</w:t>
      </w:r>
    </w:p>
    <w:p>
      <w:pPr>
        <w:jc w:val="center"/>
        <w:ind w:right="-800"/>
        <w:spacing w:after="0" w:line="217" w:lineRule="auto"/>
        <w:rPr>
          <w:sz w:val="20"/>
          <w:szCs w:val="20"/>
          <w:color w:val="auto"/>
        </w:rPr>
      </w:pPr>
      <w:r>
        <w:rPr>
          <w:rFonts w:ascii="Arial" w:cs="Arial" w:eastAsia="Arial" w:hAnsi="Arial"/>
          <w:sz w:val="18"/>
          <w:szCs w:val="18"/>
          <w:color w:val="auto"/>
        </w:rPr>
        <w:t>38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jc w:val="center"/>
        <w:ind w:right="-800"/>
        <w:spacing w:after="0"/>
        <w:rPr>
          <w:sz w:val="20"/>
          <w:szCs w:val="20"/>
          <w:color w:val="auto"/>
        </w:rPr>
      </w:pPr>
      <w:r>
        <w:rPr>
          <w:rFonts w:ascii="Arial" w:cs="Arial" w:eastAsia="Arial" w:hAnsi="Arial"/>
          <w:sz w:val="18"/>
          <w:szCs w:val="18"/>
          <w:color w:val="auto"/>
        </w:rPr>
        <w:t>New York, New York 10019</w:t>
      </w:r>
    </w:p>
    <w:p>
      <w:pPr>
        <w:spacing w:after="0" w:line="7"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(646) 727-4092</w:t>
      </w:r>
    </w:p>
    <w:p>
      <w:pPr>
        <w:spacing w:after="0" w:line="143"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on the front page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128905</wp:posOffset>
            </wp:positionV>
            <wp:extent cx="2717165" cy="7454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271716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860"/>
        <w:spacing w:after="0"/>
        <w:rPr>
          <w:sz w:val="20"/>
          <w:szCs w:val="20"/>
          <w:color w:val="auto"/>
        </w:rPr>
      </w:pPr>
      <w:r>
        <w:rPr>
          <w:rFonts w:ascii="Arial" w:cs="Arial" w:eastAsia="Arial" w:hAnsi="Arial"/>
          <w:sz w:val="32"/>
          <w:szCs w:val="32"/>
          <w:b w:val="1"/>
          <w:bCs w:val="1"/>
          <w:color w:val="auto"/>
        </w:rPr>
        <w:t>MongoDB, Inc.</w:t>
      </w:r>
    </w:p>
    <w:p>
      <w:pPr>
        <w:spacing w:after="0" w:line="109" w:lineRule="exact"/>
        <w:rPr>
          <w:sz w:val="20"/>
          <w:szCs w:val="20"/>
          <w:color w:val="auto"/>
        </w:rPr>
      </w:pPr>
    </w:p>
    <w:p>
      <w:pPr>
        <w:ind w:left="4160"/>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174625</wp:posOffset>
            </wp:positionV>
            <wp:extent cx="10972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We may, from time to time, offer and sell, on terms that we will determine at the time of the offering, shares of our Class A common stock described in this prospectus. This prospectus describes some of the general terms that may apply to an offering of our Class A common stock. Each time we sell Class A common stock pursuant to this prospectus, we will provide the specific terms of these offerings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and the documents incorporated by reference, before buying any of the Class A common stock being offered.</w:t>
      </w:r>
    </w:p>
    <w:p>
      <w:pPr>
        <w:spacing w:after="0" w:line="100" w:lineRule="exact"/>
        <w:rPr>
          <w:sz w:val="20"/>
          <w:szCs w:val="20"/>
          <w:color w:val="auto"/>
        </w:rPr>
      </w:pPr>
    </w:p>
    <w:p>
      <w:pPr>
        <w:jc w:val="both"/>
        <w:ind w:left="1260" w:right="419" w:firstLine="360"/>
        <w:spacing w:after="0" w:line="271" w:lineRule="auto"/>
        <w:rPr>
          <w:sz w:val="20"/>
          <w:szCs w:val="20"/>
          <w:color w:val="auto"/>
        </w:rPr>
      </w:pPr>
      <w:r>
        <w:rPr>
          <w:rFonts w:ascii="Arial" w:cs="Arial" w:eastAsia="Arial" w:hAnsi="Arial"/>
          <w:sz w:val="17"/>
          <w:szCs w:val="17"/>
          <w:color w:val="auto"/>
        </w:rPr>
        <w:t>We may sell the Class A common stock through underwriters or dealers, directly to purchasers, or through designated agents from time to time. For additional information on the methods of sale, you should refer to the section titled “Plan of Distribution” in this prospectus and any similar section in the applicable prospectus supplement. If any underwriters are involved in the sale of any shares of Class A common stock with respect to which this prospectus is being delivered, the names of such underwriters and any applicable discounts or commissions and options to purchase additional shares of Class A common stock will be listed in a prospectus supplement. The price to the public of such shares of Class A common stock and the net proceeds we expect to receive from such sale will also be listed in a prospectus supplement.</w:t>
      </w:r>
    </w:p>
    <w:p>
      <w:pPr>
        <w:spacing w:after="0" w:line="111"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Our Class A common stock is listed on The Nasdaq Global Market under the symbol “MDB.” On June 28, 2021, the last reported sale price of our Class A common stock was $389.23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194310</wp:posOffset>
            </wp:positionV>
            <wp:extent cx="10972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7"/>
          <w:szCs w:val="17"/>
          <w:b w:val="1"/>
          <w:bCs w:val="1"/>
          <w:color w:val="auto"/>
        </w:rPr>
        <w:t>Investing in our Class A common stock involves a high degree of risk. You should review carefully the risks and uncertainties described in the section titled “Risk Factors”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w:t>
      </w:r>
    </w:p>
    <w:p>
      <w:pPr>
        <w:spacing w:after="0" w:line="100" w:lineRule="exact"/>
        <w:rPr>
          <w:sz w:val="20"/>
          <w:szCs w:val="20"/>
          <w:color w:val="auto"/>
        </w:rPr>
      </w:pPr>
    </w:p>
    <w:p>
      <w:pPr>
        <w:jc w:val="both"/>
        <w:ind w:left="1260" w:right="419" w:firstLine="360"/>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accompanied by a prospectus supplement.</w:t>
      </w:r>
    </w:p>
    <w:p>
      <w:pPr>
        <w:spacing w:after="0" w:line="81" w:lineRule="exact"/>
        <w:rPr>
          <w:sz w:val="20"/>
          <w:szCs w:val="20"/>
          <w:color w:val="auto"/>
        </w:rPr>
      </w:pPr>
    </w:p>
    <w:p>
      <w:pPr>
        <w:jc w:val="both"/>
        <w:ind w:left="1260" w:right="39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6"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The date of this prospectus is June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1204595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20" w:type="dxa"/>
            <w:vAlign w:val="bottom"/>
            <w:gridSpan w:val="4"/>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66"/>
        </w:trPr>
        <w:tc>
          <w:tcPr>
            <w:tcW w:w="800" w:type="dxa"/>
            <w:vAlign w:val="bottom"/>
            <w:tcBorders>
              <w:bottom w:val="single" w:sz="8" w:color="CCEEFF"/>
            </w:tcBorders>
          </w:tcPr>
          <w:p>
            <w:pPr>
              <w:spacing w:after="0"/>
              <w:rPr>
                <w:sz w:val="5"/>
                <w:szCs w:val="5"/>
                <w:color w:val="auto"/>
              </w:rPr>
            </w:pPr>
          </w:p>
        </w:tc>
        <w:tc>
          <w:tcPr>
            <w:tcW w:w="5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3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r>
        <w:trPr>
          <w:trHeight w:val="298"/>
        </w:trPr>
        <w:tc>
          <w:tcPr>
            <w:tcW w:w="7880" w:type="dxa"/>
            <w:vAlign w:val="bottom"/>
            <w:gridSpan w:val="13"/>
            <w:shd w:val="clear" w:color="auto" w:fill="CCEEFF"/>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ABOUT THIS PROSPECTUS</w:t>
              </w:r>
            </w:hyperlink>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gridSpan w:val="2"/>
            <w:shd w:val="clear" w:color="auto" w:fill="CCEEFF"/>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ii</w:t>
              </w:r>
            </w:hyperlink>
          </w:p>
        </w:tc>
      </w:tr>
      <w:tr>
        <w:trPr>
          <w:trHeight w:val="257"/>
        </w:trPr>
        <w:tc>
          <w:tcPr>
            <w:tcW w:w="2300" w:type="dxa"/>
            <w:vAlign w:val="bottom"/>
            <w:tcBorders>
              <w:top w:val="single" w:sz="8" w:color="0000EE"/>
            </w:tcBorders>
            <w:gridSpan w:val="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PROSPECTUS SUMMARY</w:t>
              </w:r>
            </w:hyperlink>
          </w:p>
        </w:tc>
        <w:tc>
          <w:tcPr>
            <w:tcW w:w="5580" w:type="dxa"/>
            <w:vAlign w:val="bottom"/>
            <w:tcBorders>
              <w:top w:val="single" w:sz="8" w:color="CCEEFF"/>
            </w:tcBorders>
            <w:gridSpan w:val="6"/>
          </w:tcPr>
          <w:p>
            <w:pPr>
              <w:spacing w:after="0"/>
              <w:rPr>
                <w:sz w:val="22"/>
                <w:szCs w:val="22"/>
                <w:color w:val="auto"/>
              </w:rPr>
            </w:pPr>
          </w:p>
        </w:tc>
        <w:tc>
          <w:tcPr>
            <w:tcW w:w="160" w:type="dxa"/>
            <w:vAlign w:val="bottom"/>
            <w:tcBorders>
              <w:top w:val="single" w:sz="8" w:color="CCEEFF"/>
            </w:tcBorders>
            <w:gridSpan w:val="2"/>
          </w:tcPr>
          <w:p>
            <w:pPr>
              <w:spacing w:after="0"/>
              <w:rPr>
                <w:sz w:val="22"/>
                <w:szCs w:val="22"/>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1</w:t>
              </w:r>
            </w:hyperlink>
          </w:p>
        </w:tc>
        <w:tc>
          <w:tcPr>
            <w:tcW w:w="60" w:type="dxa"/>
            <w:vAlign w:val="bottom"/>
            <w:tcBorders>
              <w:top w:val="single" w:sz="8" w:color="CCEEFF"/>
            </w:tcBorders>
          </w:tcPr>
          <w:p>
            <w:pPr>
              <w:spacing w:after="0"/>
              <w:rPr>
                <w:sz w:val="22"/>
                <w:szCs w:val="22"/>
                <w:color w:val="auto"/>
              </w:rPr>
            </w:pPr>
          </w:p>
        </w:tc>
      </w:tr>
      <w:tr>
        <w:trPr>
          <w:trHeight w:val="48"/>
        </w:trPr>
        <w:tc>
          <w:tcPr>
            <w:tcW w:w="8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r>
      <w:tr>
        <w:trPr>
          <w:trHeight w:val="318"/>
        </w:trPr>
        <w:tc>
          <w:tcPr>
            <w:tcW w:w="130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RISK FACTORS</w:t>
              </w:r>
            </w:hyperlink>
          </w:p>
        </w:tc>
        <w:tc>
          <w:tcPr>
            <w:tcW w:w="6580" w:type="dxa"/>
            <w:vAlign w:val="bottom"/>
            <w:tcBorders>
              <w:bottom w:val="single" w:sz="8" w:color="CCEEFF"/>
            </w:tcBorders>
            <w:gridSpan w:val="11"/>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w:t>
              </w:r>
            </w:hyperlink>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7880" w:type="dxa"/>
            <w:vAlign w:val="bottom"/>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SPECIAL NOTE REGARDING FORWARD-LOOKING STATEMENTS</w:t>
              </w:r>
            </w:hyperlink>
          </w:p>
        </w:tc>
        <w:tc>
          <w:tcPr>
            <w:tcW w:w="26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4</w:t>
              </w:r>
            </w:hyperlink>
          </w:p>
        </w:tc>
        <w:tc>
          <w:tcPr>
            <w:tcW w:w="60" w:type="dxa"/>
            <w:vAlign w:val="bottom"/>
          </w:tcPr>
          <w:p>
            <w:pPr>
              <w:spacing w:after="0"/>
              <w:rPr>
                <w:sz w:val="23"/>
                <w:szCs w:val="23"/>
                <w:color w:val="auto"/>
              </w:rPr>
            </w:pPr>
          </w:p>
        </w:tc>
      </w:tr>
      <w:tr>
        <w:trPr>
          <w:trHeight w:val="48"/>
        </w:trPr>
        <w:tc>
          <w:tcPr>
            <w:tcW w:w="8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14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r>
      <w:tr>
        <w:trPr>
          <w:trHeight w:val="318"/>
        </w:trPr>
        <w:tc>
          <w:tcPr>
            <w:tcW w:w="164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USE OF PROCEEDS</w:t>
              </w:r>
            </w:hyperlink>
          </w:p>
        </w:tc>
        <w:tc>
          <w:tcPr>
            <w:tcW w:w="6240" w:type="dxa"/>
            <w:vAlign w:val="bottom"/>
            <w:tcBorders>
              <w:bottom w:val="single" w:sz="8" w:color="CCEEFF"/>
            </w:tcBorders>
            <w:gridSpan w:val="9"/>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6</w:t>
              </w:r>
            </w:hyperlink>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7880" w:type="dxa"/>
            <w:vAlign w:val="bottom"/>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SECURITIES WE MAY OFFER</w:t>
              </w:r>
            </w:hyperlink>
          </w:p>
        </w:tc>
        <w:tc>
          <w:tcPr>
            <w:tcW w:w="26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7</w:t>
              </w:r>
            </w:hyperlink>
          </w:p>
        </w:tc>
        <w:tc>
          <w:tcPr>
            <w:tcW w:w="60" w:type="dxa"/>
            <w:vAlign w:val="bottom"/>
          </w:tcPr>
          <w:p>
            <w:pPr>
              <w:spacing w:after="0"/>
              <w:rPr>
                <w:sz w:val="23"/>
                <w:szCs w:val="23"/>
                <w:color w:val="auto"/>
              </w:rPr>
            </w:pPr>
          </w:p>
        </w:tc>
      </w:tr>
      <w:tr>
        <w:trPr>
          <w:trHeight w:val="48"/>
        </w:trPr>
        <w:tc>
          <w:tcPr>
            <w:tcW w:w="8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r>
      <w:tr>
        <w:trPr>
          <w:trHeight w:val="270"/>
        </w:trPr>
        <w:tc>
          <w:tcPr>
            <w:tcW w:w="7880" w:type="dxa"/>
            <w:vAlign w:val="bottom"/>
            <w:gridSpan w:val="13"/>
            <w:shd w:val="clear" w:color="auto" w:fill="CCEEFF"/>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DESCRIPTION OF CAPITAL STOCK</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8</w:t>
              </w:r>
            </w:hyperlink>
          </w:p>
        </w:tc>
        <w:tc>
          <w:tcPr>
            <w:tcW w:w="60" w:type="dxa"/>
            <w:vAlign w:val="bottom"/>
            <w:shd w:val="clear" w:color="auto" w:fill="CCEEFF"/>
          </w:tcPr>
          <w:p>
            <w:pPr>
              <w:spacing w:after="0"/>
              <w:rPr>
                <w:sz w:val="23"/>
                <w:szCs w:val="23"/>
                <w:color w:val="auto"/>
              </w:rPr>
            </w:pPr>
          </w:p>
        </w:tc>
      </w:tr>
      <w:tr>
        <w:trPr>
          <w:trHeight w:val="48"/>
        </w:trPr>
        <w:tc>
          <w:tcPr>
            <w:tcW w:w="8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70"/>
        </w:trPr>
        <w:tc>
          <w:tcPr>
            <w:tcW w:w="2960" w:type="dxa"/>
            <w:vAlign w:val="bottom"/>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PLAN OF DISTRIBUTION</w:t>
              </w:r>
            </w:hyperlink>
          </w:p>
        </w:tc>
        <w:tc>
          <w:tcPr>
            <w:tcW w:w="4920" w:type="dxa"/>
            <w:vAlign w:val="bottom"/>
            <w:gridSpan w:val="4"/>
          </w:tcPr>
          <w:p>
            <w:pPr>
              <w:spacing w:after="0"/>
              <w:rPr>
                <w:sz w:val="23"/>
                <w:szCs w:val="23"/>
                <w:color w:val="auto"/>
              </w:rPr>
            </w:pPr>
          </w:p>
        </w:tc>
        <w:tc>
          <w:tcPr>
            <w:tcW w:w="26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12</w:t>
              </w:r>
            </w:hyperlink>
          </w:p>
        </w:tc>
        <w:tc>
          <w:tcPr>
            <w:tcW w:w="60" w:type="dxa"/>
            <w:vAlign w:val="bottom"/>
          </w:tcPr>
          <w:p>
            <w:pPr>
              <w:spacing w:after="0"/>
              <w:rPr>
                <w:sz w:val="23"/>
                <w:szCs w:val="23"/>
                <w:color w:val="auto"/>
              </w:rPr>
            </w:pPr>
          </w:p>
        </w:tc>
      </w:tr>
      <w:tr>
        <w:trPr>
          <w:trHeight w:val="48"/>
        </w:trPr>
        <w:tc>
          <w:tcPr>
            <w:tcW w:w="8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r>
      <w:tr>
        <w:trPr>
          <w:trHeight w:val="270"/>
        </w:trPr>
        <w:tc>
          <w:tcPr>
            <w:tcW w:w="1500" w:type="dxa"/>
            <w:vAlign w:val="bottom"/>
            <w:gridSpan w:val="3"/>
            <w:shd w:val="clear" w:color="auto" w:fill="CCEEFF"/>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LEGAL MATTERS</w:t>
              </w:r>
            </w:hyperlink>
          </w:p>
        </w:tc>
        <w:tc>
          <w:tcPr>
            <w:tcW w:w="6380" w:type="dxa"/>
            <w:vAlign w:val="bottom"/>
            <w:gridSpan w:val="10"/>
            <w:shd w:val="clear" w:color="auto" w:fill="CCEEFF"/>
          </w:tcPr>
          <w:p>
            <w:pPr>
              <w:spacing w:after="0"/>
              <w:rPr>
                <w:sz w:val="23"/>
                <w:szCs w:val="23"/>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14</w:t>
              </w:r>
            </w:hyperlink>
          </w:p>
        </w:tc>
        <w:tc>
          <w:tcPr>
            <w:tcW w:w="60" w:type="dxa"/>
            <w:vAlign w:val="bottom"/>
            <w:shd w:val="clear" w:color="auto" w:fill="CCEEFF"/>
          </w:tcPr>
          <w:p>
            <w:pPr>
              <w:spacing w:after="0"/>
              <w:rPr>
                <w:sz w:val="23"/>
                <w:szCs w:val="23"/>
                <w:color w:val="auto"/>
              </w:rPr>
            </w:pPr>
          </w:p>
        </w:tc>
      </w:tr>
      <w:tr>
        <w:trPr>
          <w:trHeight w:val="48"/>
        </w:trPr>
        <w:tc>
          <w:tcPr>
            <w:tcW w:w="8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70"/>
        </w:trPr>
        <w:tc>
          <w:tcPr>
            <w:tcW w:w="150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EXPERTS</w:t>
              </w:r>
            </w:hyperlink>
          </w:p>
        </w:tc>
        <w:tc>
          <w:tcPr>
            <w:tcW w:w="6380" w:type="dxa"/>
            <w:vAlign w:val="bottom"/>
            <w:gridSpan w:val="10"/>
          </w:tcPr>
          <w:p>
            <w:pPr>
              <w:spacing w:after="0"/>
              <w:rPr>
                <w:sz w:val="23"/>
                <w:szCs w:val="23"/>
                <w:color w:val="auto"/>
              </w:rPr>
            </w:pPr>
          </w:p>
        </w:tc>
        <w:tc>
          <w:tcPr>
            <w:tcW w:w="26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14</w:t>
              </w:r>
            </w:hyperlink>
          </w:p>
        </w:tc>
        <w:tc>
          <w:tcPr>
            <w:tcW w:w="60" w:type="dxa"/>
            <w:vAlign w:val="bottom"/>
          </w:tcPr>
          <w:p>
            <w:pPr>
              <w:spacing w:after="0"/>
              <w:rPr>
                <w:sz w:val="23"/>
                <w:szCs w:val="23"/>
                <w:color w:val="auto"/>
              </w:rPr>
            </w:pPr>
          </w:p>
        </w:tc>
      </w:tr>
      <w:tr>
        <w:trPr>
          <w:trHeight w:val="48"/>
        </w:trPr>
        <w:tc>
          <w:tcPr>
            <w:tcW w:w="80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r>
      <w:tr>
        <w:trPr>
          <w:trHeight w:val="270"/>
        </w:trPr>
        <w:tc>
          <w:tcPr>
            <w:tcW w:w="3940" w:type="dxa"/>
            <w:vAlign w:val="bottom"/>
            <w:gridSpan w:val="10"/>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WHERE YOU CAN FIND MORE INFORMATION</w:t>
              </w:r>
            </w:hyperlink>
          </w:p>
        </w:tc>
        <w:tc>
          <w:tcPr>
            <w:tcW w:w="3940" w:type="dxa"/>
            <w:vAlign w:val="bottom"/>
            <w:gridSpan w:val="3"/>
            <w:shd w:val="clear" w:color="auto" w:fill="CCEEFF"/>
          </w:tcPr>
          <w:p>
            <w:pPr>
              <w:spacing w:after="0"/>
              <w:rPr>
                <w:sz w:val="23"/>
                <w:szCs w:val="23"/>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14</w:t>
              </w:r>
            </w:hyperlink>
          </w:p>
        </w:tc>
        <w:tc>
          <w:tcPr>
            <w:tcW w:w="60" w:type="dxa"/>
            <w:vAlign w:val="bottom"/>
            <w:shd w:val="clear" w:color="auto" w:fill="CCEEFF"/>
          </w:tcPr>
          <w:p>
            <w:pPr>
              <w:spacing w:after="0"/>
              <w:rPr>
                <w:sz w:val="23"/>
                <w:szCs w:val="23"/>
                <w:color w:val="auto"/>
              </w:rPr>
            </w:pPr>
          </w:p>
        </w:tc>
      </w:tr>
      <w:tr>
        <w:trPr>
          <w:trHeight w:val="48"/>
        </w:trPr>
        <w:tc>
          <w:tcPr>
            <w:tcW w:w="8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70"/>
        </w:trPr>
        <w:tc>
          <w:tcPr>
            <w:tcW w:w="5360" w:type="dxa"/>
            <w:vAlign w:val="bottom"/>
            <w:gridSpan w:val="11"/>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INCORPORATION OF CERTAIN INFORMATION BY REFERENCE</w:t>
              </w:r>
            </w:hyperlink>
          </w:p>
        </w:tc>
        <w:tc>
          <w:tcPr>
            <w:tcW w:w="2520" w:type="dxa"/>
            <w:vAlign w:val="bottom"/>
            <w:gridSpan w:val="2"/>
          </w:tcPr>
          <w:p>
            <w:pPr>
              <w:spacing w:after="0"/>
              <w:rPr>
                <w:sz w:val="23"/>
                <w:szCs w:val="23"/>
                <w:color w:val="auto"/>
              </w:rPr>
            </w:pPr>
          </w:p>
        </w:tc>
        <w:tc>
          <w:tcPr>
            <w:tcW w:w="26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14</w:t>
              </w:r>
            </w:hyperlink>
          </w:p>
        </w:tc>
        <w:tc>
          <w:tcPr>
            <w:tcW w:w="60" w:type="dxa"/>
            <w:vAlign w:val="bottom"/>
          </w:tcPr>
          <w:p>
            <w:pPr>
              <w:spacing w:after="0"/>
              <w:rPr>
                <w:sz w:val="23"/>
                <w:szCs w:val="23"/>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-2528570</wp:posOffset>
            </wp:positionV>
            <wp:extent cx="50063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This prospectus is part of an automatic registration statement on Form S-3 that we filed with the Securities and Exchange Commission (“SEC”), using a “shelf” registration process as a “well-known seasoned issuer” as defined in Rule 405 under the Securities Act of 1933, as amended (the “Securities Act”). You should rely only on the information contained, or incorporated by reference, in this prospectus and any accompanying prospectus supplement, and any free writing prospectus we authorize for use in connection with the applicable offering. We have not authorized anyone to provide you with different information. If anyone provides you with different or inconsistent information, you should not rely on it. You should assume that the information in this prospectus, any accompanying prospectus supplement, the documents incorporated by reference herein or therein, and any free writing prospectus we have authorized for use in connection with the applicable offering is accurate or complete only as of their respective dates, regardless of the time of delivery of this prospectus, the accompanying prospectus supplement, and any authorized free writing prospectus. Our business, financial condition, results of operations, and prospects may have changed since those dates.</w:t>
      </w:r>
    </w:p>
    <w:p>
      <w:pPr>
        <w:spacing w:after="0" w:line="131"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In this prospectus, as permitted by law, we “incorporate by reference” information from other documents that we file with the SEC. This means that we can disclose important information to you by referring you to those documents. The information incorporated by reference is considered to be a part of this prospectus and any accompanying prospectus and should be read with the same care. When we update the information contained in documents that have been incorporated by reference by making future filings with the SEC, the information included or incorporated by reference in this prospectus is considered to be automatically updated and superseded. In case of a conflict or inconsistency between information contained in this prospectus and information in any accompanying prospectus supplement or incorporated by reference into this prospectus, you should rely on the information contained in the document that was filed later. See “Incorporation of Certain Information by Reference” in this prospectus.</w:t>
      </w:r>
    </w:p>
    <w:p>
      <w:pPr>
        <w:spacing w:after="0" w:line="118" w:lineRule="exact"/>
        <w:rPr>
          <w:sz w:val="20"/>
          <w:szCs w:val="20"/>
          <w:color w:val="auto"/>
        </w:rPr>
      </w:pPr>
    </w:p>
    <w:p>
      <w:pPr>
        <w:jc w:val="both"/>
        <w:ind w:left="1260" w:right="419" w:firstLine="360"/>
        <w:spacing w:after="0" w:line="272" w:lineRule="auto"/>
        <w:rPr>
          <w:sz w:val="20"/>
          <w:szCs w:val="20"/>
          <w:color w:val="auto"/>
        </w:rPr>
      </w:pPr>
      <w:r>
        <w:rPr>
          <w:rFonts w:ascii="Arial" w:cs="Arial" w:eastAsia="Arial" w:hAnsi="Arial"/>
          <w:sz w:val="17"/>
          <w:szCs w:val="17"/>
          <w:color w:val="auto"/>
        </w:rPr>
        <w:t>We have not authorized anyone to provide any information other than that included or incorporated by reference in this prospectus, in any prospectus supplement or in any free writing prospectus prepared by or on behalf of us or to which we have referred you. We take no responsibility for, and can provide no assurance as to the reliability of, any other information that others may give you. We are not making an offer of these securities in any state where the offer is not permitted. You should not assume that the information included or incorporated by reference in this prospectus or any prospectus supplement or in any such free writing prospectus is accurate as of any date other than their respective dates.</w:t>
      </w:r>
    </w:p>
    <w:p>
      <w:pPr>
        <w:spacing w:after="0" w:line="96"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w:t>
      </w:r>
    </w:p>
    <w:p>
      <w:pPr>
        <w:spacing w:after="0" w:line="119"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8"/>
          <w:szCs w:val="18"/>
          <w:color w:val="auto"/>
        </w:rPr>
        <w:t>Unless the context otherwise requires, the terms “MongoDB,” “the Company,” “we,” “us,” and “our” in this prospectus refer to MongoDB, Inc., its divisions and its subsidiaries. All information presented herein is based on our fiscal calendar. Unless otherwise stated, references to particular years, quarters, months or periods refer to the Company’s fiscal years ended January 31 and the associated quarters, months and periods of those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3534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5516245" cy="835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jc w:val="both"/>
        <w:ind w:left="1280" w:right="399" w:firstLine="360"/>
        <w:spacing w:after="0" w:line="253"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9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Company Overview</w:t>
      </w:r>
    </w:p>
    <w:p>
      <w:pPr>
        <w:spacing w:after="0" w:line="162" w:lineRule="exact"/>
        <w:rPr>
          <w:sz w:val="20"/>
          <w:szCs w:val="20"/>
          <w:color w:val="auto"/>
        </w:rPr>
      </w:pPr>
    </w:p>
    <w:p>
      <w:pPr>
        <w:jc w:val="both"/>
        <w:ind w:left="1280" w:right="399" w:firstLine="360"/>
        <w:spacing w:after="0" w:line="252" w:lineRule="auto"/>
        <w:rPr>
          <w:sz w:val="20"/>
          <w:szCs w:val="20"/>
          <w:color w:val="auto"/>
        </w:rPr>
      </w:pPr>
      <w:r>
        <w:rPr>
          <w:rFonts w:ascii="Arial" w:cs="Arial" w:eastAsia="Arial" w:hAnsi="Arial"/>
          <w:sz w:val="18"/>
          <w:szCs w:val="18"/>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Through our unique document-based architecture, we are able to address the needs of organizations for performance, scalability, flexibility and reliability while maintaining the strengths of legacy databases. Software applications are redefining how organizations across industries engage with their customers, operate their businesses and compete with each other. A database is at the heart of every software application. As a result, selecting a database is a highly strategic decision that directly affects developer productivity, application performance and organizational competitiveness. Our platform addresses the performance, scalability, flexibility and reliability demands of modern applications, while maintaining the strengths of legacy databases. Our business model combines the developer mindshare and adoption benefits of open source with the economic benefits of a proprietary software subscription business model. MongoDB is headquartered in New York City.</w:t>
      </w:r>
    </w:p>
    <w:p>
      <w:pPr>
        <w:spacing w:after="0" w:line="118" w:lineRule="exact"/>
        <w:rPr>
          <w:sz w:val="20"/>
          <w:szCs w:val="20"/>
          <w:color w:val="auto"/>
        </w:rPr>
      </w:pPr>
    </w:p>
    <w:p>
      <w:pPr>
        <w:jc w:val="both"/>
        <w:ind w:left="1280" w:right="399" w:firstLine="360"/>
        <w:spacing w:after="0" w:line="273" w:lineRule="auto"/>
        <w:rPr>
          <w:sz w:val="20"/>
          <w:szCs w:val="20"/>
          <w:color w:val="auto"/>
        </w:rPr>
      </w:pPr>
      <w:r>
        <w:rPr>
          <w:rFonts w:ascii="Arial" w:cs="Arial" w:eastAsia="Arial" w:hAnsi="Arial"/>
          <w:sz w:val="17"/>
          <w:szCs w:val="17"/>
          <w:color w:val="auto"/>
        </w:rPr>
        <w:t>We generate revenue primarily from sales of subscriptions. MongoDB Atlas is our hosted multi-cloud database-as-a-service (“DBaaS”) offering that includes comprehensive infrastructure and management, which we run and manage in the cloud. We have experienced strong growth in self-serve customers of MongoDB Atlas. These customers are charged monthly in arrears based on their usage. In addition, we have also seen growth in MongoDB Atlas customers sold by our sales force. These customers typically sign annual contracts and pay in advance or are invoiced monthly in arrears based on usage.</w:t>
      </w:r>
    </w:p>
    <w:p>
      <w:pPr>
        <w:spacing w:after="0" w:line="110" w:lineRule="exact"/>
        <w:rPr>
          <w:sz w:val="20"/>
          <w:szCs w:val="20"/>
          <w:color w:val="auto"/>
        </w:rPr>
      </w:pPr>
    </w:p>
    <w:p>
      <w:pPr>
        <w:jc w:val="both"/>
        <w:ind w:left="1280" w:right="399" w:firstLine="360"/>
        <w:spacing w:after="0" w:line="259" w:lineRule="auto"/>
        <w:rPr>
          <w:sz w:val="20"/>
          <w:szCs w:val="20"/>
          <w:color w:val="auto"/>
        </w:rPr>
      </w:pPr>
      <w:r>
        <w:rPr>
          <w:rFonts w:ascii="Arial" w:cs="Arial" w:eastAsia="Arial" w:hAnsi="Arial"/>
          <w:sz w:val="18"/>
          <w:szCs w:val="18"/>
          <w:color w:val="auto"/>
        </w:rPr>
        <w:t>MongoDB Enterprise Advanced is our proprietary commercial database server offering for enterprise customers that can run in the cloud, on-premise or in a hybrid environment, and includes our proprietary commercial database server, enterprise management capabilities, our graphical user interface, analytics integrations, technical support and a commercial license to our platform.</w:t>
      </w:r>
    </w:p>
    <w:p>
      <w:pPr>
        <w:spacing w:after="0" w:line="119" w:lineRule="exact"/>
        <w:rPr>
          <w:sz w:val="20"/>
          <w:szCs w:val="20"/>
          <w:color w:val="auto"/>
        </w:rPr>
      </w:pPr>
    </w:p>
    <w:p>
      <w:pPr>
        <w:jc w:val="both"/>
        <w:ind w:left="1280" w:right="399" w:firstLine="360"/>
        <w:spacing w:after="0" w:line="286" w:lineRule="auto"/>
        <w:rPr>
          <w:sz w:val="20"/>
          <w:szCs w:val="20"/>
          <w:color w:val="auto"/>
        </w:rPr>
      </w:pPr>
      <w:r>
        <w:rPr>
          <w:rFonts w:ascii="Arial" w:cs="Arial" w:eastAsia="Arial" w:hAnsi="Arial"/>
          <w:sz w:val="17"/>
          <w:szCs w:val="17"/>
          <w:color w:val="auto"/>
        </w:rPr>
        <w:t>We sell subscriptions directly through our field and inside sales teams, as well as indirectly through channel partners. The majority of our subscription contracts are one year in duration and are invoiced upfront. When we enter into multi-year subscriptions, we typically invoice the customer on an annual basis.</w:t>
      </w:r>
    </w:p>
    <w:p>
      <w:pPr>
        <w:spacing w:after="0" w:line="84" w:lineRule="exact"/>
        <w:rPr>
          <w:sz w:val="20"/>
          <w:szCs w:val="20"/>
          <w:color w:val="auto"/>
        </w:rPr>
      </w:pPr>
    </w:p>
    <w:p>
      <w:pPr>
        <w:jc w:val="both"/>
        <w:ind w:left="1280" w:right="399" w:firstLine="360"/>
        <w:spacing w:after="0" w:line="263" w:lineRule="auto"/>
        <w:rPr>
          <w:sz w:val="20"/>
          <w:szCs w:val="20"/>
          <w:color w:val="auto"/>
        </w:rPr>
      </w:pPr>
      <w:r>
        <w:rPr>
          <w:rFonts w:ascii="Arial" w:cs="Arial" w:eastAsia="Arial" w:hAnsi="Arial"/>
          <w:sz w:val="18"/>
          <w:szCs w:val="18"/>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w:t>
      </w:r>
    </w:p>
    <w:p>
      <w:pPr>
        <w:spacing w:after="0" w:line="116" w:lineRule="exact"/>
        <w:rPr>
          <w:sz w:val="20"/>
          <w:szCs w:val="20"/>
          <w:color w:val="auto"/>
        </w:rPr>
      </w:pPr>
    </w:p>
    <w:p>
      <w:pPr>
        <w:jc w:val="both"/>
        <w:ind w:left="1280" w:right="399" w:firstLine="360"/>
        <w:spacing w:after="0" w:line="254" w:lineRule="auto"/>
        <w:rPr>
          <w:sz w:val="20"/>
          <w:szCs w:val="20"/>
          <w:color w:val="auto"/>
        </w:rPr>
      </w:pPr>
      <w:r>
        <w:rPr>
          <w:rFonts w:ascii="Arial" w:cs="Arial" w:eastAsia="Arial" w:hAnsi="Arial"/>
          <w:sz w:val="18"/>
          <w:szCs w:val="18"/>
          <w:color w:val="auto"/>
        </w:rPr>
        <w:t>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pacing w:after="0" w:line="124" w:lineRule="exact"/>
        <w:rPr>
          <w:sz w:val="20"/>
          <w:szCs w:val="20"/>
          <w:color w:val="auto"/>
        </w:rPr>
      </w:pPr>
    </w:p>
    <w:p>
      <w:pPr>
        <w:jc w:val="both"/>
        <w:ind w:left="1280" w:right="399" w:firstLine="360"/>
        <w:spacing w:after="0" w:line="259" w:lineRule="auto"/>
        <w:rPr>
          <w:sz w:val="20"/>
          <w:szCs w:val="20"/>
          <w:color w:val="auto"/>
        </w:rPr>
      </w:pPr>
      <w:r>
        <w:rPr>
          <w:rFonts w:ascii="Arial" w:cs="Arial" w:eastAsia="Arial" w:hAnsi="Arial"/>
          <w:sz w:val="18"/>
          <w:szCs w:val="18"/>
          <w:color w:val="auto"/>
        </w:rPr>
        <w:t>We also generate revenue from services, which consist primarily of fees associated with consulting and training services. We expect to continue to invest in our services organization as we believe it plays an important role in accelerating our customers’ realization of the benefits of our platform, which helps drive customer retention and expansion.</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280" w:right="399" w:firstLine="360"/>
        <w:spacing w:after="0" w:line="254" w:lineRule="auto"/>
        <w:rPr>
          <w:sz w:val="20"/>
          <w:szCs w:val="20"/>
          <w:color w:val="auto"/>
        </w:rPr>
      </w:pPr>
      <w:r>
        <w:rPr>
          <w:rFonts w:ascii="Arial" w:cs="Arial" w:eastAsia="Arial" w:hAnsi="Arial"/>
          <w:sz w:val="18"/>
          <w:szCs w:val="18"/>
          <w:color w:val="auto"/>
        </w:rPr>
        <w:t>We believe the market for our offerings is large and growing. According to IDC, the worldwide database software market, which it refers to as the data management software market, is forecast to be $73 billion in 2021 growing to approximately $119 billion in 2025, representing a 13% compound annual growth rate. We have experienced rapid growth and have made substantial investments in developing our platform and expanding our sales and marketing footprint. We intend to continue to invest heavily to grow our business to take advantage of our market opportunity rather than optimizing for profitability or cash flow in the near term.</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jc w:val="both"/>
        <w:ind w:left="1280" w:right="399" w:firstLine="360"/>
        <w:spacing w:after="0" w:line="239" w:lineRule="auto"/>
        <w:rPr>
          <w:sz w:val="20"/>
          <w:szCs w:val="20"/>
          <w:color w:val="auto"/>
        </w:rPr>
      </w:pPr>
      <w:r>
        <w:rPr>
          <w:rFonts w:ascii="Arial" w:cs="Arial" w:eastAsia="Arial" w:hAnsi="Arial"/>
          <w:sz w:val="17"/>
          <w:szCs w:val="17"/>
          <w:color w:val="auto"/>
        </w:rPr>
        <w:t>MongoDB, Inc. was incorporated under the laws of the State of Delaware in November 2007, under the name 10Gen, Inc. We changed our name to MongoDB, Inc. on August 27, 2013. Our principal executive offices are located at 1633 Broadway, 38</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New York, New York 10019, and our telephone number is</w:t>
      </w:r>
    </w:p>
    <w:p>
      <w:pPr>
        <w:spacing w:after="0" w:line="2" w:lineRule="exact"/>
        <w:rPr>
          <w:sz w:val="20"/>
          <w:szCs w:val="20"/>
          <w:color w:val="auto"/>
        </w:rPr>
      </w:pPr>
    </w:p>
    <w:p>
      <w:pPr>
        <w:jc w:val="both"/>
        <w:ind w:left="1280" w:right="399" w:hanging="2"/>
        <w:spacing w:after="0" w:line="253" w:lineRule="auto"/>
        <w:tabs>
          <w:tab w:leader="none" w:pos="17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727-4092. Our website address is www.mongodb.com. Information contained on, or that can be accessed through, our website does not constitute part of this prospectus, and you should not consider any information contained on, or that can be accessed through, our website as part of this prospectus or in deciding whether to purchase our Class A common stock.</w:t>
      </w:r>
    </w:p>
    <w:p>
      <w:pPr>
        <w:spacing w:after="0" w:line="124" w:lineRule="exact"/>
        <w:rPr>
          <w:sz w:val="20"/>
          <w:szCs w:val="20"/>
          <w:color w:val="auto"/>
        </w:rPr>
      </w:pPr>
    </w:p>
    <w:p>
      <w:pPr>
        <w:jc w:val="both"/>
        <w:ind w:left="1280" w:right="399" w:firstLine="360"/>
        <w:spacing w:after="0" w:line="273" w:lineRule="auto"/>
        <w:rPr>
          <w:sz w:val="20"/>
          <w:szCs w:val="20"/>
          <w:color w:val="auto"/>
        </w:rPr>
      </w:pPr>
      <w:r>
        <w:rPr>
          <w:rFonts w:ascii="Arial" w:cs="Arial" w:eastAsia="Arial" w:hAnsi="Arial"/>
          <w:sz w:val="17"/>
          <w:szCs w:val="17"/>
          <w:color w:val="auto"/>
        </w:rPr>
        <w:t>“MongoDB” and the MongoDB leaf logo, and other trademarks or service marks of MongoDB, Inc. appearing in this prospectus are the property of MongoDB,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 names referred to in this prospectus may appear without the ® or ™ symbols.</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62" w:lineRule="exact"/>
        <w:rPr>
          <w:sz w:val="20"/>
          <w:szCs w:val="20"/>
          <w:color w:val="auto"/>
        </w:rPr>
      </w:pPr>
    </w:p>
    <w:p>
      <w:pPr>
        <w:jc w:val="both"/>
        <w:ind w:left="1280" w:right="399" w:firstLine="360"/>
        <w:spacing w:after="0" w:line="254" w:lineRule="auto"/>
        <w:rPr>
          <w:sz w:val="20"/>
          <w:szCs w:val="20"/>
          <w:color w:val="auto"/>
        </w:rPr>
      </w:pPr>
      <w:r>
        <w:rPr>
          <w:rFonts w:ascii="Arial" w:cs="Arial" w:eastAsia="Arial" w:hAnsi="Arial"/>
          <w:sz w:val="18"/>
          <w:szCs w:val="18"/>
          <w:color w:val="auto"/>
        </w:rPr>
        <w:t>An investment in our Class A common stock involves a high degree of risk. You should review carefully the risks and uncertainties described in the section titled “Risk Factors” in the applicable prospectus supplement and in any free writing prospectuses we have authorized for use in connection with a specific offering, and under similar headings in the documents that are incorporated by reference into this prospectus, including the sections titled “Risk Factors Summary” and “Risk Factors” included in our most recent Annual Report on Form 10-K, as updated by our subsequent Quarterly Reports on Form 10-Q and other filings we make with the SEC.</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Class A Common Stock</w:t>
      </w:r>
    </w:p>
    <w:p>
      <w:pPr>
        <w:spacing w:after="0" w:line="148" w:lineRule="exact"/>
        <w:rPr>
          <w:sz w:val="20"/>
          <w:szCs w:val="20"/>
          <w:color w:val="auto"/>
        </w:rPr>
      </w:pPr>
    </w:p>
    <w:p>
      <w:pPr>
        <w:jc w:val="both"/>
        <w:ind w:left="1280" w:right="399" w:firstLine="360"/>
        <w:spacing w:after="0" w:line="269" w:lineRule="auto"/>
        <w:rPr>
          <w:sz w:val="20"/>
          <w:szCs w:val="20"/>
          <w:color w:val="auto"/>
        </w:rPr>
      </w:pPr>
      <w:r>
        <w:rPr>
          <w:rFonts w:ascii="Arial" w:cs="Arial" w:eastAsia="Arial" w:hAnsi="Arial"/>
          <w:sz w:val="17"/>
          <w:szCs w:val="17"/>
          <w:color w:val="auto"/>
        </w:rPr>
        <w:t>From time to time, we may issue shares of our Class A common stock. The holders of our Class A common stock are entitled to one vote for each share held of record on all matters submitted to a vote of stockholders and do not have cumulative voting rights. Subject to preferences that may be applicable to any outstanding shares of preferred stock, the holders of our Class A common stock are entitled to receive ratably such dividends as may be declared by our board of directors out of legally available funds. Upon our liquidation, dissolution or winding up, holders of our Class A common stock are entitled to share ratably in all assets remaining after payment of liabilities and the liquidation preferences of any then outstanding shares of preferred stock. Our Class A common stock does not carry any preemptive rights enabling a holder to subscribe for, or receive shares of, any class of our common stock or any other securities convertible into shares of any class of our common stock, or any redemption rights.</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ind w:left="1280" w:right="399" w:firstLine="360"/>
        <w:spacing w:after="0" w:line="279" w:lineRule="auto"/>
        <w:rPr>
          <w:sz w:val="20"/>
          <w:szCs w:val="20"/>
          <w:color w:val="auto"/>
        </w:rPr>
      </w:pPr>
      <w:r>
        <w:rPr>
          <w:rFonts w:ascii="Arial" w:cs="Arial" w:eastAsia="Arial" w:hAnsi="Arial"/>
          <w:sz w:val="17"/>
          <w:szCs w:val="17"/>
          <w:color w:val="auto"/>
        </w:rPr>
        <w:t>Except as described in any applicable prospectus supplement or in any free writing prospectus we have authorized for use in connection with a specific offering, we currently intend to use the net proceeds from the sale of Class A common stock offered by us, if any, for general corporate purposes, including working capital and capital expenditures. See the section titled “Use of Proceeds” in this prospectus.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8"/>
          <w:szCs w:val="18"/>
          <w:color w:val="auto"/>
        </w:rPr>
        <w:t>Investing in our Class A common stock involves a high degree of risk. Before deciding whether to purchase our Class A common stock, you should consider carefully the risks and uncertainties discussed under the section titled “Risk Factors” contained in our most recent Annual Report on Form 10-K, as updated by our subsequent Quarterly Reports on Form 10-Q and other filings we make with the SEC, which are incorporated by reference into this prospectus in their entirety, together with other information in this prospectus and the documents incorporated by reference. The risks described in these documents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read carefully the section below titled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48"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7"/>
          <w:szCs w:val="17"/>
          <w:color w:val="auto"/>
        </w:rPr>
        <w:t>This prospectus, as well as the documents we have filed with the SEC that are incorporated by reference in this prospectus, contain forward-looking statements within the meaning of Section 27A of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prospectus supplement include, but are not limited to, statements about:</w:t>
      </w:r>
    </w:p>
    <w:p>
      <w:pPr>
        <w:spacing w:after="0" w:line="72" w:lineRule="exact"/>
        <w:rPr>
          <w:sz w:val="20"/>
          <w:szCs w:val="20"/>
          <w:color w:val="auto"/>
        </w:rPr>
      </w:pPr>
    </w:p>
    <w:p>
      <w:pPr>
        <w:ind w:left="1800" w:right="41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future operating and financial performance, ability to generate positive cash flow and ability to achieve and sustain profitability;</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successfully anticipate and satisfy customer demands, including through the introduction of new features, products or services and the provision of professional services;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expand our sales and marketing organization and to scale our business, including entering into new markets and managing our international expansion;</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the COVID-19 pandemic and any associated economic downturn on our future operating and financial performance;</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 and the impact of securities analysts’ reports on these prices;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continue to build and maintain credibility with the developer community;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and retain customers to use our products;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protect, enforce and enhance our intellectual property;</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growth and expansion of the market for database products and our ability to penetrate such market;</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the security of our software and adequately address privacy concerns;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accurately forecast our sales cycle and make changes to our pricing model;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form new and expand existing strategic partnerships;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attraction and retention of highly skilled and key personnel;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enhance our brand;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effectively manage our growth and future expenses and maintain our corporate culture;</w:t>
      </w:r>
    </w:p>
    <w:p>
      <w:pPr>
        <w:spacing w:after="0" w:line="115" w:lineRule="exact"/>
        <w:rPr>
          <w:rFonts w:ascii="Arial" w:cs="Arial" w:eastAsia="Arial" w:hAnsi="Arial"/>
          <w:sz w:val="17"/>
          <w:szCs w:val="17"/>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comply with modified or new laws and regulations applying to our business;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anticipated use of the net proceeds of this offering.</w:t>
      </w:r>
    </w:p>
    <w:p>
      <w:pPr>
        <w:spacing w:after="0" w:line="158"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103"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prospectus and the documents incorporated by reference herein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prospectus and the documents incorporated by reference herein.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supplement. We cannot assure you</w:t>
      </w:r>
    </w:p>
    <w:p>
      <w:pPr>
        <w:sectPr>
          <w:pgSz w:w="11900" w:h="16838" w:orient="portrait"/>
          <w:cols w:equalWidth="0" w:num="1">
            <w:col w:w="9879"/>
          </w:cols>
          <w:pgMar w:left="580" w:top="131" w:right="1440" w:bottom="1440" w:gutter="0" w:footer="0" w:header="0"/>
        </w:sectPr>
      </w:pPr>
    </w:p>
    <w:p>
      <w:pPr>
        <w:spacing w:after="0" w:line="40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that the results, events and circumstances reflected in the forward-looking statements will be achieved or occur, and actual results, events or circumstances could differ materially from those described in the forward-looking statements.</w:t>
      </w:r>
    </w:p>
    <w:p>
      <w:pPr>
        <w:spacing w:after="0" w:line="103"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We intend to continue to evaluate and consider potential strategic transactions, and such acquisitions may include the issuance of our Class A common stock as consideration, resulting in dilution to existing stockholders. Our forward-looking statements do not reflect the potential impact of any future acquisitions, mergers, dispositions, joint ventures or investments we may make.</w:t>
      </w:r>
    </w:p>
    <w:p>
      <w:pPr>
        <w:spacing w:after="0" w:line="119" w:lineRule="exact"/>
        <w:rPr>
          <w:sz w:val="20"/>
          <w:szCs w:val="20"/>
          <w:color w:val="auto"/>
        </w:rPr>
      </w:pPr>
    </w:p>
    <w:p>
      <w:pPr>
        <w:jc w:val="both"/>
        <w:ind w:left="1260" w:right="419" w:firstLine="360"/>
        <w:spacing w:after="0" w:line="279"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04"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w:t>
      </w:r>
    </w:p>
    <w:p>
      <w:pPr>
        <w:spacing w:after="0" w:line="111"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securities under this prospectus for general corporate purposes, including working capital and capital expenditures. We have not determined the amount of net proceeds to be used specifically for such purposes. As a result, management will retain broad discretion over the allocation of net proceeds. We will set forth in the applicable prospectus supplement our intended use for the net proceeds received from the sale of 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SECURITIES WE MAY OFFER</w:t>
      </w:r>
    </w:p>
    <w:p>
      <w:pPr>
        <w:spacing w:after="0" w:line="148"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This prospectus contains a summary description of the securities we may offer from time to time. The summary descriptions are not meant to be complete descriptions of each security. The particular terms of any securities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As of the date of this prospectus, our authorized capital stock consists of shares, all with a par value of $0.001 per share, of which:</w:t>
      </w:r>
    </w:p>
    <w:p>
      <w:pPr>
        <w:spacing w:after="0" w:line="63" w:lineRule="exact"/>
        <w:rPr>
          <w:sz w:val="20"/>
          <w:szCs w:val="20"/>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1,000,000,000 shares are designated as Class A common stock;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100,000,000 shares are designated as preferred stock.</w:t>
      </w:r>
    </w:p>
    <w:p>
      <w:pPr>
        <w:spacing w:after="0" w:line="144"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Our board of directors may establish the rights and preferences of the preferred stock from time to time.</w:t>
      </w:r>
    </w:p>
    <w:p>
      <w:pPr>
        <w:spacing w:after="0" w:line="103"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7"/>
          <w:szCs w:val="17"/>
          <w:color w:val="auto"/>
        </w:rPr>
        <w:t>A description of the material terms and provisions of our amended and restated certificate of incorporation, as amended by the certificate of retirement dated June 16, 2020, and amended and restated bylaws affecting the rights of holders of our capital stock is set forth below. The description is intended as a summary, and is qualified in its entirety by reference to our amended and restated certificate of incorporation, as amended by the certificate of retirement, and our amended and restated bylaws, each of which are incorporated by reference into the registration statement of which this prospectus is a part.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A Common Stock</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Voting Rights</w:t>
      </w:r>
    </w:p>
    <w:p>
      <w:pPr>
        <w:spacing w:after="0" w:line="158" w:lineRule="exact"/>
        <w:rPr>
          <w:sz w:val="20"/>
          <w:szCs w:val="20"/>
          <w:color w:val="auto"/>
        </w:rPr>
      </w:pPr>
    </w:p>
    <w:p>
      <w:pPr>
        <w:jc w:val="both"/>
        <w:ind w:left="1260" w:right="419" w:firstLine="360"/>
        <w:spacing w:after="0" w:line="257" w:lineRule="auto"/>
        <w:rPr>
          <w:sz w:val="20"/>
          <w:szCs w:val="20"/>
          <w:color w:val="auto"/>
        </w:rPr>
      </w:pPr>
      <w:r>
        <w:rPr>
          <w:rFonts w:ascii="Arial" w:cs="Arial" w:eastAsia="Arial" w:hAnsi="Arial"/>
          <w:sz w:val="17"/>
          <w:szCs w:val="17"/>
          <w:color w:val="auto"/>
        </w:rPr>
        <w:t>Each holder of our Class A common stock is entitled to one vote for each share on all matters submitted to a vote of the stockholders, including the election of directors. Under our amended and restated certificate of incorporation, as amended by the certificate of retirement dated June 16, 2020, and our amended and restated bylaws, our stockholders do not have cumulative voting rights. Because of this, the holders of a majority of the shares of our Class A common stock entitled to vote in any election of directors are able to elect all of the directors standing for election, if they should so choose.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Dividends</w:t>
      </w:r>
    </w:p>
    <w:p>
      <w:pPr>
        <w:spacing w:after="0" w:line="144"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Class A common stock are entitled to receive ratably those dividends, if any, as may be declared from time to time by our board of directors out of legally available funds.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Liquidation</w:t>
      </w:r>
    </w:p>
    <w:p>
      <w:pPr>
        <w:spacing w:after="0" w:line="158"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In the event of our liquidation, dissolution or winding up, holders of our Class A common stock will be entitled to share ratably in the net assets legally available for distribution to our stockholders after the payment of all of our debts and other liabilities and the satisfaction of any liquidation preference granted to the holders of any then-outstanding shares of our preferred stock.</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Rights and Preferences</w:t>
      </w:r>
    </w:p>
    <w:p>
      <w:pPr>
        <w:spacing w:after="0" w:line="158" w:lineRule="exact"/>
        <w:rPr>
          <w:sz w:val="20"/>
          <w:szCs w:val="20"/>
          <w:color w:val="auto"/>
        </w:rPr>
      </w:pPr>
    </w:p>
    <w:p>
      <w:pPr>
        <w:jc w:val="both"/>
        <w:ind w:left="1260" w:right="419" w:firstLine="360"/>
        <w:spacing w:after="0" w:line="262" w:lineRule="auto"/>
        <w:rPr>
          <w:sz w:val="20"/>
          <w:szCs w:val="20"/>
          <w:color w:val="auto"/>
        </w:rPr>
      </w:pPr>
      <w:r>
        <w:rPr>
          <w:rFonts w:ascii="Arial" w:cs="Arial" w:eastAsia="Arial" w:hAnsi="Arial"/>
          <w:sz w:val="17"/>
          <w:szCs w:val="17"/>
          <w:color w:val="auto"/>
        </w:rPr>
        <w:t>Holders of our Class A common stock have no preemptive, conversion or subscription rights and there are no redemption or sinking fund provisions applicable to the common stock. The rights, preferences and privileges of the holders of our Class A common stock are subject to, and may be adversely affected by, the rights of the holders of shares of any series of preferred stock that we may designate in the future.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Fully Paid and Non-Assessable</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All of the outstanding shares of our Class A common stock are fully paid and non-assessable.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Pursuant to our amended and restated certificate of incorporation, our board of directors has the authority, without further action by the stockholders, to designate and issue up to 100,000,000 shares of preferred stock in one or more series, to establish from time to time the number of shares to be included in</w:t>
      </w:r>
    </w:p>
    <w:p>
      <w:pPr>
        <w:sectPr>
          <w:pgSz w:w="11900" w:h="16838" w:orient="portrait"/>
          <w:cols w:equalWidth="0" w:num="1">
            <w:col w:w="9879"/>
          </w:cols>
          <w:pgMar w:left="580" w:top="132" w:right="1440" w:bottom="1440" w:gutter="0" w:footer="0" w:header="0"/>
        </w:sectPr>
      </w:pPr>
    </w:p>
    <w:p>
      <w:pPr>
        <w:spacing w:after="0" w:line="38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41" w:lineRule="auto"/>
        <w:rPr>
          <w:sz w:val="20"/>
          <w:szCs w:val="20"/>
          <w:color w:val="auto"/>
        </w:rPr>
      </w:pPr>
      <w:r>
        <w:rPr>
          <w:rFonts w:ascii="Arial" w:cs="Arial" w:eastAsia="Arial" w:hAnsi="Arial"/>
          <w:sz w:val="18"/>
          <w:szCs w:val="18"/>
          <w:color w:val="auto"/>
        </w:rPr>
        <w:t>each such series, to fix the designations, powers, preferences, privileges and relative participating, optional or special rights and the qualifications, limitations or restrictions thereof, including dividend rights, conversion rights, voting rights, terms of redemption and liquidation preferences, any or all of which may be greater than the rights of the common stock, and to increase or decrease the number of shares of any such series, but not below the number of shares of such series then outstanding.</w:t>
      </w:r>
    </w:p>
    <w:p>
      <w:pPr>
        <w:spacing w:after="0" w:line="108"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and may adversely affect the market price of our common stock and the voting and other rights of the holders of our common stock. It is not possible to state the actual effect of the issuance of any shares of preferred stock on the rights of holders of our common stock until our board of directors determines the specific rights attached to that preferred stock.</w:t>
      </w:r>
    </w:p>
    <w:p>
      <w:pPr>
        <w:spacing w:after="0" w:line="121" w:lineRule="exact"/>
        <w:rPr>
          <w:sz w:val="20"/>
          <w:szCs w:val="20"/>
          <w:color w:val="auto"/>
        </w:rPr>
      </w:pPr>
    </w:p>
    <w:p>
      <w:pPr>
        <w:jc w:val="both"/>
        <w:ind w:left="1260" w:right="419" w:firstLine="360"/>
        <w:spacing w:after="0" w:line="239" w:lineRule="auto"/>
        <w:rPr>
          <w:sz w:val="20"/>
          <w:szCs w:val="20"/>
          <w:color w:val="auto"/>
        </w:rPr>
      </w:pPr>
      <w:r>
        <w:rPr>
          <w:rFonts w:ascii="Arial" w:cs="Arial" w:eastAsia="Arial" w:hAnsi="Arial"/>
          <w:sz w:val="18"/>
          <w:szCs w:val="18"/>
          <w:color w:val="auto"/>
        </w:rPr>
        <w:t>The General Corporation Law of the State of Delaware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7"/>
          <w:szCs w:val="17"/>
          <w:color w:val="auto"/>
        </w:rPr>
        <w:t>A holder of our Class A common stock is entitled to certain rights with respect to registration of such shares under the Securities Act of 1933, or the Securities Act, pursuant to the terms of an investors’ rights agreement. These shares are collectively referred to herein as registrable securities. The investors’ rights agreement provides the holder of registrable securities with demand, piggyback and Form S-3 registration rights. We will pay all expenses relating to any demand, piggyback or Form S-3 registration, other than underwriting discounts and commissions, subject to specified conditions and limitations. The registration rights will terminate upon the earlier to occur of the date that is five years following the closing of our initial public offering and the date on which the stockholder holding registrable securities is able to sell all of its shares during a 90-day period pursuant to Rule 144 under the Securities Act.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Anti-Takeover Statute</w:t>
      </w:r>
    </w:p>
    <w:p>
      <w:pPr>
        <w:spacing w:after="0" w:line="144"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We are subject to Section 203 of the Delaware General Corporation Law,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80" w:lineRule="exact"/>
        <w:rPr>
          <w:sz w:val="20"/>
          <w:szCs w:val="20"/>
          <w:color w:val="auto"/>
        </w:rPr>
      </w:pPr>
    </w:p>
    <w:p>
      <w:pPr>
        <w:ind w:left="1800" w:right="419" w:hanging="180"/>
        <w:spacing w:after="0" w:line="308"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before such date, the board of directors of the corporation approved either the business combination or the transaction that resulted in the stockholder becoming an interested stockholder;</w:t>
      </w:r>
    </w:p>
    <w:p>
      <w:pPr>
        <w:spacing w:after="0" w:line="24" w:lineRule="exact"/>
        <w:rPr>
          <w:rFonts w:ascii="Arial" w:cs="Arial" w:eastAsia="Arial" w:hAnsi="Arial"/>
          <w:sz w:val="17"/>
          <w:szCs w:val="17"/>
          <w:color w:val="auto"/>
        </w:rPr>
      </w:pPr>
    </w:p>
    <w:p>
      <w:pPr>
        <w:jc w:val="both"/>
        <w:ind w:left="1800" w:right="419" w:hanging="180"/>
        <w:spacing w:after="0" w:line="254"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86" w:lineRule="exact"/>
        <w:rPr>
          <w:rFonts w:ascii="Arial" w:cs="Arial" w:eastAsia="Arial" w:hAnsi="Arial"/>
          <w:sz w:val="18"/>
          <w:szCs w:val="18"/>
          <w:color w:val="auto"/>
        </w:rPr>
      </w:pPr>
    </w:p>
    <w:p>
      <w:pPr>
        <w:jc w:val="both"/>
        <w:ind w:left="1800" w:right="419" w:hanging="180"/>
        <w:spacing w:after="0" w:line="259"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17" w:lineRule="exact"/>
        <w:rPr>
          <w:sz w:val="20"/>
          <w:szCs w:val="20"/>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89"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89"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7" w:lineRule="exact"/>
        <w:rPr>
          <w:sz w:val="20"/>
          <w:szCs w:val="20"/>
          <w:color w:val="auto"/>
        </w:rPr>
      </w:pPr>
    </w:p>
    <w:p>
      <w:pPr>
        <w:ind w:left="1260" w:right="539"/>
        <w:spacing w:after="0" w:line="277" w:lineRule="auto"/>
        <w:rPr>
          <w:sz w:val="20"/>
          <w:szCs w:val="20"/>
          <w:color w:val="auto"/>
        </w:rPr>
      </w:pPr>
      <w:r>
        <w:rPr>
          <w:rFonts w:ascii="Arial" w:cs="Arial" w:eastAsia="Arial" w:hAnsi="Arial"/>
          <w:sz w:val="18"/>
          <w:szCs w:val="18"/>
          <w:i w:val="1"/>
          <w:iCs w:val="1"/>
          <w:color w:val="auto"/>
        </w:rPr>
        <w:t>Anti-Takeover Effects of Certain Provisions of Our Amended and Restated Certificate of Incorporation and Amended and Restated Bylaws</w:t>
      </w:r>
    </w:p>
    <w:p>
      <w:pPr>
        <w:spacing w:after="0" w:line="103" w:lineRule="exact"/>
        <w:rPr>
          <w:sz w:val="20"/>
          <w:szCs w:val="20"/>
          <w:color w:val="auto"/>
        </w:rPr>
      </w:pPr>
    </w:p>
    <w:p>
      <w:pPr>
        <w:jc w:val="both"/>
        <w:ind w:left="1260" w:right="419" w:firstLine="360"/>
        <w:spacing w:after="0" w:line="279" w:lineRule="auto"/>
        <w:rPr>
          <w:sz w:val="20"/>
          <w:szCs w:val="20"/>
          <w:color w:val="auto"/>
        </w:rPr>
      </w:pPr>
      <w:r>
        <w:rPr>
          <w:rFonts w:ascii="Arial" w:cs="Arial" w:eastAsia="Arial" w:hAnsi="Arial"/>
          <w:sz w:val="17"/>
          <w:szCs w:val="17"/>
          <w:color w:val="auto"/>
        </w:rPr>
        <w:t>Our amended and restated certificate of incorporation provides for a board of directors comprised of three classes of directors, with each class serving a three-year term beginning and ending in different years than those of the other two classes. Only one class of directors will be elected at each annual meeting of stockholders, with the other classes continuing for the remainder of their respective three-year terms.</w:t>
      </w:r>
    </w:p>
    <w:p>
      <w:pPr>
        <w:spacing w:after="0" w:line="104"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Because our stockholders do not have cumulative voting rights, stockholders holding a majority of the voting power of the Class A common stock will be able to elect all of our directors.</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Our amended and restated certificate of incorporation and amended and restated bylaws also provide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that:</w:t>
      </w:r>
    </w:p>
    <w:p>
      <w:pPr>
        <w:spacing w:after="0" w:line="116" w:lineRule="exact"/>
        <w:rPr>
          <w:sz w:val="20"/>
          <w:szCs w:val="20"/>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the board of directors;</w:t>
      </w:r>
    </w:p>
    <w:p>
      <w:pPr>
        <w:spacing w:after="0" w:line="130"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vacancies and newly created directorships on the board of directors may be filled by a majority vote of the directors then serving on the board, even though less than a quorum, except as otherwise required by law or determined by the board;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stockholder action may be taken at a duly called meeting of stockholders; and</w:t>
      </w:r>
    </w:p>
    <w:p>
      <w:pPr>
        <w:spacing w:after="0" w:line="130"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special meeting of stockholders may be called by a majority of our whole board of directors, the chair of our board of directors, or our chief executive officer.</w:t>
      </w:r>
    </w:p>
    <w:p>
      <w:pPr>
        <w:spacing w:after="0" w:line="89"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The combination of these provisions will make it more difficult for another party to obtain control of us by replacing our board of directors. Since our board of directors has the power to retain and discharge our officers, these provisions could also make it more difficult for another party to effect a change in management.</w:t>
      </w:r>
    </w:p>
    <w:p>
      <w:pPr>
        <w:spacing w:after="0" w:line="119" w:lineRule="exact"/>
        <w:rPr>
          <w:sz w:val="20"/>
          <w:szCs w:val="20"/>
          <w:color w:val="auto"/>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Choice of Forum</w:t>
      </w:r>
    </w:p>
    <w:p>
      <w:pPr>
        <w:spacing w:after="0" w:line="148" w:lineRule="exact"/>
        <w:rPr>
          <w:sz w:val="20"/>
          <w:szCs w:val="20"/>
          <w:color w:val="auto"/>
        </w:rPr>
      </w:pPr>
    </w:p>
    <w:p>
      <w:pPr>
        <w:jc w:val="both"/>
        <w:ind w:left="1260" w:right="419" w:firstLine="360"/>
        <w:spacing w:after="0" w:line="274"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exclusive forum for: (i) any derivative action or proceeding brought on our behalf;</w:t>
      </w:r>
    </w:p>
    <w:p>
      <w:pPr>
        <w:jc w:val="both"/>
        <w:ind w:left="1260" w:right="419"/>
        <w:spacing w:after="0" w:line="252" w:lineRule="auto"/>
        <w:tabs>
          <w:tab w:leader="none" w:pos="15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asserting a breach of fiduciary duty; (iii) any action asserting a claim against us arising under the Delaware General Corporation Law; (iv) any action regarding our amended and restated certificate of incorporation or amended and restated bylaws; or (v) any action asserting a claim against us that is governed by the internal affairs doctrine. Several lawsuits have been filed in Delaware challenging the enforceability of similar choice of forum provisions, and it is possible that a court could determine such provisions are not enforceable.</w:t>
      </w:r>
    </w:p>
    <w:p>
      <w:pPr>
        <w:spacing w:after="0" w:line="126"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62" w:lineRule="exact"/>
        <w:rPr>
          <w:sz w:val="20"/>
          <w:szCs w:val="20"/>
          <w:color w:val="auto"/>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The transfer agent and registrar for our Class A common stock is American Stock Transfer &amp; Trust Company, LLC. The transfer agent’s address is 6201 15th Avenue, Brooklyn, NY 11219.</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Class A common stock is listed on the Nasdaq Global Market under the symbol “MDB.”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We may sell shares of Class A common stock from time to time pursuant to underwritten public offerings, “at-the-market” offerings, negotiated transactions, block trades, or a combination of these methods, or through any other methods described in a prospectus supplement. We may sell the Class A common stock to or through one or more underwriters or dealers (acting as principal or agent), through agents, directly to one or more purchasers, or as otherwise described in a prospectus supplement. We may distribute securities from time to time in one or more transactions:</w:t>
      </w:r>
    </w:p>
    <w:p>
      <w:pPr>
        <w:spacing w:after="0" w:line="81" w:lineRule="exact"/>
        <w:rPr>
          <w:sz w:val="20"/>
          <w:szCs w:val="20"/>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58"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74" w:lineRule="exact"/>
        <w:rPr>
          <w:sz w:val="20"/>
          <w:szCs w:val="20"/>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 or names of the underwriters, dealers, or agents, if any;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 or names of the selling securityholders, if any;</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purchase price of the securities or other consideration therefor, and the proceeds, if any, we will receive from the sale;</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options to purchase additional shares or other options under which underwriters may purchase additional securities from us or any selling securityholders;</w:t>
      </w:r>
    </w:p>
    <w:p>
      <w:pPr>
        <w:spacing w:after="0" w:line="48"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144"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22" w:lineRule="exact"/>
        <w:rPr>
          <w:sz w:val="20"/>
          <w:szCs w:val="20"/>
          <w:color w:val="auto"/>
        </w:rPr>
      </w:pPr>
    </w:p>
    <w:p>
      <w:pPr>
        <w:jc w:val="both"/>
        <w:ind w:left="1260" w:right="419" w:firstLine="360"/>
        <w:spacing w:after="0" w:line="252" w:lineRule="auto"/>
        <w:rPr>
          <w:sz w:val="20"/>
          <w:szCs w:val="20"/>
          <w:color w:val="auto"/>
        </w:rPr>
      </w:pPr>
      <w:r>
        <w:rPr>
          <w:rFonts w:ascii="Arial" w:cs="Arial" w:eastAsia="Arial" w:hAnsi="Arial"/>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spacing w:after="0" w:line="116"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We may use underwriters, dealers, or agents with whom we have a material relationship. We will describe in the prospectus supplement, naming the underwriter, dealer, or agent, the nature of any such relationship.</w:t>
      </w:r>
    </w:p>
    <w:p>
      <w:pPr>
        <w:spacing w:after="0" w:line="101"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payable to the agent in the</w:t>
      </w:r>
    </w:p>
    <w:p>
      <w:pPr>
        <w:sectPr>
          <w:pgSz w:w="11900" w:h="16838" w:orient="portrait"/>
          <w:cols w:equalWidth="0" w:num="1">
            <w:col w:w="9879"/>
          </w:cols>
          <w:pgMar w:left="580" w:top="132" w:right="1440" w:bottom="1440" w:gutter="0" w:footer="0" w:header="0"/>
        </w:sectPr>
      </w:pP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color w:val="auto"/>
        </w:rPr>
        <w:t>prospectus supplement. Unless the prospectus supplement states otherwise, the agent will act on a best-efforts basis for the period of its appointment.</w:t>
      </w:r>
    </w:p>
    <w:p>
      <w:pPr>
        <w:spacing w:after="0" w:line="89" w:lineRule="exact"/>
        <w:rPr>
          <w:sz w:val="20"/>
          <w:szCs w:val="20"/>
          <w:color w:val="auto"/>
        </w:rPr>
      </w:pPr>
    </w:p>
    <w:p>
      <w:pPr>
        <w:jc w:val="both"/>
        <w:ind w:left="1260" w:right="419" w:firstLine="360"/>
        <w:spacing w:after="0" w:line="279" w:lineRule="auto"/>
        <w:rPr>
          <w:sz w:val="20"/>
          <w:szCs w:val="20"/>
          <w:color w:val="auto"/>
        </w:rPr>
      </w:pPr>
      <w:r>
        <w:rPr>
          <w:rFonts w:ascii="Arial" w:cs="Arial" w:eastAsia="Arial" w:hAnsi="Arial"/>
          <w:sz w:val="17"/>
          <w:szCs w:val="17"/>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w:t>
      </w:r>
    </w:p>
    <w:p>
      <w:pPr>
        <w:spacing w:after="0" w:line="104"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14" w:lineRule="exact"/>
        <w:rPr>
          <w:sz w:val="20"/>
          <w:szCs w:val="20"/>
          <w:color w:val="auto"/>
        </w:rPr>
      </w:pPr>
    </w:p>
    <w:p>
      <w:pPr>
        <w:jc w:val="both"/>
        <w:ind w:left="1260" w:right="419" w:firstLine="360"/>
        <w:spacing w:after="0" w:line="269" w:lineRule="auto"/>
        <w:rPr>
          <w:sz w:val="20"/>
          <w:szCs w:val="20"/>
          <w:color w:val="auto"/>
        </w:rPr>
      </w:pPr>
      <w:r>
        <w:rPr>
          <w:rFonts w:ascii="Arial" w:cs="Arial" w:eastAsia="Arial" w:hAnsi="Arial"/>
          <w:sz w:val="17"/>
          <w:szCs w:val="17"/>
          <w:color w:val="auto"/>
        </w:rPr>
        <w:t>Any underwriters that are qualified market makers on the Nasdaq Global Market may engage in passive market making transactions in the Class A common stock on the Nasdaq Global Market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Cooley LLP, New York, New York, will pass upon the validity of the shares of Class A common stock offered by this prospectus. Additional legal matters may be passed upon for any underwriters, dealers or agents by counsel that we will name in the applicable prospectus supplement.</w:t>
      </w:r>
    </w:p>
    <w:p>
      <w:pPr>
        <w:spacing w:after="0" w:line="18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January 31, 2021 have been so incorporated in reliance on the report of PricewaterhouseCoopers LLP, an independent registered public accounting firm, given on the authority of said firm as experts in auditing and accounting.</w:t>
      </w:r>
    </w:p>
    <w:p>
      <w:pPr>
        <w:spacing w:after="0" w:line="18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1260" w:right="419" w:firstLine="360"/>
        <w:spacing w:after="0" w:line="268" w:lineRule="auto"/>
        <w:rPr>
          <w:sz w:val="20"/>
          <w:szCs w:val="20"/>
          <w:color w:val="auto"/>
        </w:rPr>
      </w:pPr>
      <w:r>
        <w:rPr>
          <w:rFonts w:ascii="Arial" w:cs="Arial" w:eastAsia="Arial" w:hAnsi="Arial"/>
          <w:sz w:val="17"/>
          <w:szCs w:val="17"/>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the Investor Relations section of our website, which is located at investors.mongodb.com. These filings will be available as soon as reasonably practicable after we electronically file such material with, or furnish it to, the SEC.</w:t>
      </w:r>
    </w:p>
    <w:p>
      <w:pPr>
        <w:spacing w:after="0" w:line="103"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Our website address is www.mongodb.com. Information contained on or accessible through our website is not a part of this prospectus and is not incorporated by reference herein, and the inclusion of our website address in this prospectus is an inactive textual reference only.</w:t>
      </w:r>
    </w:p>
    <w:p>
      <w:pPr>
        <w:spacing w:after="0" w:line="180"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001-38240):</w:t>
      </w:r>
    </w:p>
    <w:p>
      <w:pPr>
        <w:spacing w:after="0" w:line="84" w:lineRule="exact"/>
        <w:rPr>
          <w:sz w:val="20"/>
          <w:szCs w:val="20"/>
          <w:color w:val="auto"/>
        </w:rPr>
      </w:pPr>
    </w:p>
    <w:p>
      <w:pPr>
        <w:ind w:left="1800" w:right="419" w:hanging="180"/>
        <w:spacing w:after="0" w:line="277" w:lineRule="auto"/>
        <w:tabs>
          <w:tab w:leader="none" w:pos="1800" w:val="left"/>
        </w:tabs>
        <w:numPr>
          <w:ilvl w:val="0"/>
          <w:numId w:val="31"/>
        </w:numPr>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our Annual Report on Form 10-K for the fiscal year ended January 31, 2021, filed with the SEC on</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March 22, 2021;</w:t>
        </w:r>
      </w:hyperlink>
    </w:p>
    <w:p>
      <w:pPr>
        <w:spacing w:after="0" w:line="75" w:lineRule="exact"/>
        <w:rPr>
          <w:rFonts w:ascii="Arial" w:cs="Arial" w:eastAsia="Arial" w:hAnsi="Arial"/>
          <w:sz w:val="18"/>
          <w:szCs w:val="18"/>
          <w:u w:val="single" w:color="auto"/>
          <w:color w:val="0000EE"/>
        </w:rPr>
      </w:pPr>
    </w:p>
    <w:p>
      <w:pPr>
        <w:ind w:left="1800" w:right="419" w:hanging="180"/>
        <w:spacing w:after="0" w:line="277" w:lineRule="auto"/>
        <w:tabs>
          <w:tab w:leader="none" w:pos="1800" w:val="left"/>
        </w:tabs>
        <w:numPr>
          <w:ilvl w:val="0"/>
          <w:numId w:val="31"/>
        </w:numPr>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our Quarterly Report on Form 10-Q for the quarter ended April 30, 2021, filed with the SEC on</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June 4, 2021;</w:t>
        </w:r>
      </w:hyperlink>
    </w:p>
    <w:p>
      <w:pPr>
        <w:spacing w:after="0" w:line="62" w:lineRule="exact"/>
        <w:rPr>
          <w:rFonts w:ascii="Arial" w:cs="Arial" w:eastAsia="Arial" w:hAnsi="Arial"/>
          <w:sz w:val="18"/>
          <w:szCs w:val="18"/>
          <w:u w:val="single" w:color="auto"/>
          <w:color w:val="0000EE"/>
        </w:rPr>
      </w:pPr>
    </w:p>
    <w:p>
      <w:pPr>
        <w:ind w:left="1800" w:hanging="180"/>
        <w:spacing w:after="0"/>
        <w:tabs>
          <w:tab w:leader="none" w:pos="1800" w:val="left"/>
        </w:tabs>
        <w:numPr>
          <w:ilvl w:val="0"/>
          <w:numId w:val="31"/>
        </w:numPr>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our Current Report on Form 8-K filed with the SEC on June 29, 2021;</w:t>
        </w:r>
      </w:hyperlink>
    </w:p>
    <w:p>
      <w:pPr>
        <w:spacing w:after="0" w:line="117" w:lineRule="exact"/>
        <w:rPr>
          <w:rFonts w:ascii="Arial" w:cs="Arial" w:eastAsia="Arial" w:hAnsi="Arial"/>
          <w:sz w:val="18"/>
          <w:szCs w:val="18"/>
          <w:u w:val="single" w:color="auto"/>
          <w:color w:val="0000EE"/>
        </w:rPr>
      </w:pPr>
    </w:p>
    <w:p>
      <w:pPr>
        <w:jc w:val="both"/>
        <w:ind w:left="1800" w:right="419" w:hanging="180"/>
        <w:spacing w:after="0" w:line="263" w:lineRule="auto"/>
        <w:tabs>
          <w:tab w:leader="none" w:pos="1800" w:val="left"/>
        </w:tabs>
        <w:numPr>
          <w:ilvl w:val="0"/>
          <w:numId w:val="31"/>
        </w:numPr>
        <w:rPr>
          <w:rFonts w:ascii="Arial" w:cs="Arial" w:eastAsia="Arial" w:hAnsi="Arial"/>
          <w:sz w:val="18"/>
          <w:szCs w:val="18"/>
          <w:color w:val="000000"/>
        </w:rPr>
      </w:pPr>
      <w:hyperlink r:id="rId81">
        <w:r>
          <w:rPr>
            <w:rFonts w:ascii="Arial" w:cs="Arial" w:eastAsia="Arial" w:hAnsi="Arial"/>
            <w:sz w:val="18"/>
            <w:szCs w:val="18"/>
            <w:color w:val="auto"/>
          </w:rPr>
          <w:t xml:space="preserve">the portions of our </w:t>
        </w:r>
        <w:r>
          <w:rPr>
            <w:rFonts w:ascii="Arial" w:cs="Arial" w:eastAsia="Arial" w:hAnsi="Arial"/>
            <w:sz w:val="18"/>
            <w:szCs w:val="18"/>
            <w:u w:val="single" w:color="auto"/>
            <w:color w:val="0000EE"/>
          </w:rPr>
          <w:t>Proxy Statement pursuant to Section 14(a) of the Exchange Act for our 2021</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EE"/>
          </w:rPr>
          <w:t>Annual Meeting of Stockholders, filed with the SEC on May 17, 2021</w:t>
        </w:r>
        <w:r>
          <w:rPr>
            <w:rFonts w:ascii="Arial" w:cs="Arial" w:eastAsia="Arial" w:hAnsi="Arial"/>
            <w:sz w:val="18"/>
            <w:szCs w:val="18"/>
            <w:color w:val="000000"/>
          </w:rPr>
          <w:t>, that are incorporated by</w:t>
        </w:r>
      </w:hyperlink>
      <w:r>
        <w:rPr>
          <w:rFonts w:ascii="Arial" w:cs="Arial" w:eastAsia="Arial" w:hAnsi="Arial"/>
          <w:sz w:val="18"/>
          <w:szCs w:val="18"/>
          <w:color w:val="0000EE"/>
        </w:rPr>
        <w:t xml:space="preserve"> </w:t>
      </w:r>
      <w:r>
        <w:rPr>
          <w:rFonts w:ascii="Arial" w:cs="Arial" w:eastAsia="Arial" w:hAnsi="Arial"/>
          <w:sz w:val="18"/>
          <w:szCs w:val="18"/>
          <w:color w:val="000000"/>
        </w:rPr>
        <w:t xml:space="preserve">reference in our </w:t>
      </w:r>
      <w:hyperlink r:id="rId79">
        <w:r>
          <w:rPr>
            <w:rFonts w:ascii="Arial" w:cs="Arial" w:eastAsia="Arial" w:hAnsi="Arial"/>
            <w:sz w:val="18"/>
            <w:szCs w:val="18"/>
            <w:u w:val="single" w:color="auto"/>
            <w:color w:val="0000EE"/>
          </w:rPr>
          <w:t>Annual Report on Form 10-K for the fiscal year ended January 31, 2021</w:t>
        </w:r>
      </w:hyperlink>
      <w:r>
        <w:rPr>
          <w:rFonts w:ascii="Arial" w:cs="Arial" w:eastAsia="Arial" w:hAnsi="Arial"/>
          <w:sz w:val="18"/>
          <w:szCs w:val="18"/>
          <w:color w:val="000000"/>
        </w:rPr>
        <w:t>; and</w:t>
      </w:r>
    </w:p>
    <w:p>
      <w:pPr>
        <w:spacing w:after="0" w:line="400" w:lineRule="exact"/>
        <w:rPr>
          <w:rFonts w:ascii="Arial" w:cs="Arial" w:eastAsia="Arial" w:hAnsi="Arial"/>
          <w:sz w:val="18"/>
          <w:szCs w:val="18"/>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419" w:hanging="180"/>
        <w:spacing w:after="0" w:line="259" w:lineRule="auto"/>
        <w:tabs>
          <w:tab w:leader="none" w:pos="1800" w:val="left"/>
        </w:tabs>
        <w:numPr>
          <w:ilvl w:val="0"/>
          <w:numId w:val="32"/>
        </w:numPr>
        <w:rPr>
          <w:rFonts w:ascii="Arial" w:cs="Arial" w:eastAsia="Arial" w:hAnsi="Arial"/>
          <w:sz w:val="18"/>
          <w:szCs w:val="18"/>
          <w:u w:val="single" w:color="auto"/>
          <w:color w:val="0000EE"/>
        </w:rPr>
      </w:pPr>
      <w:hyperlink r:id="rId83">
        <w:r>
          <w:rPr>
            <w:rFonts w:ascii="Arial" w:cs="Arial" w:eastAsia="Arial" w:hAnsi="Arial"/>
            <w:sz w:val="18"/>
            <w:szCs w:val="18"/>
            <w:color w:val="auto"/>
          </w:rPr>
          <w:t xml:space="preserve">the description of our Class A common stock set forth in our registration statement on </w:t>
        </w:r>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w:t>
      </w:r>
      <w:hyperlink r:id="rId83">
        <w:r>
          <w:rPr>
            <w:rFonts w:ascii="Arial" w:cs="Arial" w:eastAsia="Arial" w:hAnsi="Arial"/>
            <w:sz w:val="18"/>
            <w:szCs w:val="18"/>
            <w:u w:val="single" w:color="auto"/>
            <w:color w:val="0000EE"/>
          </w:rPr>
          <w:t>filed with the SEC on October 10, 2017</w:t>
        </w:r>
        <w:r>
          <w:rPr>
            <w:rFonts w:ascii="Arial" w:cs="Arial" w:eastAsia="Arial" w:hAnsi="Arial"/>
            <w:sz w:val="18"/>
            <w:szCs w:val="18"/>
            <w:color w:val="000000"/>
          </w:rPr>
          <w:t>, including any amendments thereto or reports filed for the</w:t>
        </w:r>
      </w:hyperlink>
      <w:r>
        <w:rPr>
          <w:rFonts w:ascii="Arial" w:cs="Arial" w:eastAsia="Arial" w:hAnsi="Arial"/>
          <w:sz w:val="18"/>
          <w:szCs w:val="18"/>
          <w:color w:val="0000EE"/>
        </w:rPr>
        <w:t xml:space="preserve"> </w:t>
      </w:r>
      <w:hyperlink r:id="rId84">
        <w:r>
          <w:rPr>
            <w:rFonts w:ascii="Arial" w:cs="Arial" w:eastAsia="Arial" w:hAnsi="Arial"/>
            <w:sz w:val="18"/>
            <w:szCs w:val="18"/>
            <w:color w:val="000000"/>
          </w:rPr>
          <w:t xml:space="preserve">purposes of updating this description, including </w:t>
        </w:r>
        <w:r>
          <w:rPr>
            <w:rFonts w:ascii="Arial" w:cs="Arial" w:eastAsia="Arial" w:hAnsi="Arial"/>
            <w:sz w:val="18"/>
            <w:szCs w:val="18"/>
            <w:u w:val="single" w:color="auto"/>
            <w:color w:val="0000EE"/>
          </w:rPr>
          <w:t>Exhibit 4.7 to our Annual Report on Form 10-K filed</w:t>
        </w:r>
      </w:hyperlink>
      <w:r>
        <w:rPr>
          <w:rFonts w:ascii="Arial" w:cs="Arial" w:eastAsia="Arial" w:hAnsi="Arial"/>
          <w:sz w:val="18"/>
          <w:szCs w:val="18"/>
          <w:color w:val="000000"/>
        </w:rPr>
        <w:t xml:space="preserve"> </w:t>
      </w:r>
      <w:hyperlink r:id="rId84">
        <w:r>
          <w:rPr>
            <w:rFonts w:ascii="Arial" w:cs="Arial" w:eastAsia="Arial" w:hAnsi="Arial"/>
            <w:sz w:val="18"/>
            <w:szCs w:val="18"/>
            <w:u w:val="single" w:color="auto"/>
            <w:color w:val="0000EE"/>
          </w:rPr>
          <w:t>with the SEC on March 22, 2021.</w:t>
        </w:r>
      </w:hyperlink>
    </w:p>
    <w:p>
      <w:pPr>
        <w:spacing w:after="0" w:line="106" w:lineRule="exact"/>
        <w:rPr>
          <w:rFonts w:ascii="Arial" w:cs="Arial" w:eastAsia="Arial" w:hAnsi="Arial"/>
          <w:sz w:val="18"/>
          <w:szCs w:val="18"/>
          <w:color w:val="0000EE"/>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All filings filed by us pursuant to the Exchange Act after the date of the initial filing of the registration statement of which this prospectus is a part effective upon filing shall be deemed to be incorporated by reference into this prospectus.</w:t>
      </w:r>
    </w:p>
    <w:p>
      <w:pPr>
        <w:spacing w:after="0" w:line="116" w:lineRule="exact"/>
        <w:rPr>
          <w:rFonts w:ascii="Arial" w:cs="Arial" w:eastAsia="Arial" w:hAnsi="Arial"/>
          <w:sz w:val="18"/>
          <w:szCs w:val="18"/>
          <w:color w:val="0000EE"/>
        </w:rPr>
      </w:pPr>
    </w:p>
    <w:p>
      <w:pPr>
        <w:jc w:val="both"/>
        <w:ind w:left="1260" w:right="419" w:firstLine="360"/>
        <w:spacing w:after="0" w:line="253" w:lineRule="auto"/>
        <w:rPr>
          <w:sz w:val="20"/>
          <w:szCs w:val="20"/>
          <w:color w:val="auto"/>
        </w:rPr>
      </w:pPr>
      <w:r>
        <w:rPr>
          <w:rFonts w:ascii="Arial" w:cs="Arial" w:eastAsia="Arial" w:hAnsi="Arial"/>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27" w:lineRule="exact"/>
        <w:rPr>
          <w:rFonts w:ascii="Arial" w:cs="Arial" w:eastAsia="Arial" w:hAnsi="Arial"/>
          <w:sz w:val="18"/>
          <w:szCs w:val="18"/>
          <w:color w:val="0000EE"/>
        </w:rPr>
      </w:pPr>
    </w:p>
    <w:p>
      <w:pPr>
        <w:jc w:val="both"/>
        <w:ind w:left="1260" w:right="419" w:firstLine="360"/>
        <w:spacing w:after="0" w:line="277" w:lineRule="auto"/>
        <w:rPr>
          <w:sz w:val="20"/>
          <w:szCs w:val="20"/>
          <w:color w:val="auto"/>
        </w:rPr>
      </w:pPr>
      <w:r>
        <w:rPr>
          <w:rFonts w:ascii="Arial" w:cs="Arial" w:eastAsia="Arial" w:hAnsi="Arial"/>
          <w:sz w:val="18"/>
          <w:szCs w:val="18"/>
          <w:color w:val="auto"/>
        </w:rPr>
        <w:t>You can request a copy of these filings, at no cost, by writing or telephoning us at the following address or telephone number:</w:t>
      </w:r>
    </w:p>
    <w:p>
      <w:pPr>
        <w:spacing w:after="0" w:line="89" w:lineRule="exact"/>
        <w:rPr>
          <w:rFonts w:ascii="Arial" w:cs="Arial" w:eastAsia="Arial" w:hAnsi="Arial"/>
          <w:sz w:val="18"/>
          <w:szCs w:val="18"/>
          <w:color w:val="0000EE"/>
        </w:rPr>
      </w:pPr>
    </w:p>
    <w:p>
      <w:pPr>
        <w:jc w:val="center"/>
        <w:ind w:right="-800"/>
        <w:spacing w:after="0"/>
        <w:rPr>
          <w:sz w:val="20"/>
          <w:szCs w:val="20"/>
          <w:color w:val="auto"/>
        </w:rPr>
      </w:pPr>
      <w:r>
        <w:rPr>
          <w:rFonts w:ascii="Arial" w:cs="Arial" w:eastAsia="Arial" w:hAnsi="Arial"/>
          <w:sz w:val="18"/>
          <w:szCs w:val="18"/>
          <w:color w:val="auto"/>
        </w:rPr>
        <w:t>MongoDB, Inc.</w:t>
      </w:r>
    </w:p>
    <w:p>
      <w:pPr>
        <w:spacing w:after="0" w:line="23" w:lineRule="exact"/>
        <w:rPr>
          <w:rFonts w:ascii="Arial" w:cs="Arial" w:eastAsia="Arial" w:hAnsi="Arial"/>
          <w:sz w:val="18"/>
          <w:szCs w:val="18"/>
          <w:color w:val="0000EE"/>
        </w:rPr>
      </w:pPr>
    </w:p>
    <w:p>
      <w:pPr>
        <w:jc w:val="center"/>
        <w:ind w:right="-800"/>
        <w:spacing w:after="0"/>
        <w:rPr>
          <w:sz w:val="20"/>
          <w:szCs w:val="20"/>
          <w:color w:val="auto"/>
        </w:rPr>
      </w:pPr>
      <w:r>
        <w:rPr>
          <w:rFonts w:ascii="Arial" w:cs="Arial" w:eastAsia="Arial" w:hAnsi="Arial"/>
          <w:sz w:val="18"/>
          <w:szCs w:val="18"/>
          <w:color w:val="auto"/>
        </w:rPr>
        <w:t>Attn: General Counsel</w:t>
      </w:r>
    </w:p>
    <w:p>
      <w:pPr>
        <w:jc w:val="center"/>
        <w:ind w:right="-800"/>
        <w:spacing w:after="0" w:line="231" w:lineRule="auto"/>
        <w:rPr>
          <w:sz w:val="20"/>
          <w:szCs w:val="20"/>
          <w:color w:val="auto"/>
        </w:rPr>
      </w:pPr>
      <w:r>
        <w:rPr>
          <w:rFonts w:ascii="Arial" w:cs="Arial" w:eastAsia="Arial" w:hAnsi="Arial"/>
          <w:sz w:val="18"/>
          <w:szCs w:val="18"/>
          <w:color w:val="auto"/>
        </w:rPr>
        <w:t>1633 Broadway</w:t>
      </w:r>
    </w:p>
    <w:p>
      <w:pPr>
        <w:jc w:val="center"/>
        <w:ind w:right="-800"/>
        <w:spacing w:after="0" w:line="206" w:lineRule="auto"/>
        <w:rPr>
          <w:sz w:val="20"/>
          <w:szCs w:val="20"/>
          <w:color w:val="auto"/>
        </w:rPr>
      </w:pPr>
      <w:r>
        <w:rPr>
          <w:rFonts w:ascii="Arial" w:cs="Arial" w:eastAsia="Arial" w:hAnsi="Arial"/>
          <w:sz w:val="18"/>
          <w:szCs w:val="18"/>
          <w:color w:val="auto"/>
        </w:rPr>
        <w:t>38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jc w:val="center"/>
        <w:ind w:right="-800"/>
        <w:spacing w:after="0"/>
        <w:rPr>
          <w:sz w:val="20"/>
          <w:szCs w:val="20"/>
          <w:color w:val="auto"/>
        </w:rPr>
      </w:pPr>
      <w:r>
        <w:rPr>
          <w:rFonts w:ascii="Arial" w:cs="Arial" w:eastAsia="Arial" w:hAnsi="Arial"/>
          <w:sz w:val="18"/>
          <w:szCs w:val="18"/>
          <w:color w:val="auto"/>
        </w:rPr>
        <w:t>New York, New York 10019</w:t>
      </w:r>
    </w:p>
    <w:p>
      <w:pPr>
        <w:spacing w:after="0" w:line="7" w:lineRule="exact"/>
        <w:rPr>
          <w:rFonts w:ascii="Arial" w:cs="Arial" w:eastAsia="Arial" w:hAnsi="Arial"/>
          <w:sz w:val="18"/>
          <w:szCs w:val="18"/>
          <w:color w:val="0000EE"/>
        </w:rPr>
      </w:pPr>
    </w:p>
    <w:p>
      <w:pPr>
        <w:jc w:val="center"/>
        <w:ind w:right="-840"/>
        <w:spacing w:after="0"/>
        <w:rPr>
          <w:sz w:val="20"/>
          <w:szCs w:val="20"/>
          <w:color w:val="auto"/>
        </w:rPr>
      </w:pPr>
      <w:r>
        <w:rPr>
          <w:rFonts w:ascii="Arial" w:cs="Arial" w:eastAsia="Arial" w:hAnsi="Arial"/>
          <w:sz w:val="18"/>
          <w:szCs w:val="18"/>
          <w:color w:val="auto"/>
        </w:rPr>
        <w:t>(646) 727-4092</w:t>
      </w: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38" w:lineRule="exact"/>
        <w:rPr>
          <w:rFonts w:ascii="Arial" w:cs="Arial" w:eastAsia="Arial" w:hAnsi="Arial"/>
          <w:sz w:val="18"/>
          <w:szCs w:val="18"/>
          <w:color w:val="0000EE"/>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2,300,000 Shares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299720</wp:posOffset>
            </wp:positionV>
            <wp:extent cx="2717165" cy="7454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271716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MongoDB,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833120</wp:posOffset>
            </wp:positionV>
            <wp:extent cx="10972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229870</wp:posOffset>
            </wp:positionV>
            <wp:extent cx="10972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660" w:type="dxa"/>
            <w:vAlign w:val="bottom"/>
          </w:tcPr>
          <w:p>
            <w:pPr>
              <w:jc w:val="center"/>
              <w:ind w:right="2428"/>
              <w:spacing w:after="0"/>
              <w:rPr>
                <w:sz w:val="20"/>
                <w:szCs w:val="20"/>
                <w:color w:val="auto"/>
              </w:rPr>
            </w:pPr>
            <w:r>
              <w:rPr>
                <w:rFonts w:ascii="Arial" w:cs="Arial" w:eastAsia="Arial" w:hAnsi="Arial"/>
                <w:sz w:val="18"/>
                <w:szCs w:val="18"/>
                <w:i w:val="1"/>
                <w:iCs w:val="1"/>
                <w:color w:val="auto"/>
                <w:w w:val="95"/>
              </w:rPr>
              <w:t>Joint Book-Running Managers</w:t>
            </w:r>
          </w:p>
        </w:tc>
        <w:tc>
          <w:tcPr>
            <w:tcW w:w="1260" w:type="dxa"/>
            <w:vAlign w:val="bottom"/>
          </w:tcPr>
          <w:p>
            <w:pPr>
              <w:spacing w:after="0"/>
              <w:rPr>
                <w:sz w:val="20"/>
                <w:szCs w:val="20"/>
                <w:color w:val="auto"/>
              </w:rPr>
            </w:pPr>
          </w:p>
        </w:tc>
      </w:tr>
      <w:tr>
        <w:trPr>
          <w:trHeight w:val="528"/>
        </w:trPr>
        <w:tc>
          <w:tcPr>
            <w:tcW w:w="126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32"/>
                <w:szCs w:val="32"/>
                <w:b w:val="1"/>
                <w:bCs w:val="1"/>
                <w:i w:val="1"/>
                <w:iCs w:val="1"/>
                <w:color w:val="auto"/>
              </w:rPr>
              <w:t>Morgan Stanley</w:t>
            </w:r>
          </w:p>
        </w:tc>
        <w:tc>
          <w:tcPr>
            <w:tcW w:w="5660" w:type="dxa"/>
            <w:vAlign w:val="bottom"/>
          </w:tcPr>
          <w:p>
            <w:pPr>
              <w:ind w:left="1340"/>
              <w:spacing w:after="0"/>
              <w:rPr>
                <w:sz w:val="20"/>
                <w:szCs w:val="20"/>
                <w:color w:val="auto"/>
              </w:rPr>
            </w:pPr>
            <w:r>
              <w:rPr>
                <w:rFonts w:ascii="Arial" w:cs="Arial" w:eastAsia="Arial" w:hAnsi="Arial"/>
                <w:sz w:val="32"/>
                <w:szCs w:val="32"/>
                <w:b w:val="1"/>
                <w:bCs w:val="1"/>
                <w:i w:val="1"/>
                <w:iCs w:val="1"/>
                <w:color w:val="auto"/>
              </w:rPr>
              <w:t>Goldman Sachs &amp; Co. LLC</w:t>
            </w:r>
          </w:p>
        </w:tc>
        <w:tc>
          <w:tcPr>
            <w:tcW w:w="1260" w:type="dxa"/>
            <w:vAlign w:val="bottom"/>
          </w:tcPr>
          <w:p>
            <w:pPr>
              <w:spacing w:after="0"/>
              <w:rPr>
                <w:sz w:val="24"/>
                <w:szCs w:val="24"/>
                <w:color w:val="auto"/>
              </w:rPr>
            </w:pPr>
          </w:p>
        </w:tc>
      </w:tr>
      <w:tr>
        <w:trPr>
          <w:trHeight w:val="620"/>
        </w:trPr>
        <w:tc>
          <w:tcPr>
            <w:tcW w:w="1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60" w:type="dxa"/>
            <w:vAlign w:val="bottom"/>
          </w:tcPr>
          <w:p>
            <w:pPr>
              <w:jc w:val="center"/>
              <w:ind w:right="2428"/>
              <w:spacing w:after="0"/>
              <w:rPr>
                <w:sz w:val="20"/>
                <w:szCs w:val="20"/>
                <w:color w:val="auto"/>
              </w:rPr>
            </w:pPr>
            <w:r>
              <w:rPr>
                <w:rFonts w:ascii="Arial" w:cs="Arial" w:eastAsia="Arial" w:hAnsi="Arial"/>
                <w:sz w:val="18"/>
                <w:szCs w:val="18"/>
                <w:i w:val="1"/>
                <w:iCs w:val="1"/>
                <w:color w:val="auto"/>
                <w:w w:val="95"/>
              </w:rPr>
              <w:t>Co-Managers</w:t>
            </w:r>
          </w:p>
        </w:tc>
        <w:tc>
          <w:tcPr>
            <w:tcW w:w="1260" w:type="dxa"/>
            <w:vAlign w:val="bottom"/>
          </w:tcPr>
          <w:p>
            <w:pPr>
              <w:spacing w:after="0"/>
              <w:rPr>
                <w:sz w:val="24"/>
                <w:szCs w:val="24"/>
                <w:color w:val="auto"/>
              </w:rPr>
            </w:pPr>
          </w:p>
        </w:tc>
      </w:tr>
      <w:tr>
        <w:trPr>
          <w:trHeight w:val="424"/>
        </w:trPr>
        <w:tc>
          <w:tcPr>
            <w:tcW w:w="1260" w:type="dxa"/>
            <w:vAlign w:val="bottom"/>
          </w:tcPr>
          <w:p>
            <w:pPr>
              <w:spacing w:after="0"/>
              <w:rPr>
                <w:sz w:val="24"/>
                <w:szCs w:val="24"/>
                <w:color w:val="auto"/>
              </w:rPr>
            </w:pPr>
          </w:p>
        </w:tc>
        <w:tc>
          <w:tcPr>
            <w:tcW w:w="8200" w:type="dxa"/>
            <w:vAlign w:val="bottom"/>
            <w:gridSpan w:val="2"/>
          </w:tcPr>
          <w:p>
            <w:pPr>
              <w:jc w:val="center"/>
              <w:spacing w:after="0"/>
              <w:rPr>
                <w:sz w:val="20"/>
                <w:szCs w:val="20"/>
                <w:color w:val="auto"/>
              </w:rPr>
            </w:pPr>
            <w:r>
              <w:rPr>
                <w:rFonts w:ascii="Arial" w:cs="Arial" w:eastAsia="Arial" w:hAnsi="Arial"/>
                <w:sz w:val="22"/>
                <w:szCs w:val="22"/>
                <w:b w:val="1"/>
                <w:bCs w:val="1"/>
                <w:i w:val="1"/>
                <w:iCs w:val="1"/>
                <w:color w:val="auto"/>
                <w:w w:val="89"/>
              </w:rPr>
              <w:t>Siebert WilliamsGuzman &amp; CompanyTigress FinancialDrexel Hamilton</w:t>
            </w:r>
          </w:p>
        </w:tc>
        <w:tc>
          <w:tcPr>
            <w:tcW w:w="1260" w:type="dxa"/>
            <w:vAlign w:val="bottom"/>
          </w:tcPr>
          <w:p>
            <w:pPr>
              <w:spacing w:after="0"/>
              <w:rPr>
                <w:sz w:val="24"/>
                <w:szCs w:val="24"/>
                <w:color w:val="auto"/>
              </w:rPr>
            </w:pPr>
          </w:p>
        </w:tc>
      </w:tr>
      <w:tr>
        <w:trPr>
          <w:trHeight w:val="274"/>
        </w:trPr>
        <w:tc>
          <w:tcPr>
            <w:tcW w:w="1260" w:type="dxa"/>
            <w:vAlign w:val="bottom"/>
          </w:tcPr>
          <w:p>
            <w:pPr>
              <w:spacing w:after="0"/>
              <w:rPr>
                <w:sz w:val="23"/>
                <w:szCs w:val="23"/>
                <w:color w:val="auto"/>
              </w:rPr>
            </w:pPr>
          </w:p>
        </w:tc>
        <w:tc>
          <w:tcPr>
            <w:tcW w:w="2540" w:type="dxa"/>
            <w:vAlign w:val="bottom"/>
          </w:tcPr>
          <w:p>
            <w:pPr>
              <w:ind w:left="620"/>
              <w:spacing w:after="0"/>
              <w:rPr>
                <w:sz w:val="20"/>
                <w:szCs w:val="20"/>
                <w:color w:val="auto"/>
              </w:rPr>
            </w:pPr>
            <w:r>
              <w:rPr>
                <w:rFonts w:ascii="Arial" w:cs="Arial" w:eastAsia="Arial" w:hAnsi="Arial"/>
                <w:sz w:val="22"/>
                <w:szCs w:val="22"/>
                <w:b w:val="1"/>
                <w:bCs w:val="1"/>
                <w:i w:val="1"/>
                <w:iCs w:val="1"/>
                <w:color w:val="auto"/>
              </w:rPr>
              <w:t>Shank</w:t>
            </w:r>
          </w:p>
        </w:tc>
        <w:tc>
          <w:tcPr>
            <w:tcW w:w="5660" w:type="dxa"/>
            <w:vAlign w:val="bottom"/>
          </w:tcPr>
          <w:p>
            <w:pPr>
              <w:ind w:left="2360"/>
              <w:spacing w:after="0"/>
              <w:rPr>
                <w:sz w:val="20"/>
                <w:szCs w:val="20"/>
                <w:color w:val="auto"/>
              </w:rPr>
            </w:pPr>
            <w:r>
              <w:rPr>
                <w:rFonts w:ascii="Arial" w:cs="Arial" w:eastAsia="Arial" w:hAnsi="Arial"/>
                <w:sz w:val="22"/>
                <w:szCs w:val="22"/>
                <w:b w:val="1"/>
                <w:bCs w:val="1"/>
                <w:i w:val="1"/>
                <w:iCs w:val="1"/>
                <w:color w:val="auto"/>
              </w:rPr>
              <w:t>Partners</w:t>
            </w:r>
          </w:p>
        </w:tc>
        <w:tc>
          <w:tcPr>
            <w:tcW w:w="1260" w:type="dxa"/>
            <w:vAlign w:val="bottom"/>
          </w:tcPr>
          <w:p>
            <w:pPr>
              <w:spacing w:after="0"/>
              <w:rPr>
                <w:sz w:val="23"/>
                <w:szCs w:val="23"/>
                <w:color w:val="auto"/>
              </w:rPr>
            </w:pPr>
          </w:p>
        </w:tc>
      </w:tr>
      <w:tr>
        <w:trPr>
          <w:trHeight w:val="1286"/>
        </w:trPr>
        <w:tc>
          <w:tcPr>
            <w:tcW w:w="126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r>
      <w:tr>
        <w:trPr>
          <w:trHeight w:val="55"/>
        </w:trPr>
        <w:tc>
          <w:tcPr>
            <w:tcW w:w="1260" w:type="dxa"/>
            <w:vAlign w:val="bottom"/>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5660" w:type="dxa"/>
            <w:vAlign w:val="bottom"/>
            <w:tcBorders>
              <w:bottom w:val="single" w:sz="8" w:color="auto"/>
            </w:tcBorders>
          </w:tcPr>
          <w:p>
            <w:pPr>
              <w:spacing w:after="0"/>
              <w:rPr>
                <w:sz w:val="4"/>
                <w:szCs w:val="4"/>
                <w:color w:val="auto"/>
              </w:rPr>
            </w:pPr>
          </w:p>
        </w:tc>
        <w:tc>
          <w:tcPr>
            <w:tcW w:w="1260" w:type="dxa"/>
            <w:vAlign w:val="bottom"/>
          </w:tcPr>
          <w:p>
            <w:pPr>
              <w:spacing w:after="0"/>
              <w:rPr>
                <w:sz w:val="4"/>
                <w:szCs w:val="4"/>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0720"/>
      </w:cols>
      <w:pgMar w:left="580" w:top="132"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646"/>
    </w:lvl>
  </w:abstractNum>
  <w:abstractNum w:abstractNumId="5">
    <w:nsid w:val="7C83E458"/>
    <w:multiLevelType w:val="hybridMultilevel"/>
    <w:lvl w:ilvl="0">
      <w:lvlJc w:val="left"/>
      <w:lvlText w:val="•"/>
      <w:numFmt w:val="bullet"/>
      <w:start w:val="1"/>
    </w:lvl>
    <w:lvl w:ilvl="1">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lvl w:ilvl="1">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646"/>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lowerRoman"/>
      <w:start w:val="2"/>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4"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jpe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82"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jpe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49" Type="http://schemas.openxmlformats.org/officeDocument/2006/relationships/hyperlink" Target="https://www.sec.gov/ix?doc=/Archives/edgar/data/1441816/000144181621000051/mdb-20210131.htm" TargetMode="External"/><Relationship Id="rId50" Type="http://schemas.openxmlformats.org/officeDocument/2006/relationships/hyperlink" Target="https://www.sec.gov/ix?doc=/Archives/edgar/data/1441816/000144181621000095/mdb-20210430.htm" TargetMode="External"/><Relationship Id="rId51" Type="http://schemas.openxmlformats.org/officeDocument/2006/relationships/hyperlink" Target="http://www.sec.gov/ix?doc=/Archives/edgar/data/1441816/000144181621000125/mdb-20210629.htm" TargetMode="External"/><Relationship Id="rId52" Type="http://schemas.openxmlformats.org/officeDocument/2006/relationships/hyperlink" Target="https://www.sec.gov/Archives/edgar/data/1441816/000144181621000087/mdbdef14a2021proxy.htm" TargetMode="External"/><Relationship Id="rId53" Type="http://schemas.openxmlformats.org/officeDocument/2006/relationships/hyperlink" Target="https://www.sec.gov/Archives/edgar/data/1441816/000110465917061608/a17-23041_18a12b.htm" TargetMode="External"/><Relationship Id="rId55" Type="http://schemas.openxmlformats.org/officeDocument/2006/relationships/hyperlink" Target="https://www.sec.gov/Archives/edgar/data/1441816/000144181621000051/mdb-13121x10kxex47.htm" TargetMode="External"/><Relationship Id="rId79" Type="http://schemas.openxmlformats.org/officeDocument/2006/relationships/hyperlink" Target="http://www.sec.gov/ix?doc=/Archives/edgar/data/1441816/000144181621000051/mdb-20210131.htm" TargetMode="External"/><Relationship Id="rId80" Type="http://schemas.openxmlformats.org/officeDocument/2006/relationships/hyperlink" Target="http://www.sec.gov/ix?doc=/Archives/edgar/data/1441816/000144181621000095/mdb-20210430.htm" TargetMode="External"/><Relationship Id="rId81" Type="http://schemas.openxmlformats.org/officeDocument/2006/relationships/hyperlink" Target="http://www.sec.gov/Archives/edgar/data/1441816/000144181621000087/mdbdef14a2021proxy.htm" TargetMode="External"/><Relationship Id="rId83" Type="http://schemas.openxmlformats.org/officeDocument/2006/relationships/hyperlink" Target="http://www.sec.gov/Archives/edgar/data/1441816/000110465917061608/a17-23041_18a12b.htm" TargetMode="External"/><Relationship Id="rId84" Type="http://schemas.openxmlformats.org/officeDocument/2006/relationships/hyperlink" Target="http://www.sec.gov/Archives/edgar/data/1441816/000144181621000051/mdb-13121x10kx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2021-06-29T16:03:39Z</dcterms:created>
  <dcterms:modified xsi:type="dcterms:W3CDTF">2021-06-29T16:03:39Z</dcterms:modified>
</cp:coreProperties>
</file>