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9523178.xml.htm"/>
      <w:bookmarkStart w:id="1" w:name="kswkform4_17595231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Ittycheria Dev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204,129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310.38</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200,011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received upon the vesting of a portion of the performance-based restricted stock units ("PSUs") awarded to the Reporting Person on March 15, 2025 under the Issuer's long-term incentive bonus plan and 2016 Equity Incentive Plan, which vested based on the Issuer's satisfaction of certain performance criteria. In light of the performance-based vesting criteria of the PSUs, such shares were not previously reportable under Section 16. Each PSU represents the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Class A common stock withheld by the Issuer to satisfy tax withholding obligations for the Reporting Person due upon the vesting of PSUs and certain Restricted Stock Units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7383"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3801</Characters>
  <CharactersWithSpaces>4436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