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64"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As filed with the Securities and Exchange Commission on June 29, 2021</w:t>
      </w:r>
    </w:p>
    <w:p>
      <w:pPr>
        <w:spacing w:after="0" w:line="158" w:lineRule="exact"/>
        <w:rPr>
          <w:sz w:val="24"/>
          <w:szCs w:val="24"/>
          <w:color w:val="auto"/>
        </w:rPr>
      </w:pPr>
    </w:p>
    <w:p>
      <w:pPr>
        <w:jc w:val="right"/>
        <w:ind w:right="5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51435</wp:posOffset>
            </wp:positionV>
            <wp:extent cx="618934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2603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111760</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353" w:lineRule="exact"/>
        <w:rPr>
          <w:sz w:val="24"/>
          <w:szCs w:val="24"/>
          <w:color w:val="auto"/>
        </w:rPr>
      </w:pPr>
    </w:p>
    <w:p>
      <w:pPr>
        <w:jc w:val="center"/>
        <w:ind w:right="-439"/>
        <w:spacing w:after="0"/>
        <w:rPr>
          <w:sz w:val="20"/>
          <w:szCs w:val="20"/>
          <w:color w:val="auto"/>
        </w:rPr>
      </w:pPr>
      <w:r>
        <w:rPr>
          <w:rFonts w:ascii="Arial" w:cs="Arial" w:eastAsia="Arial" w:hAnsi="Arial"/>
          <w:sz w:val="29"/>
          <w:szCs w:val="29"/>
          <w:b w:val="1"/>
          <w:bCs w:val="1"/>
          <w:color w:val="auto"/>
        </w:rPr>
        <w:t>UNITED STATES</w:t>
      </w:r>
    </w:p>
    <w:p>
      <w:pPr>
        <w:spacing w:after="0" w:line="9" w:lineRule="exact"/>
        <w:rPr>
          <w:sz w:val="24"/>
          <w:szCs w:val="24"/>
          <w:color w:val="auto"/>
        </w:rPr>
      </w:pPr>
    </w:p>
    <w:p>
      <w:pPr>
        <w:jc w:val="center"/>
        <w:ind w:right="-439"/>
        <w:spacing w:after="0"/>
        <w:rPr>
          <w:sz w:val="20"/>
          <w:szCs w:val="20"/>
          <w:color w:val="auto"/>
        </w:rPr>
      </w:pPr>
      <w:r>
        <w:rPr>
          <w:rFonts w:ascii="Arial" w:cs="Arial" w:eastAsia="Arial" w:hAnsi="Arial"/>
          <w:sz w:val="29"/>
          <w:szCs w:val="29"/>
          <w:b w:val="1"/>
          <w:bCs w:val="1"/>
          <w:color w:val="auto"/>
        </w:rPr>
        <w:t>SECURITIES AND EXCHANGE COMMISSION</w:t>
      </w:r>
    </w:p>
    <w:p>
      <w:pPr>
        <w:spacing w:after="0" w:line="26"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154305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6" w:lineRule="exact"/>
        <w:rPr>
          <w:sz w:val="24"/>
          <w:szCs w:val="24"/>
          <w:color w:val="auto"/>
        </w:rPr>
      </w:pPr>
    </w:p>
    <w:p>
      <w:pPr>
        <w:jc w:val="center"/>
        <w:ind w:right="-519"/>
        <w:spacing w:after="0"/>
        <w:rPr>
          <w:sz w:val="20"/>
          <w:szCs w:val="20"/>
          <w:color w:val="auto"/>
        </w:rPr>
      </w:pPr>
      <w:r>
        <w:rPr>
          <w:rFonts w:ascii="Arial" w:cs="Arial" w:eastAsia="Arial" w:hAnsi="Arial"/>
          <w:sz w:val="29"/>
          <w:szCs w:val="29"/>
          <w:b w:val="1"/>
          <w:bCs w:val="1"/>
          <w:color w:val="auto"/>
        </w:rPr>
        <w:t>FORM S-3</w:t>
      </w:r>
    </w:p>
    <w:p>
      <w:pPr>
        <w:spacing w:after="0" w:line="41"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REGISTRATION STATEMENT</w:t>
      </w:r>
    </w:p>
    <w:p>
      <w:pPr>
        <w:spacing w:after="0" w:line="1"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Under</w:t>
      </w:r>
    </w:p>
    <w:p>
      <w:pPr>
        <w:jc w:val="center"/>
        <w:ind w:right="-519"/>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81915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ectPr>
          <w:pgSz w:w="11900" w:h="16838" w:orient="portrait"/>
          <w:cols w:equalWidth="0" w:num="1">
            <w:col w:w="10220"/>
          </w:cols>
          <w:pgMar w:left="580" w:top="239" w:right="1099" w:bottom="1440" w:gutter="0" w:footer="0" w:header="0"/>
        </w:sectPr>
      </w:pPr>
    </w:p>
    <w:p>
      <w:pPr>
        <w:spacing w:after="0" w:line="380" w:lineRule="exact"/>
        <w:rPr>
          <w:sz w:val="24"/>
          <w:szCs w:val="24"/>
          <w:color w:val="auto"/>
        </w:rPr>
      </w:pPr>
    </w:p>
    <w:p>
      <w:pPr>
        <w:jc w:val="center"/>
        <w:ind w:left="3780"/>
        <w:spacing w:after="0"/>
        <w:rPr>
          <w:sz w:val="20"/>
          <w:szCs w:val="20"/>
          <w:color w:val="auto"/>
        </w:rPr>
      </w:pPr>
      <w:r>
        <w:rPr>
          <w:rFonts w:ascii="Arial" w:cs="Arial" w:eastAsia="Arial" w:hAnsi="Arial"/>
          <w:sz w:val="29"/>
          <w:szCs w:val="29"/>
          <w:b w:val="1"/>
          <w:bCs w:val="1"/>
          <w:color w:val="auto"/>
        </w:rPr>
        <w:t>MongoDB, Inc.</w:t>
      </w:r>
    </w:p>
    <w:p>
      <w:pPr>
        <w:spacing w:after="0" w:line="2" w:lineRule="exact"/>
        <w:rPr>
          <w:sz w:val="24"/>
          <w:szCs w:val="24"/>
          <w:color w:val="auto"/>
        </w:rPr>
      </w:pPr>
    </w:p>
    <w:p>
      <w:pPr>
        <w:jc w:val="right"/>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90805</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9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Delaware</w:t>
      </w:r>
    </w:p>
    <w:p>
      <w:pPr>
        <w:spacing w:after="0" w:line="22" w:lineRule="exact"/>
        <w:rPr>
          <w:sz w:val="24"/>
          <w:szCs w:val="24"/>
          <w:color w:val="auto"/>
        </w:rPr>
      </w:pPr>
    </w:p>
    <w:p>
      <w:pPr>
        <w:ind w:left="1980"/>
        <w:spacing w:after="0"/>
        <w:rPr>
          <w:sz w:val="20"/>
          <w:szCs w:val="20"/>
          <w:color w:val="auto"/>
        </w:rPr>
      </w:pPr>
      <w:r>
        <w:rPr>
          <w:rFonts w:ascii="Arial" w:cs="Arial" w:eastAsia="Arial" w:hAnsi="Arial"/>
          <w:sz w:val="14"/>
          <w:szCs w:val="14"/>
          <w:color w:val="auto"/>
        </w:rPr>
        <w:t>(State or other jurisdiction of</w:t>
      </w:r>
    </w:p>
    <w:p>
      <w:pPr>
        <w:ind w:left="196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ind w:left="280"/>
        <w:spacing w:after="0"/>
        <w:rPr>
          <w:sz w:val="20"/>
          <w:szCs w:val="20"/>
          <w:color w:val="auto"/>
        </w:rPr>
      </w:pPr>
      <w:r>
        <w:rPr>
          <w:rFonts w:ascii="Arial" w:cs="Arial" w:eastAsia="Arial" w:hAnsi="Arial"/>
          <w:sz w:val="18"/>
          <w:szCs w:val="18"/>
          <w:b w:val="1"/>
          <w:bCs w:val="1"/>
          <w:color w:val="auto"/>
        </w:rPr>
        <w:t>26-1463205</w:t>
      </w:r>
    </w:p>
    <w:p>
      <w:pPr>
        <w:spacing w:after="0" w:line="63" w:lineRule="exact"/>
        <w:rPr>
          <w:sz w:val="24"/>
          <w:szCs w:val="24"/>
          <w:color w:val="auto"/>
        </w:rPr>
      </w:pPr>
    </w:p>
    <w:p>
      <w:pPr>
        <w:ind w:left="160"/>
        <w:spacing w:after="0"/>
        <w:rPr>
          <w:sz w:val="20"/>
          <w:szCs w:val="20"/>
          <w:color w:val="auto"/>
        </w:rPr>
      </w:pPr>
      <w:r>
        <w:rPr>
          <w:rFonts w:ascii="Arial" w:cs="Arial" w:eastAsia="Arial" w:hAnsi="Arial"/>
          <w:sz w:val="14"/>
          <w:szCs w:val="14"/>
          <w:color w:val="auto"/>
        </w:rPr>
        <w:t>(I.R.S. Employer</w:t>
      </w:r>
    </w:p>
    <w:p>
      <w:pPr>
        <w:spacing w:after="0" w:line="21" w:lineRule="exact"/>
        <w:rPr>
          <w:sz w:val="24"/>
          <w:szCs w:val="24"/>
          <w:color w:val="auto"/>
        </w:rPr>
      </w:pPr>
    </w:p>
    <w:p>
      <w:pPr>
        <w:spacing w:after="0"/>
        <w:rPr>
          <w:sz w:val="20"/>
          <w:szCs w:val="20"/>
          <w:color w:val="auto"/>
        </w:rPr>
      </w:pPr>
      <w:r>
        <w:rPr>
          <w:rFonts w:ascii="Arial" w:cs="Arial" w:eastAsia="Arial" w:hAnsi="Arial"/>
          <w:sz w:val="14"/>
          <w:szCs w:val="14"/>
          <w:color w:val="auto"/>
        </w:rPr>
        <w:t>Identification Number)</w:t>
      </w:r>
    </w:p>
    <w:p>
      <w:pPr>
        <w:spacing w:after="0" w:line="10" w:lineRule="exact"/>
        <w:rPr>
          <w:sz w:val="24"/>
          <w:szCs w:val="24"/>
          <w:color w:val="auto"/>
        </w:rPr>
      </w:pPr>
    </w:p>
    <w:p>
      <w:pPr>
        <w:sectPr>
          <w:pgSz w:w="11900" w:h="16838" w:orient="portrait"/>
          <w:cols w:equalWidth="0" w:num="2">
            <w:col w:w="6940" w:space="200"/>
            <w:col w:w="3080"/>
          </w:cols>
          <w:pgMar w:left="580" w:top="239" w:right="1099" w:bottom="1440" w:gutter="0" w:footer="0" w:header="0"/>
          <w:type w:val="continuous"/>
        </w:sectPr>
      </w:pPr>
    </w:p>
    <w:p>
      <w:pPr>
        <w:jc w:val="center"/>
        <w:ind w:right="-479"/>
        <w:spacing w:after="0"/>
        <w:rPr>
          <w:sz w:val="20"/>
          <w:szCs w:val="20"/>
          <w:color w:val="auto"/>
        </w:rPr>
      </w:pPr>
      <w:r>
        <w:rPr>
          <w:rFonts w:ascii="Arial" w:cs="Arial" w:eastAsia="Arial" w:hAnsi="Arial"/>
          <w:sz w:val="18"/>
          <w:szCs w:val="18"/>
          <w:b w:val="1"/>
          <w:bCs w:val="1"/>
          <w:color w:val="auto"/>
        </w:rPr>
        <w:t>1633 Broadway</w:t>
      </w:r>
    </w:p>
    <w:p>
      <w:pPr>
        <w:jc w:val="center"/>
        <w:ind w:right="-479"/>
        <w:spacing w:after="0" w:line="195" w:lineRule="auto"/>
        <w:rPr>
          <w:sz w:val="20"/>
          <w:szCs w:val="20"/>
          <w:color w:val="auto"/>
        </w:rPr>
      </w:pPr>
      <w:r>
        <w:rPr>
          <w:rFonts w:ascii="Arial" w:cs="Arial" w:eastAsia="Arial" w:hAnsi="Arial"/>
          <w:sz w:val="18"/>
          <w:szCs w:val="18"/>
          <w:b w:val="1"/>
          <w:bCs w:val="1"/>
          <w:color w:val="auto"/>
        </w:rPr>
        <w:t>38</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Floor</w:t>
      </w:r>
    </w:p>
    <w:p>
      <w:pPr>
        <w:ind w:left="4320"/>
        <w:spacing w:after="0" w:line="235" w:lineRule="auto"/>
        <w:rPr>
          <w:sz w:val="20"/>
          <w:szCs w:val="20"/>
          <w:color w:val="auto"/>
        </w:rPr>
      </w:pPr>
      <w:r>
        <w:rPr>
          <w:rFonts w:ascii="Arial" w:cs="Arial" w:eastAsia="Arial" w:hAnsi="Arial"/>
          <w:sz w:val="18"/>
          <w:szCs w:val="18"/>
          <w:b w:val="1"/>
          <w:bCs w:val="1"/>
          <w:color w:val="auto"/>
        </w:rPr>
        <w:t>New York, New York 10019</w:t>
      </w:r>
    </w:p>
    <w:p>
      <w:pPr>
        <w:ind w:left="4660"/>
        <w:spacing w:after="0" w:line="219" w:lineRule="auto"/>
        <w:rPr>
          <w:sz w:val="20"/>
          <w:szCs w:val="20"/>
          <w:color w:val="auto"/>
        </w:rPr>
      </w:pPr>
      <w:r>
        <w:rPr>
          <w:rFonts w:ascii="Arial" w:cs="Arial" w:eastAsia="Arial" w:hAnsi="Arial"/>
          <w:sz w:val="18"/>
          <w:szCs w:val="18"/>
          <w:b w:val="1"/>
          <w:bCs w:val="1"/>
          <w:color w:val="auto"/>
        </w:rPr>
        <w:t>Tel: (646) 727-4092</w:t>
      </w:r>
    </w:p>
    <w:p>
      <w:pPr>
        <w:ind w:left="960"/>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90170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39"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Dev Ittycheria</w:t>
      </w:r>
    </w:p>
    <w:p>
      <w:pPr>
        <w:spacing w:after="0" w:line="11"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President and Chief Executive Officer</w:t>
      </w:r>
    </w:p>
    <w:p>
      <w:pPr>
        <w:jc w:val="center"/>
        <w:ind w:right="-479"/>
        <w:spacing w:after="0" w:line="187" w:lineRule="auto"/>
        <w:rPr>
          <w:sz w:val="20"/>
          <w:szCs w:val="20"/>
          <w:color w:val="auto"/>
        </w:rPr>
      </w:pPr>
      <w:r>
        <w:rPr>
          <w:rFonts w:ascii="Arial" w:cs="Arial" w:eastAsia="Arial" w:hAnsi="Arial"/>
          <w:sz w:val="18"/>
          <w:szCs w:val="18"/>
          <w:b w:val="1"/>
          <w:bCs w:val="1"/>
          <w:color w:val="auto"/>
        </w:rPr>
        <w:t>1633 Broadway</w:t>
      </w:r>
    </w:p>
    <w:p>
      <w:pPr>
        <w:jc w:val="center"/>
        <w:ind w:right="-479"/>
        <w:spacing w:after="0" w:line="206" w:lineRule="auto"/>
        <w:rPr>
          <w:sz w:val="20"/>
          <w:szCs w:val="20"/>
          <w:color w:val="auto"/>
        </w:rPr>
      </w:pPr>
      <w:r>
        <w:rPr>
          <w:rFonts w:ascii="Arial" w:cs="Arial" w:eastAsia="Arial" w:hAnsi="Arial"/>
          <w:sz w:val="18"/>
          <w:szCs w:val="18"/>
          <w:b w:val="1"/>
          <w:bCs w:val="1"/>
          <w:color w:val="auto"/>
        </w:rPr>
        <w:t>38</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Floor</w:t>
      </w:r>
    </w:p>
    <w:p>
      <w:pPr>
        <w:ind w:left="4320"/>
        <w:spacing w:after="0" w:line="235" w:lineRule="auto"/>
        <w:rPr>
          <w:sz w:val="20"/>
          <w:szCs w:val="20"/>
          <w:color w:val="auto"/>
        </w:rPr>
      </w:pPr>
      <w:r>
        <w:rPr>
          <w:rFonts w:ascii="Arial" w:cs="Arial" w:eastAsia="Arial" w:hAnsi="Arial"/>
          <w:sz w:val="18"/>
          <w:szCs w:val="18"/>
          <w:b w:val="1"/>
          <w:bCs w:val="1"/>
          <w:color w:val="auto"/>
        </w:rPr>
        <w:t>New York, New York 10019</w:t>
      </w:r>
    </w:p>
    <w:p>
      <w:pPr>
        <w:ind w:left="4660"/>
        <w:spacing w:after="0" w:line="203" w:lineRule="auto"/>
        <w:rPr>
          <w:sz w:val="20"/>
          <w:szCs w:val="20"/>
          <w:color w:val="auto"/>
        </w:rPr>
      </w:pPr>
      <w:r>
        <w:rPr>
          <w:rFonts w:ascii="Arial" w:cs="Arial" w:eastAsia="Arial" w:hAnsi="Arial"/>
          <w:sz w:val="18"/>
          <w:szCs w:val="18"/>
          <w:b w:val="1"/>
          <w:bCs w:val="1"/>
          <w:color w:val="auto"/>
        </w:rPr>
        <w:t>Tel: (646) 727-4092</w:t>
      </w:r>
    </w:p>
    <w:p>
      <w:pPr>
        <w:spacing w:after="0" w:line="1" w:lineRule="exact"/>
        <w:rPr>
          <w:sz w:val="24"/>
          <w:szCs w:val="24"/>
          <w:color w:val="auto"/>
        </w:rPr>
      </w:pPr>
    </w:p>
    <w:p>
      <w:pPr>
        <w:ind w:left="1560"/>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90170</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4" w:lineRule="exact"/>
        <w:rPr>
          <w:sz w:val="24"/>
          <w:szCs w:val="24"/>
          <w:color w:val="auto"/>
        </w:rPr>
      </w:pPr>
    </w:p>
    <w:tbl>
      <w:tblPr>
        <w:tblLayout w:type="fixed"/>
        <w:tblInd w:w="1840" w:type="dxa"/>
        <w:tblCellMar>
          <w:top w:w="0" w:type="dxa"/>
          <w:left w:w="0" w:type="dxa"/>
          <w:bottom w:w="0" w:type="dxa"/>
          <w:right w:w="0" w:type="dxa"/>
        </w:tblCellMar>
      </w:tblPr>
      <w:tr>
        <w:trPr>
          <w:trHeight w:val="230"/>
        </w:trPr>
        <w:tc>
          <w:tcPr>
            <w:tcW w:w="2600" w:type="dxa"/>
            <w:vAlign w:val="bottom"/>
          </w:tcPr>
          <w:p>
            <w:pPr>
              <w:spacing w:after="0"/>
              <w:rPr>
                <w:sz w:val="20"/>
                <w:szCs w:val="20"/>
                <w:color w:val="auto"/>
              </w:rPr>
            </w:pPr>
          </w:p>
        </w:tc>
        <w:tc>
          <w:tcPr>
            <w:tcW w:w="4400" w:type="dxa"/>
            <w:vAlign w:val="bottom"/>
          </w:tcPr>
          <w:p>
            <w:pPr>
              <w:ind w:left="560"/>
              <w:spacing w:after="0"/>
              <w:rPr>
                <w:sz w:val="20"/>
                <w:szCs w:val="20"/>
                <w:color w:val="auto"/>
              </w:rPr>
            </w:pPr>
            <w:r>
              <w:rPr>
                <w:rFonts w:ascii="Arial" w:cs="Arial" w:eastAsia="Arial" w:hAnsi="Arial"/>
                <w:sz w:val="18"/>
                <w:szCs w:val="18"/>
                <w:b w:val="1"/>
                <w:bCs w:val="1"/>
                <w:i w:val="1"/>
                <w:iCs w:val="1"/>
                <w:color w:val="auto"/>
              </w:rPr>
              <w:t>Copies to:</w:t>
            </w:r>
          </w:p>
        </w:tc>
      </w:tr>
      <w:tr>
        <w:trPr>
          <w:trHeight w:val="373"/>
        </w:trPr>
        <w:tc>
          <w:tcPr>
            <w:tcW w:w="2600" w:type="dxa"/>
            <w:vAlign w:val="bottom"/>
          </w:tcPr>
          <w:p>
            <w:pPr>
              <w:jc w:val="center"/>
              <w:ind w:right="490"/>
              <w:spacing w:after="0"/>
              <w:rPr>
                <w:sz w:val="20"/>
                <w:szCs w:val="20"/>
                <w:color w:val="auto"/>
              </w:rPr>
            </w:pPr>
            <w:r>
              <w:rPr>
                <w:rFonts w:ascii="Arial" w:cs="Arial" w:eastAsia="Arial" w:hAnsi="Arial"/>
                <w:sz w:val="18"/>
                <w:szCs w:val="18"/>
                <w:b w:val="1"/>
                <w:bCs w:val="1"/>
                <w:color w:val="auto"/>
                <w:w w:val="87"/>
              </w:rPr>
              <w:t>Babak Yaghmaie</w:t>
            </w:r>
          </w:p>
        </w:tc>
        <w:tc>
          <w:tcPr>
            <w:tcW w:w="4400" w:type="dxa"/>
            <w:vAlign w:val="bottom"/>
          </w:tcPr>
          <w:p>
            <w:pPr>
              <w:jc w:val="center"/>
              <w:ind w:left="2250"/>
              <w:spacing w:after="0"/>
              <w:rPr>
                <w:sz w:val="20"/>
                <w:szCs w:val="20"/>
                <w:color w:val="auto"/>
              </w:rPr>
            </w:pPr>
            <w:r>
              <w:rPr>
                <w:rFonts w:ascii="Arial" w:cs="Arial" w:eastAsia="Arial" w:hAnsi="Arial"/>
                <w:sz w:val="18"/>
                <w:szCs w:val="18"/>
                <w:b w:val="1"/>
                <w:bCs w:val="1"/>
                <w:color w:val="auto"/>
                <w:w w:val="89"/>
              </w:rPr>
              <w:t>Michael Gordon</w:t>
            </w:r>
          </w:p>
        </w:tc>
      </w:tr>
      <w:tr>
        <w:trPr>
          <w:trHeight w:val="216"/>
        </w:trPr>
        <w:tc>
          <w:tcPr>
            <w:tcW w:w="2600" w:type="dxa"/>
            <w:vAlign w:val="bottom"/>
          </w:tcPr>
          <w:p>
            <w:pPr>
              <w:jc w:val="center"/>
              <w:ind w:right="490"/>
              <w:spacing w:after="0"/>
              <w:rPr>
                <w:sz w:val="20"/>
                <w:szCs w:val="20"/>
                <w:color w:val="auto"/>
              </w:rPr>
            </w:pPr>
            <w:r>
              <w:rPr>
                <w:rFonts w:ascii="Arial" w:cs="Arial" w:eastAsia="Arial" w:hAnsi="Arial"/>
                <w:sz w:val="18"/>
                <w:szCs w:val="18"/>
                <w:b w:val="1"/>
                <w:bCs w:val="1"/>
                <w:color w:val="auto"/>
                <w:w w:val="86"/>
              </w:rPr>
              <w:t>Nicole C. Brookshire</w:t>
            </w:r>
          </w:p>
        </w:tc>
        <w:tc>
          <w:tcPr>
            <w:tcW w:w="4400" w:type="dxa"/>
            <w:vAlign w:val="bottom"/>
          </w:tcPr>
          <w:p>
            <w:pPr>
              <w:jc w:val="center"/>
              <w:ind w:left="2250"/>
              <w:spacing w:after="0"/>
              <w:rPr>
                <w:sz w:val="20"/>
                <w:szCs w:val="20"/>
                <w:color w:val="auto"/>
              </w:rPr>
            </w:pPr>
            <w:r>
              <w:rPr>
                <w:rFonts w:ascii="Arial" w:cs="Arial" w:eastAsia="Arial" w:hAnsi="Arial"/>
                <w:sz w:val="18"/>
                <w:szCs w:val="18"/>
                <w:b w:val="1"/>
                <w:bCs w:val="1"/>
                <w:color w:val="auto"/>
                <w:w w:val="85"/>
              </w:rPr>
              <w:t>Andrew Stephens</w:t>
            </w:r>
          </w:p>
        </w:tc>
      </w:tr>
      <w:tr>
        <w:trPr>
          <w:trHeight w:val="216"/>
        </w:trPr>
        <w:tc>
          <w:tcPr>
            <w:tcW w:w="2600" w:type="dxa"/>
            <w:vAlign w:val="bottom"/>
          </w:tcPr>
          <w:p>
            <w:pPr>
              <w:jc w:val="center"/>
              <w:ind w:right="490"/>
              <w:spacing w:after="0"/>
              <w:rPr>
                <w:sz w:val="20"/>
                <w:szCs w:val="20"/>
                <w:color w:val="auto"/>
              </w:rPr>
            </w:pPr>
            <w:r>
              <w:rPr>
                <w:rFonts w:ascii="Arial" w:cs="Arial" w:eastAsia="Arial" w:hAnsi="Arial"/>
                <w:sz w:val="18"/>
                <w:szCs w:val="18"/>
                <w:b w:val="1"/>
                <w:bCs w:val="1"/>
                <w:color w:val="auto"/>
                <w:w w:val="87"/>
              </w:rPr>
              <w:t>Reid Hooper</w:t>
            </w:r>
          </w:p>
        </w:tc>
        <w:tc>
          <w:tcPr>
            <w:tcW w:w="4400" w:type="dxa"/>
            <w:vAlign w:val="bottom"/>
          </w:tcPr>
          <w:p>
            <w:pPr>
              <w:jc w:val="center"/>
              <w:ind w:left="2270"/>
              <w:spacing w:after="0"/>
              <w:rPr>
                <w:sz w:val="20"/>
                <w:szCs w:val="20"/>
                <w:color w:val="auto"/>
              </w:rPr>
            </w:pPr>
            <w:r>
              <w:rPr>
                <w:rFonts w:ascii="Arial" w:cs="Arial" w:eastAsia="Arial" w:hAnsi="Arial"/>
                <w:sz w:val="18"/>
                <w:szCs w:val="18"/>
                <w:b w:val="1"/>
                <w:bCs w:val="1"/>
                <w:color w:val="auto"/>
                <w:w w:val="88"/>
              </w:rPr>
              <w:t>MongoDB, Inc.</w:t>
            </w:r>
          </w:p>
        </w:tc>
      </w:tr>
      <w:tr>
        <w:trPr>
          <w:trHeight w:val="195"/>
        </w:trPr>
        <w:tc>
          <w:tcPr>
            <w:tcW w:w="2600" w:type="dxa"/>
            <w:vAlign w:val="bottom"/>
          </w:tcPr>
          <w:p>
            <w:pPr>
              <w:jc w:val="center"/>
              <w:ind w:right="490"/>
              <w:spacing w:after="0" w:line="195" w:lineRule="exact"/>
              <w:rPr>
                <w:sz w:val="20"/>
                <w:szCs w:val="20"/>
                <w:color w:val="auto"/>
              </w:rPr>
            </w:pPr>
            <w:r>
              <w:rPr>
                <w:rFonts w:ascii="Arial" w:cs="Arial" w:eastAsia="Arial" w:hAnsi="Arial"/>
                <w:sz w:val="18"/>
                <w:szCs w:val="18"/>
                <w:b w:val="1"/>
                <w:bCs w:val="1"/>
                <w:color w:val="auto"/>
                <w:w w:val="90"/>
              </w:rPr>
              <w:t>Cooley LLP</w:t>
            </w:r>
          </w:p>
        </w:tc>
        <w:tc>
          <w:tcPr>
            <w:tcW w:w="4400" w:type="dxa"/>
            <w:vAlign w:val="bottom"/>
          </w:tcPr>
          <w:p>
            <w:pPr>
              <w:jc w:val="center"/>
              <w:ind w:left="2270"/>
              <w:spacing w:after="0" w:line="195" w:lineRule="exact"/>
              <w:rPr>
                <w:sz w:val="20"/>
                <w:szCs w:val="20"/>
                <w:color w:val="auto"/>
              </w:rPr>
            </w:pPr>
            <w:r>
              <w:rPr>
                <w:rFonts w:ascii="Arial" w:cs="Arial" w:eastAsia="Arial" w:hAnsi="Arial"/>
                <w:sz w:val="18"/>
                <w:szCs w:val="18"/>
                <w:b w:val="1"/>
                <w:bCs w:val="1"/>
                <w:color w:val="auto"/>
                <w:w w:val="88"/>
              </w:rPr>
              <w:t>1633 Broadway</w:t>
            </w:r>
          </w:p>
        </w:tc>
      </w:tr>
      <w:tr>
        <w:trPr>
          <w:trHeight w:val="237"/>
        </w:trPr>
        <w:tc>
          <w:tcPr>
            <w:tcW w:w="2600" w:type="dxa"/>
            <w:vAlign w:val="bottom"/>
          </w:tcPr>
          <w:p>
            <w:pPr>
              <w:jc w:val="center"/>
              <w:ind w:right="490"/>
              <w:spacing w:after="0"/>
              <w:rPr>
                <w:sz w:val="20"/>
                <w:szCs w:val="20"/>
                <w:color w:val="auto"/>
              </w:rPr>
            </w:pPr>
            <w:r>
              <w:rPr>
                <w:rFonts w:ascii="Arial" w:cs="Arial" w:eastAsia="Arial" w:hAnsi="Arial"/>
                <w:sz w:val="18"/>
                <w:szCs w:val="18"/>
                <w:b w:val="1"/>
                <w:bCs w:val="1"/>
                <w:color w:val="auto"/>
                <w:w w:val="85"/>
              </w:rPr>
              <w:t>55 Hudson Yards</w:t>
            </w:r>
          </w:p>
        </w:tc>
        <w:tc>
          <w:tcPr>
            <w:tcW w:w="4400" w:type="dxa"/>
            <w:vAlign w:val="bottom"/>
          </w:tcPr>
          <w:p>
            <w:pPr>
              <w:jc w:val="center"/>
              <w:ind w:left="2250"/>
              <w:spacing w:after="0" w:line="237" w:lineRule="exact"/>
              <w:rPr>
                <w:sz w:val="20"/>
                <w:szCs w:val="20"/>
                <w:color w:val="auto"/>
              </w:rPr>
            </w:pPr>
            <w:r>
              <w:rPr>
                <w:rFonts w:ascii="Arial" w:cs="Arial" w:eastAsia="Arial" w:hAnsi="Arial"/>
                <w:sz w:val="18"/>
                <w:szCs w:val="18"/>
                <w:b w:val="1"/>
                <w:bCs w:val="1"/>
                <w:color w:val="auto"/>
                <w:w w:val="85"/>
              </w:rPr>
              <w:t>38</w:t>
            </w:r>
            <w:r>
              <w:rPr>
                <w:rFonts w:ascii="Arial" w:cs="Arial" w:eastAsia="Arial" w:hAnsi="Arial"/>
                <w:sz w:val="26"/>
                <w:szCs w:val="26"/>
                <w:b w:val="1"/>
                <w:bCs w:val="1"/>
                <w:color w:val="auto"/>
                <w:w w:val="85"/>
                <w:vertAlign w:val="superscript"/>
              </w:rPr>
              <w:t>th</w:t>
            </w:r>
            <w:r>
              <w:rPr>
                <w:rFonts w:ascii="Arial" w:cs="Arial" w:eastAsia="Arial" w:hAnsi="Arial"/>
                <w:sz w:val="18"/>
                <w:szCs w:val="18"/>
                <w:b w:val="1"/>
                <w:bCs w:val="1"/>
                <w:color w:val="auto"/>
                <w:w w:val="85"/>
              </w:rPr>
              <w:t xml:space="preserve"> Floor</w:t>
            </w:r>
          </w:p>
        </w:tc>
      </w:tr>
      <w:tr>
        <w:trPr>
          <w:trHeight w:val="216"/>
        </w:trPr>
        <w:tc>
          <w:tcPr>
            <w:tcW w:w="2600" w:type="dxa"/>
            <w:vAlign w:val="bottom"/>
          </w:tcPr>
          <w:p>
            <w:pPr>
              <w:jc w:val="center"/>
              <w:ind w:right="490"/>
              <w:spacing w:after="0"/>
              <w:rPr>
                <w:sz w:val="20"/>
                <w:szCs w:val="20"/>
                <w:color w:val="auto"/>
              </w:rPr>
            </w:pPr>
            <w:r>
              <w:rPr>
                <w:rFonts w:ascii="Arial" w:cs="Arial" w:eastAsia="Arial" w:hAnsi="Arial"/>
                <w:sz w:val="18"/>
                <w:szCs w:val="18"/>
                <w:b w:val="1"/>
                <w:bCs w:val="1"/>
                <w:color w:val="auto"/>
                <w:w w:val="88"/>
              </w:rPr>
              <w:t>New York, New York 10001</w:t>
            </w:r>
          </w:p>
        </w:tc>
        <w:tc>
          <w:tcPr>
            <w:tcW w:w="4400" w:type="dxa"/>
            <w:vAlign w:val="bottom"/>
          </w:tcPr>
          <w:p>
            <w:pPr>
              <w:jc w:val="center"/>
              <w:ind w:left="2270"/>
              <w:spacing w:after="0"/>
              <w:rPr>
                <w:sz w:val="20"/>
                <w:szCs w:val="20"/>
                <w:color w:val="auto"/>
              </w:rPr>
            </w:pPr>
            <w:r>
              <w:rPr>
                <w:rFonts w:ascii="Arial" w:cs="Arial" w:eastAsia="Arial" w:hAnsi="Arial"/>
                <w:sz w:val="18"/>
                <w:szCs w:val="18"/>
                <w:b w:val="1"/>
                <w:bCs w:val="1"/>
                <w:color w:val="auto"/>
                <w:w w:val="89"/>
              </w:rPr>
              <w:t>New York, New York 10019</w:t>
            </w:r>
          </w:p>
        </w:tc>
      </w:tr>
      <w:tr>
        <w:trPr>
          <w:trHeight w:val="248"/>
        </w:trPr>
        <w:tc>
          <w:tcPr>
            <w:tcW w:w="2600" w:type="dxa"/>
            <w:vAlign w:val="bottom"/>
          </w:tcPr>
          <w:p>
            <w:pPr>
              <w:jc w:val="center"/>
              <w:ind w:right="450"/>
              <w:spacing w:after="0"/>
              <w:rPr>
                <w:sz w:val="20"/>
                <w:szCs w:val="20"/>
                <w:color w:val="auto"/>
              </w:rPr>
            </w:pPr>
            <w:r>
              <w:rPr>
                <w:rFonts w:ascii="Arial" w:cs="Arial" w:eastAsia="Arial" w:hAnsi="Arial"/>
                <w:sz w:val="18"/>
                <w:szCs w:val="18"/>
                <w:b w:val="1"/>
                <w:bCs w:val="1"/>
                <w:color w:val="auto"/>
                <w:w w:val="86"/>
              </w:rPr>
              <w:t>(212) 479-6000</w:t>
            </w:r>
          </w:p>
        </w:tc>
        <w:tc>
          <w:tcPr>
            <w:tcW w:w="4400" w:type="dxa"/>
            <w:vAlign w:val="bottom"/>
          </w:tcPr>
          <w:p>
            <w:pPr>
              <w:jc w:val="center"/>
              <w:ind w:left="2310"/>
              <w:spacing w:after="0"/>
              <w:rPr>
                <w:sz w:val="20"/>
                <w:szCs w:val="20"/>
                <w:color w:val="auto"/>
              </w:rPr>
            </w:pPr>
            <w:r>
              <w:rPr>
                <w:rFonts w:ascii="Arial" w:cs="Arial" w:eastAsia="Arial" w:hAnsi="Arial"/>
                <w:sz w:val="18"/>
                <w:szCs w:val="18"/>
                <w:b w:val="1"/>
                <w:bCs w:val="1"/>
                <w:color w:val="auto"/>
                <w:w w:val="87"/>
              </w:rPr>
              <w:t>Tel: (646) 727-4092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120015</wp:posOffset>
            </wp:positionV>
            <wp:extent cx="1234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86"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Approximate date of commencement of proposed sale to the public:</w:t>
      </w:r>
    </w:p>
    <w:p>
      <w:pPr>
        <w:spacing w:after="0" w:line="16"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From time to time after the effective date of this Registration Statement.</w:t>
      </w:r>
    </w:p>
    <w:p>
      <w:pPr>
        <w:spacing w:after="0" w:line="128" w:lineRule="exact"/>
        <w:rPr>
          <w:sz w:val="24"/>
          <w:szCs w:val="24"/>
          <w:color w:val="auto"/>
        </w:rPr>
      </w:pPr>
    </w:p>
    <w:p>
      <w:pPr>
        <w:ind w:left="500" w:right="280" w:firstLine="360"/>
        <w:spacing w:after="0" w:line="226"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88" w:lineRule="exact"/>
        <w:rPr>
          <w:sz w:val="24"/>
          <w:szCs w:val="24"/>
          <w:color w:val="auto"/>
        </w:rPr>
      </w:pPr>
    </w:p>
    <w:p>
      <w:pPr>
        <w:ind w:left="860"/>
        <w:spacing w:after="0"/>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w:t>
      </w:r>
    </w:p>
    <w:p>
      <w:pPr>
        <w:spacing w:after="0" w:line="12" w:lineRule="exact"/>
        <w:rPr>
          <w:sz w:val="24"/>
          <w:szCs w:val="24"/>
          <w:color w:val="auto"/>
        </w:rPr>
      </w:pPr>
    </w:p>
    <w:p>
      <w:pPr>
        <w:ind w:left="500"/>
        <w:spacing w:after="0" w:line="219" w:lineRule="exact"/>
        <w:rPr>
          <w:sz w:val="20"/>
          <w:szCs w:val="20"/>
          <w:color w:val="auto"/>
        </w:rPr>
      </w:pPr>
      <w:r>
        <w:rPr>
          <w:rFonts w:ascii="Arial" w:cs="Arial" w:eastAsia="Arial" w:hAnsi="Arial"/>
          <w:sz w:val="18"/>
          <w:szCs w:val="18"/>
          <w:color w:val="auto"/>
        </w:rPr>
        <w:t xml:space="preserve">Rule 415 under the Securities Act of 1933, as amended,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01" w:lineRule="exact"/>
        <w:rPr>
          <w:sz w:val="24"/>
          <w:szCs w:val="24"/>
          <w:color w:val="auto"/>
        </w:rPr>
      </w:pPr>
    </w:p>
    <w:p>
      <w:pPr>
        <w:ind w:left="500" w:right="80" w:firstLine="360"/>
        <w:spacing w:after="0" w:line="21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01" w:lineRule="exact"/>
        <w:rPr>
          <w:sz w:val="24"/>
          <w:szCs w:val="24"/>
          <w:color w:val="auto"/>
        </w:rPr>
      </w:pPr>
    </w:p>
    <w:p>
      <w:pPr>
        <w:ind w:left="500" w:right="140" w:firstLine="360"/>
        <w:spacing w:after="0" w:line="226" w:lineRule="exact"/>
        <w:rPr>
          <w:sz w:val="20"/>
          <w:szCs w:val="20"/>
          <w:color w:val="auto"/>
        </w:rPr>
      </w:pPr>
      <w:r>
        <w:rPr>
          <w:rFonts w:ascii="Arial" w:cs="Arial" w:eastAsia="Arial" w:hAnsi="Arial"/>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215900</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239" w:right="1099"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67" w:lineRule="exact"/>
        <w:rPr>
          <w:sz w:val="20"/>
          <w:szCs w:val="20"/>
          <w:color w:val="auto"/>
        </w:rPr>
      </w:pPr>
    </w:p>
    <w:p>
      <w:pPr>
        <w:ind w:left="500" w:right="40" w:firstLine="360"/>
        <w:spacing w:after="0" w:line="233" w:lineRule="exact"/>
        <w:rPr>
          <w:sz w:val="20"/>
          <w:szCs w:val="20"/>
          <w:color w:val="auto"/>
        </w:rPr>
      </w:pPr>
      <w:r>
        <w:rPr>
          <w:rFonts w:ascii="Arial" w:cs="Arial" w:eastAsia="Arial" w:hAnsi="Arial"/>
          <w:sz w:val="17"/>
          <w:szCs w:val="17"/>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7"/>
          <w:szCs w:val="17"/>
          <w:color w:val="auto"/>
        </w:rPr>
        <w:t>☒</w:t>
      </w:r>
    </w:p>
    <w:p>
      <w:pPr>
        <w:spacing w:after="0" w:line="115" w:lineRule="exact"/>
        <w:rPr>
          <w:sz w:val="20"/>
          <w:szCs w:val="20"/>
          <w:color w:val="auto"/>
        </w:rPr>
      </w:pPr>
    </w:p>
    <w:p>
      <w:pPr>
        <w:ind w:left="500" w:right="440" w:firstLine="360"/>
        <w:spacing w:after="0" w:line="227"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03" w:lineRule="exact"/>
        <w:rPr>
          <w:sz w:val="20"/>
          <w:szCs w:val="20"/>
          <w:color w:val="auto"/>
        </w:rPr>
      </w:pPr>
    </w:p>
    <w:p>
      <w:pPr>
        <w:ind w:left="500" w:right="120" w:firstLine="3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0" w:lineRule="exact"/>
        <w:rPr>
          <w:sz w:val="20"/>
          <w:szCs w:val="20"/>
          <w:color w:val="auto"/>
        </w:rPr>
      </w:pPr>
    </w:p>
    <w:tbl>
      <w:tblPr>
        <w:tblLayout w:type="fixed"/>
        <w:tblInd w:w="860" w:type="dxa"/>
        <w:tblCellMar>
          <w:top w:w="0" w:type="dxa"/>
          <w:left w:w="0" w:type="dxa"/>
          <w:bottom w:w="0" w:type="dxa"/>
          <w:right w:w="0" w:type="dxa"/>
        </w:tblCellMar>
      </w:tblPr>
      <w:tr>
        <w:trPr>
          <w:trHeight w:val="243"/>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5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ind w:left="92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15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ind w:left="92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60" w:type="dxa"/>
            <w:vAlign w:val="bottom"/>
          </w:tcPr>
          <w:p>
            <w:pPr>
              <w:ind w:left="920"/>
              <w:spacing w:after="0"/>
              <w:rPr>
                <w:sz w:val="20"/>
                <w:szCs w:val="20"/>
                <w:color w:val="auto"/>
              </w:rPr>
            </w:pPr>
            <w:r>
              <w:rPr>
                <w:rFonts w:ascii="Arial" w:cs="Arial" w:eastAsia="Arial" w:hAnsi="Arial"/>
                <w:sz w:val="18"/>
                <w:szCs w:val="18"/>
                <w:color w:val="auto"/>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4" w:lineRule="exact"/>
        <w:rPr>
          <w:sz w:val="20"/>
          <w:szCs w:val="20"/>
          <w:color w:val="auto"/>
        </w:rPr>
      </w:pPr>
    </w:p>
    <w:p>
      <w:pPr>
        <w:jc w:val="both"/>
        <w:ind w:left="500" w:right="420" w:firstLine="360"/>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82550</wp:posOffset>
            </wp:positionV>
            <wp:extent cx="1234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CALCULATION OF REGISTRATION FEE</w:t>
      </w:r>
    </w:p>
    <w:p>
      <w:pPr>
        <w:spacing w:after="0" w:line="142" w:lineRule="exact"/>
        <w:rPr>
          <w:sz w:val="20"/>
          <w:szCs w:val="20"/>
          <w:color w:val="auto"/>
        </w:rPr>
      </w:pPr>
    </w:p>
    <w:tbl>
      <w:tblPr>
        <w:tblLayout w:type="fixed"/>
        <w:tblInd w:w="500" w:type="dxa"/>
        <w:tblCellMar>
          <w:top w:w="0" w:type="dxa"/>
          <w:left w:w="0" w:type="dxa"/>
          <w:bottom w:w="0" w:type="dxa"/>
          <w:right w:w="0" w:type="dxa"/>
        </w:tblCellMar>
      </w:tblPr>
      <w:tr>
        <w:trPr>
          <w:trHeight w:val="40"/>
        </w:trPr>
        <w:tc>
          <w:tcPr>
            <w:tcW w:w="7440" w:type="dxa"/>
            <w:vAlign w:val="bottom"/>
            <w:tcBorders>
              <w:top w:val="single" w:sz="8" w:color="auto"/>
              <w:bottom w:val="single" w:sz="8" w:color="auto"/>
            </w:tcBorders>
          </w:tcPr>
          <w:p>
            <w:pPr>
              <w:spacing w:after="0"/>
              <w:rPr>
                <w:sz w:val="3"/>
                <w:szCs w:val="3"/>
                <w:color w:val="auto"/>
              </w:rPr>
            </w:pPr>
          </w:p>
        </w:tc>
        <w:tc>
          <w:tcPr>
            <w:tcW w:w="1220" w:type="dxa"/>
            <w:vAlign w:val="bottom"/>
            <w:tcBorders>
              <w:top w:val="single" w:sz="8" w:color="auto"/>
              <w:bottom w:val="single" w:sz="8" w:color="auto"/>
            </w:tcBorders>
          </w:tcPr>
          <w:p>
            <w:pPr>
              <w:spacing w:after="0"/>
              <w:rPr>
                <w:sz w:val="3"/>
                <w:szCs w:val="3"/>
                <w:color w:val="auto"/>
              </w:rPr>
            </w:pPr>
          </w:p>
        </w:tc>
        <w:tc>
          <w:tcPr>
            <w:tcW w:w="1060" w:type="dxa"/>
            <w:vAlign w:val="bottom"/>
            <w:tcBorders>
              <w:top w:val="single" w:sz="8" w:color="auto"/>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744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Proposed</w:t>
            </w: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4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5"/>
              </w:rPr>
              <w:t>Maximum</w:t>
            </w: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440" w:type="dxa"/>
            <w:vAlign w:val="bottom"/>
            <w:tcBorders>
              <w:right w:val="single" w:sz="8" w:color="auto"/>
            </w:tcBorders>
          </w:tcPr>
          <w:p>
            <w:pPr>
              <w:jc w:val="center"/>
              <w:ind w:right="82"/>
              <w:spacing w:after="0" w:line="158" w:lineRule="exact"/>
              <w:rPr>
                <w:sz w:val="20"/>
                <w:szCs w:val="20"/>
                <w:color w:val="auto"/>
              </w:rPr>
            </w:pPr>
            <w:r>
              <w:rPr>
                <w:rFonts w:ascii="Arial" w:cs="Arial" w:eastAsia="Arial" w:hAnsi="Arial"/>
                <w:sz w:val="14"/>
                <w:szCs w:val="14"/>
                <w:b w:val="1"/>
                <w:bCs w:val="1"/>
                <w:color w:val="auto"/>
                <w:w w:val="85"/>
              </w:rPr>
              <w:t>Title of each Class of</w:t>
            </w:r>
          </w:p>
        </w:tc>
        <w:tc>
          <w:tcPr>
            <w:tcW w:w="12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6"/>
              </w:rPr>
              <w:t>Aggregate</w:t>
            </w:r>
          </w:p>
        </w:tc>
        <w:tc>
          <w:tcPr>
            <w:tcW w:w="10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Amount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440" w:type="dxa"/>
            <w:vAlign w:val="bottom"/>
            <w:tcBorders>
              <w:bottom w:val="single" w:sz="8" w:color="auto"/>
              <w:right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6"/>
              </w:rPr>
              <w:t>Securities to be Registered</w:t>
            </w:r>
          </w:p>
        </w:tc>
        <w:tc>
          <w:tcPr>
            <w:tcW w:w="1220" w:type="dxa"/>
            <w:vAlign w:val="bottom"/>
            <w:tcBorders>
              <w:bottom w:val="single" w:sz="8" w:color="auto"/>
              <w:right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7"/>
              </w:rPr>
              <w:t>Offering Price</w:t>
            </w:r>
            <w:r>
              <w:rPr>
                <w:rFonts w:ascii="Arial" w:cs="Arial" w:eastAsia="Arial" w:hAnsi="Arial"/>
                <w:sz w:val="21"/>
                <w:szCs w:val="21"/>
                <w:b w:val="1"/>
                <w:bCs w:val="1"/>
                <w:color w:val="auto"/>
                <w:w w:val="87"/>
                <w:vertAlign w:val="superscript"/>
              </w:rPr>
              <w:t>(1)</w:t>
            </w:r>
          </w:p>
        </w:tc>
        <w:tc>
          <w:tcPr>
            <w:tcW w:w="1060" w:type="dxa"/>
            <w:vAlign w:val="bottom"/>
            <w:tcBorders>
              <w:bottom w:val="single" w:sz="8" w:color="auto"/>
            </w:tcBorders>
          </w:tcPr>
          <w:p>
            <w:pPr>
              <w:jc w:val="center"/>
              <w:ind w:left="30"/>
              <w:spacing w:after="0"/>
              <w:rPr>
                <w:sz w:val="20"/>
                <w:szCs w:val="20"/>
                <w:color w:val="auto"/>
              </w:rPr>
            </w:pPr>
            <w:r>
              <w:rPr>
                <w:rFonts w:ascii="Arial" w:cs="Arial" w:eastAsia="Arial" w:hAnsi="Arial"/>
                <w:sz w:val="14"/>
                <w:szCs w:val="14"/>
                <w:b w:val="1"/>
                <w:bCs w:val="1"/>
                <w:color w:val="auto"/>
                <w:w w:val="87"/>
              </w:rPr>
              <w:t>Registration Fee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44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Class A Common Stock, par value $0.001 per share</w:t>
            </w:r>
          </w:p>
        </w:tc>
        <w:tc>
          <w:tcPr>
            <w:tcW w:w="1220" w:type="dxa"/>
            <w:vAlign w:val="bottom"/>
            <w:tcBorders>
              <w:right w:val="single" w:sz="8" w:color="auto"/>
            </w:tcBorders>
            <w:shd w:val="clear" w:color="auto" w:fill="CCEEFF"/>
          </w:tcPr>
          <w:p>
            <w:pPr>
              <w:jc w:val="right"/>
              <w:ind w:right="189"/>
              <w:spacing w:after="0"/>
              <w:rPr>
                <w:sz w:val="20"/>
                <w:szCs w:val="20"/>
                <w:color w:val="auto"/>
              </w:rPr>
            </w:pPr>
            <w:r>
              <w:rPr>
                <w:rFonts w:ascii="Arial" w:cs="Arial" w:eastAsia="Arial" w:hAnsi="Arial"/>
                <w:sz w:val="13"/>
                <w:szCs w:val="13"/>
                <w:color w:val="auto"/>
              </w:rPr>
              <w:t>(2)</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7440" w:type="dxa"/>
            <w:vAlign w:val="bottom"/>
            <w:tcBorders>
              <w:bottom w:val="single" w:sz="8" w:color="auto"/>
              <w:right w:val="single" w:sz="8" w:color="auto"/>
            </w:tcBorders>
            <w:vMerge w:val="continue"/>
            <w:shd w:val="clear" w:color="auto" w:fill="CCEEFF"/>
          </w:tcPr>
          <w:p>
            <w:pPr>
              <w:spacing w:after="0"/>
              <w:rPr>
                <w:sz w:val="10"/>
                <w:szCs w:val="10"/>
                <w:color w:val="auto"/>
              </w:rPr>
            </w:pPr>
          </w:p>
        </w:tc>
        <w:tc>
          <w:tcPr>
            <w:tcW w:w="1220" w:type="dxa"/>
            <w:vAlign w:val="bottom"/>
            <w:tcBorders>
              <w:bottom w:val="single" w:sz="8" w:color="auto"/>
              <w:right w:val="single" w:sz="8" w:color="auto"/>
            </w:tcBorders>
            <w:shd w:val="clear" w:color="auto" w:fill="CCEEFF"/>
          </w:tcPr>
          <w:p>
            <w:pPr>
              <w:spacing w:after="0"/>
              <w:rPr>
                <w:sz w:val="10"/>
                <w:szCs w:val="10"/>
                <w:color w:val="auto"/>
              </w:rPr>
            </w:pPr>
          </w:p>
        </w:tc>
        <w:tc>
          <w:tcPr>
            <w:tcW w:w="1060" w:type="dxa"/>
            <w:vAlign w:val="bottom"/>
            <w:tcBorders>
              <w:bottom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74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4445000</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131" w:right="1079" w:bottom="1440" w:gutter="0" w:footer="0" w:header="0"/>
        </w:sectPr>
      </w:pPr>
    </w:p>
    <w:bookmarkStart w:id="2" w:name="page3"/>
    <w:bookmarkEnd w:id="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128905</wp:posOffset>
            </wp:positionV>
            <wp:extent cx="2717165" cy="7454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1716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860"/>
        <w:spacing w:after="0"/>
        <w:rPr>
          <w:sz w:val="20"/>
          <w:szCs w:val="20"/>
          <w:color w:val="auto"/>
        </w:rPr>
      </w:pPr>
      <w:r>
        <w:rPr>
          <w:rFonts w:ascii="Arial" w:cs="Arial" w:eastAsia="Arial" w:hAnsi="Arial"/>
          <w:sz w:val="32"/>
          <w:szCs w:val="32"/>
          <w:b w:val="1"/>
          <w:bCs w:val="1"/>
          <w:color w:val="auto"/>
        </w:rPr>
        <w:t>MongoDB, Inc.</w:t>
      </w:r>
    </w:p>
    <w:p>
      <w:pPr>
        <w:spacing w:after="0" w:line="109" w:lineRule="exact"/>
        <w:rPr>
          <w:sz w:val="20"/>
          <w:szCs w:val="20"/>
          <w:color w:val="auto"/>
        </w:rPr>
      </w:pPr>
    </w:p>
    <w:p>
      <w:pPr>
        <w:ind w:left="4160"/>
        <w:spacing w:after="0"/>
        <w:rPr>
          <w:sz w:val="20"/>
          <w:szCs w:val="20"/>
          <w:color w:val="auto"/>
        </w:rPr>
      </w:pPr>
      <w:r>
        <w:rPr>
          <w:rFonts w:ascii="Arial" w:cs="Arial" w:eastAsia="Arial" w:hAnsi="Arial"/>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174625</wp:posOffset>
            </wp:positionV>
            <wp:extent cx="12344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260" w:right="519" w:firstLine="360"/>
        <w:spacing w:after="0" w:line="270" w:lineRule="auto"/>
        <w:rPr>
          <w:sz w:val="20"/>
          <w:szCs w:val="20"/>
          <w:color w:val="auto"/>
        </w:rPr>
      </w:pPr>
      <w:r>
        <w:rPr>
          <w:rFonts w:ascii="Arial" w:cs="Arial" w:eastAsia="Arial" w:hAnsi="Arial"/>
          <w:sz w:val="17"/>
          <w:szCs w:val="17"/>
          <w:color w:val="auto"/>
        </w:rPr>
        <w:t>We may, from time to time, offer and sell, on terms that we will determine at the time of the offering, shares of our Class A common stock described in this prospectus. This prospectus describes some of the general terms that may apply to an offering of our Class A common stock. Each time we sell Class A common stock pursuant to this prospectus, we will provide the specific terms of these offerings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and the documents incorporated by reference, before buying any of the Class A common stock being offered.</w:t>
      </w:r>
    </w:p>
    <w:p>
      <w:pPr>
        <w:spacing w:after="0" w:line="100" w:lineRule="exact"/>
        <w:rPr>
          <w:sz w:val="20"/>
          <w:szCs w:val="20"/>
          <w:color w:val="auto"/>
        </w:rPr>
      </w:pPr>
    </w:p>
    <w:p>
      <w:pPr>
        <w:ind w:left="1260" w:right="499" w:firstLine="360"/>
        <w:spacing w:after="0" w:line="271" w:lineRule="auto"/>
        <w:rPr>
          <w:sz w:val="20"/>
          <w:szCs w:val="20"/>
          <w:color w:val="auto"/>
        </w:rPr>
      </w:pPr>
      <w:r>
        <w:rPr>
          <w:rFonts w:ascii="Arial" w:cs="Arial" w:eastAsia="Arial" w:hAnsi="Arial"/>
          <w:sz w:val="17"/>
          <w:szCs w:val="17"/>
          <w:color w:val="auto"/>
        </w:rPr>
        <w:t>We may sell the Class A common stock through underwriters or dealers, directly to purchasers, or through designated agents from time to time. For additional information on the methods of sale, you should refer to the section titled “Plan of Distribution” in this prospectus and any similar section in the applicable prospectus supplement. If any underwriters are involved in the sale of any shares of Class A common stock with respect to which this prospectus is being delivered, the names of such underwriters and any applicable discounts or commissions and options to purchase additional shares of Class A common stock will be listed in a prospectus supplement. The price to the public of such shares of Class A common stock and the net proceeds we expect to receive from such sale will also be listed in a prospectus supplement.</w:t>
      </w:r>
    </w:p>
    <w:p>
      <w:pPr>
        <w:spacing w:after="0" w:line="111" w:lineRule="exact"/>
        <w:rPr>
          <w:sz w:val="20"/>
          <w:szCs w:val="20"/>
          <w:color w:val="auto"/>
        </w:rPr>
      </w:pPr>
    </w:p>
    <w:p>
      <w:pPr>
        <w:ind w:left="1260" w:right="919" w:firstLine="360"/>
        <w:spacing w:after="0" w:line="308" w:lineRule="auto"/>
        <w:rPr>
          <w:sz w:val="20"/>
          <w:szCs w:val="20"/>
          <w:color w:val="auto"/>
        </w:rPr>
      </w:pPr>
      <w:r>
        <w:rPr>
          <w:rFonts w:ascii="Arial" w:cs="Arial" w:eastAsia="Arial" w:hAnsi="Arial"/>
          <w:sz w:val="17"/>
          <w:szCs w:val="17"/>
          <w:color w:val="auto"/>
        </w:rPr>
        <w:t>Our Class A common stock is listed on The Nasdaq Global Market under the symbol “MDB.” On June 28, 2021, the last reported sale price of our Class A common stock was $389.23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179070</wp:posOffset>
            </wp:positionV>
            <wp:extent cx="12344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7"/>
          <w:szCs w:val="17"/>
          <w:b w:val="1"/>
          <w:bCs w:val="1"/>
          <w:color w:val="auto"/>
        </w:rPr>
        <w:t>Investing in our Class A common stock involves a high degree of risk. You should review carefully the risks and uncertainties described in the section titled “Risk Factors” included in, or incorporated by reference into, the applicable prospectus supplement and in any free writing prospectuses we have authorized for use in connection with a specific offering, and under similar headings in the other documents that are incorporated by reference into this prospectus.</w:t>
      </w:r>
    </w:p>
    <w:p>
      <w:pPr>
        <w:spacing w:after="0" w:line="100" w:lineRule="exact"/>
        <w:rPr>
          <w:sz w:val="20"/>
          <w:szCs w:val="20"/>
          <w:color w:val="auto"/>
        </w:rPr>
      </w:pPr>
    </w:p>
    <w:p>
      <w:pPr>
        <w:ind w:left="1260" w:right="659" w:firstLine="360"/>
        <w:spacing w:after="0" w:line="282" w:lineRule="auto"/>
        <w:rPr>
          <w:sz w:val="20"/>
          <w:szCs w:val="20"/>
          <w:color w:val="auto"/>
        </w:rPr>
      </w:pPr>
      <w:r>
        <w:rPr>
          <w:rFonts w:ascii="Arial" w:cs="Arial" w:eastAsia="Arial" w:hAnsi="Arial"/>
          <w:sz w:val="18"/>
          <w:szCs w:val="18"/>
          <w:b w:val="1"/>
          <w:bCs w:val="1"/>
          <w:color w:val="auto"/>
        </w:rPr>
        <w:t>This prospectus may not be used to consummate a sale of securities unless accompanied by a prospectus supplement.</w:t>
      </w:r>
    </w:p>
    <w:p>
      <w:pPr>
        <w:spacing w:after="0" w:line="81" w:lineRule="exact"/>
        <w:rPr>
          <w:sz w:val="20"/>
          <w:szCs w:val="20"/>
          <w:color w:val="auto"/>
        </w:rPr>
      </w:pPr>
    </w:p>
    <w:p>
      <w:pPr>
        <w:ind w:left="1260" w:right="659" w:firstLine="36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6"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The date of this prospectus is June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1204595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TABLE OF CONTENTS</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20" w:type="dxa"/>
            <w:vAlign w:val="bottom"/>
            <w:gridSpan w:val="4"/>
          </w:tcPr>
          <w:p>
            <w:pPr>
              <w:ind w:left="20"/>
              <w:spacing w:after="0"/>
              <w:rPr>
                <w:sz w:val="20"/>
                <w:szCs w:val="20"/>
                <w:color w:val="auto"/>
              </w:rPr>
            </w:pPr>
            <w:r>
              <w:rPr>
                <w:rFonts w:ascii="Arial" w:cs="Arial" w:eastAsia="Arial" w:hAnsi="Arial"/>
                <w:sz w:val="14"/>
                <w:szCs w:val="14"/>
                <w:b w:val="1"/>
                <w:bCs w:val="1"/>
                <w:color w:val="auto"/>
                <w:w w:val="83"/>
              </w:rPr>
              <w:t>Page</w:t>
            </w:r>
          </w:p>
        </w:tc>
      </w:tr>
      <w:tr>
        <w:trPr>
          <w:trHeight w:val="66"/>
        </w:trPr>
        <w:tc>
          <w:tcPr>
            <w:tcW w:w="800" w:type="dxa"/>
            <w:vAlign w:val="bottom"/>
            <w:tcBorders>
              <w:bottom w:val="single" w:sz="8" w:color="CCEEFF"/>
            </w:tcBorders>
          </w:tcPr>
          <w:p>
            <w:pPr>
              <w:spacing w:after="0"/>
              <w:rPr>
                <w:sz w:val="5"/>
                <w:szCs w:val="5"/>
                <w:color w:val="auto"/>
              </w:rPr>
            </w:pPr>
          </w:p>
        </w:tc>
        <w:tc>
          <w:tcPr>
            <w:tcW w:w="50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48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48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c>
          <w:tcPr>
            <w:tcW w:w="142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238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r>
      <w:tr>
        <w:trPr>
          <w:trHeight w:val="298"/>
        </w:trPr>
        <w:tc>
          <w:tcPr>
            <w:tcW w:w="7880" w:type="dxa"/>
            <w:vAlign w:val="bottom"/>
            <w:gridSpan w:val="13"/>
            <w:shd w:val="clear" w:color="auto" w:fill="CCEEFF"/>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gridSpan w:val="2"/>
            <w:shd w:val="clear" w:color="auto" w:fill="CCEEFF"/>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ii</w:t>
              </w:r>
            </w:hyperlink>
          </w:p>
        </w:tc>
      </w:tr>
      <w:tr>
        <w:trPr>
          <w:trHeight w:val="257"/>
        </w:trPr>
        <w:tc>
          <w:tcPr>
            <w:tcW w:w="2300" w:type="dxa"/>
            <w:vAlign w:val="bottom"/>
            <w:tcBorders>
              <w:top w:val="single" w:sz="8" w:color="0000EE"/>
            </w:tcBorders>
            <w:gridSpan w:val="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5580" w:type="dxa"/>
            <w:vAlign w:val="bottom"/>
            <w:tcBorders>
              <w:top w:val="single" w:sz="8" w:color="CCEEFF"/>
            </w:tcBorders>
            <w:gridSpan w:val="6"/>
          </w:tcPr>
          <w:p>
            <w:pPr>
              <w:spacing w:after="0"/>
              <w:rPr>
                <w:sz w:val="22"/>
                <w:szCs w:val="22"/>
                <w:color w:val="auto"/>
              </w:rPr>
            </w:pPr>
          </w:p>
        </w:tc>
        <w:tc>
          <w:tcPr>
            <w:tcW w:w="160" w:type="dxa"/>
            <w:vAlign w:val="bottom"/>
            <w:tcBorders>
              <w:top w:val="single" w:sz="8" w:color="CCEEFF"/>
            </w:tcBorders>
            <w:gridSpan w:val="2"/>
          </w:tcPr>
          <w:p>
            <w:pPr>
              <w:spacing w:after="0"/>
              <w:rPr>
                <w:sz w:val="22"/>
                <w:szCs w:val="22"/>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c>
          <w:tcPr>
            <w:tcW w:w="60" w:type="dxa"/>
            <w:vAlign w:val="bottom"/>
            <w:tcBorders>
              <w:top w:val="single" w:sz="8" w:color="CCEEFF"/>
            </w:tcBorders>
          </w:tcPr>
          <w:p>
            <w:pPr>
              <w:spacing w:after="0"/>
              <w:rPr>
                <w:sz w:val="22"/>
                <w:szCs w:val="22"/>
                <w:color w:val="auto"/>
              </w:rPr>
            </w:pPr>
          </w:p>
        </w:tc>
      </w:tr>
      <w:tr>
        <w:trPr>
          <w:trHeight w:val="48"/>
        </w:trPr>
        <w:tc>
          <w:tcPr>
            <w:tcW w:w="80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3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r>
      <w:tr>
        <w:trPr>
          <w:trHeight w:val="318"/>
        </w:trPr>
        <w:tc>
          <w:tcPr>
            <w:tcW w:w="1300" w:type="dxa"/>
            <w:vAlign w:val="bottom"/>
            <w:tcBorders>
              <w:bottom w:val="single" w:sz="8" w:color="0000EE"/>
            </w:tcBorders>
            <w:gridSpan w:val="2"/>
            <w:shd w:val="clear" w:color="auto" w:fill="CCEEFF"/>
          </w:tcPr>
          <w:p>
            <w:pPr>
              <w:spacing w:after="0"/>
              <w:rPr>
                <w:rFonts w:ascii="Arial" w:cs="Arial" w:eastAsia="Arial" w:hAnsi="Arial"/>
                <w:sz w:val="18"/>
                <w:szCs w:val="18"/>
                <w:color w:val="0000EE"/>
                <w:w w:val="96"/>
              </w:rPr>
            </w:pPr>
            <w:hyperlink w:anchor="page7">
              <w:r>
                <w:rPr>
                  <w:rFonts w:ascii="Arial" w:cs="Arial" w:eastAsia="Arial" w:hAnsi="Arial"/>
                  <w:sz w:val="18"/>
                  <w:szCs w:val="18"/>
                  <w:color w:val="0000EE"/>
                  <w:w w:val="96"/>
                </w:rPr>
                <w:t>RISK FACTORS</w:t>
              </w:r>
            </w:hyperlink>
          </w:p>
        </w:tc>
        <w:tc>
          <w:tcPr>
            <w:tcW w:w="6580" w:type="dxa"/>
            <w:vAlign w:val="bottom"/>
            <w:tcBorders>
              <w:bottom w:val="single" w:sz="8" w:color="CCEEFF"/>
            </w:tcBorders>
            <w:gridSpan w:val="11"/>
            <w:shd w:val="clear" w:color="auto" w:fill="CCEEFF"/>
          </w:tcPr>
          <w:p>
            <w:pPr>
              <w:spacing w:after="0"/>
              <w:rPr>
                <w:sz w:val="24"/>
                <w:szCs w:val="24"/>
                <w:color w:val="auto"/>
              </w:rPr>
            </w:pPr>
          </w:p>
        </w:tc>
        <w:tc>
          <w:tcPr>
            <w:tcW w:w="160" w:type="dxa"/>
            <w:vAlign w:val="bottom"/>
            <w:tcBorders>
              <w:bottom w:val="single" w:sz="8" w:color="CCEEFF"/>
            </w:tcBorders>
            <w:gridSpan w:val="2"/>
            <w:shd w:val="clear" w:color="auto" w:fill="CCEEFF"/>
          </w:tcPr>
          <w:p>
            <w:pPr>
              <w:spacing w:after="0"/>
              <w:rPr>
                <w:sz w:val="24"/>
                <w:szCs w:val="24"/>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3</w:t>
              </w:r>
            </w:hyperlink>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7880" w:type="dxa"/>
            <w:vAlign w:val="bottom"/>
            <w:gridSpan w:val="13"/>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SPECIAL NOTE REGARDING FORWARD-LOOKING STATEMENTS</w:t>
              </w:r>
            </w:hyperlink>
          </w:p>
        </w:tc>
        <w:tc>
          <w:tcPr>
            <w:tcW w:w="26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4</w:t>
              </w:r>
            </w:hyperlink>
          </w:p>
        </w:tc>
        <w:tc>
          <w:tcPr>
            <w:tcW w:w="60" w:type="dxa"/>
            <w:vAlign w:val="bottom"/>
          </w:tcPr>
          <w:p>
            <w:pPr>
              <w:spacing w:after="0"/>
              <w:rPr>
                <w:sz w:val="23"/>
                <w:szCs w:val="23"/>
                <w:color w:val="auto"/>
              </w:rPr>
            </w:pPr>
          </w:p>
        </w:tc>
      </w:tr>
      <w:tr>
        <w:trPr>
          <w:trHeight w:val="48"/>
        </w:trPr>
        <w:tc>
          <w:tcPr>
            <w:tcW w:w="80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14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3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r>
      <w:tr>
        <w:trPr>
          <w:trHeight w:val="317"/>
        </w:trPr>
        <w:tc>
          <w:tcPr>
            <w:tcW w:w="1640" w:type="dxa"/>
            <w:vAlign w:val="bottom"/>
            <w:tcBorders>
              <w:bottom w:val="single" w:sz="8" w:color="0000EE"/>
            </w:tcBorders>
            <w:gridSpan w:val="4"/>
            <w:shd w:val="clear" w:color="auto" w:fill="CCEEFF"/>
          </w:tcPr>
          <w:p>
            <w:pPr>
              <w:spacing w:after="0"/>
              <w:rPr>
                <w:rFonts w:ascii="Arial" w:cs="Arial" w:eastAsia="Arial" w:hAnsi="Arial"/>
                <w:sz w:val="18"/>
                <w:szCs w:val="18"/>
                <w:color w:val="0000EE"/>
                <w:w w:val="93"/>
              </w:rPr>
            </w:pPr>
            <w:hyperlink w:anchor="page10">
              <w:r>
                <w:rPr>
                  <w:rFonts w:ascii="Arial" w:cs="Arial" w:eastAsia="Arial" w:hAnsi="Arial"/>
                  <w:sz w:val="18"/>
                  <w:szCs w:val="18"/>
                  <w:color w:val="0000EE"/>
                  <w:w w:val="93"/>
                </w:rPr>
                <w:t>USE OF PROCEEDS</w:t>
              </w:r>
            </w:hyperlink>
          </w:p>
        </w:tc>
        <w:tc>
          <w:tcPr>
            <w:tcW w:w="6240" w:type="dxa"/>
            <w:vAlign w:val="bottom"/>
            <w:tcBorders>
              <w:bottom w:val="single" w:sz="8" w:color="CCEEFF"/>
            </w:tcBorders>
            <w:gridSpan w:val="9"/>
            <w:shd w:val="clear" w:color="auto" w:fill="CCEEFF"/>
          </w:tcPr>
          <w:p>
            <w:pPr>
              <w:spacing w:after="0"/>
              <w:rPr>
                <w:sz w:val="24"/>
                <w:szCs w:val="24"/>
                <w:color w:val="auto"/>
              </w:rPr>
            </w:pPr>
          </w:p>
        </w:tc>
        <w:tc>
          <w:tcPr>
            <w:tcW w:w="160" w:type="dxa"/>
            <w:vAlign w:val="bottom"/>
            <w:tcBorders>
              <w:bottom w:val="single" w:sz="8" w:color="CCEEFF"/>
            </w:tcBorders>
            <w:gridSpan w:val="2"/>
            <w:shd w:val="clear" w:color="auto" w:fill="CCEEFF"/>
          </w:tcPr>
          <w:p>
            <w:pPr>
              <w:spacing w:after="0"/>
              <w:rPr>
                <w:sz w:val="24"/>
                <w:szCs w:val="24"/>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6</w:t>
              </w:r>
            </w:hyperlink>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7880" w:type="dxa"/>
            <w:vAlign w:val="bottom"/>
            <w:gridSpan w:val="13"/>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SECURITIES WE MAY OFFER</w:t>
              </w:r>
            </w:hyperlink>
          </w:p>
        </w:tc>
        <w:tc>
          <w:tcPr>
            <w:tcW w:w="260" w:type="dxa"/>
            <w:vAlign w:val="bottom"/>
            <w:gridSpan w:val="3"/>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7</w:t>
              </w:r>
            </w:hyperlink>
          </w:p>
        </w:tc>
        <w:tc>
          <w:tcPr>
            <w:tcW w:w="60" w:type="dxa"/>
            <w:vAlign w:val="bottom"/>
          </w:tcPr>
          <w:p>
            <w:pPr>
              <w:spacing w:after="0"/>
              <w:rPr>
                <w:sz w:val="23"/>
                <w:szCs w:val="23"/>
                <w:color w:val="auto"/>
              </w:rPr>
            </w:pPr>
          </w:p>
        </w:tc>
      </w:tr>
      <w:tr>
        <w:trPr>
          <w:trHeight w:val="48"/>
        </w:trPr>
        <w:tc>
          <w:tcPr>
            <w:tcW w:w="80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3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r>
      <w:tr>
        <w:trPr>
          <w:trHeight w:val="270"/>
        </w:trPr>
        <w:tc>
          <w:tcPr>
            <w:tcW w:w="7880" w:type="dxa"/>
            <w:vAlign w:val="bottom"/>
            <w:gridSpan w:val="13"/>
            <w:shd w:val="clear" w:color="auto" w:fill="CCEEFF"/>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DESCRIPTION OF CAPITAL STOCK</w:t>
              </w:r>
            </w:hyperlink>
          </w:p>
        </w:tc>
        <w:tc>
          <w:tcPr>
            <w:tcW w:w="260" w:type="dxa"/>
            <w:vAlign w:val="bottom"/>
            <w:gridSpan w:val="3"/>
            <w:shd w:val="clear" w:color="auto" w:fill="CCEEFF"/>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8</w:t>
              </w:r>
            </w:hyperlink>
          </w:p>
        </w:tc>
        <w:tc>
          <w:tcPr>
            <w:tcW w:w="60" w:type="dxa"/>
            <w:vAlign w:val="bottom"/>
            <w:shd w:val="clear" w:color="auto" w:fill="CCEEFF"/>
          </w:tcPr>
          <w:p>
            <w:pPr>
              <w:spacing w:after="0"/>
              <w:rPr>
                <w:sz w:val="23"/>
                <w:szCs w:val="23"/>
                <w:color w:val="auto"/>
              </w:rPr>
            </w:pPr>
          </w:p>
        </w:tc>
      </w:tr>
      <w:tr>
        <w:trPr>
          <w:trHeight w:val="48"/>
        </w:trPr>
        <w:tc>
          <w:tcPr>
            <w:tcW w:w="80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3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70"/>
        </w:trPr>
        <w:tc>
          <w:tcPr>
            <w:tcW w:w="2960" w:type="dxa"/>
            <w:vAlign w:val="bottom"/>
            <w:gridSpan w:val="9"/>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PLAN OF DISTRIBUTION</w:t>
              </w:r>
            </w:hyperlink>
          </w:p>
        </w:tc>
        <w:tc>
          <w:tcPr>
            <w:tcW w:w="4920" w:type="dxa"/>
            <w:vAlign w:val="bottom"/>
            <w:gridSpan w:val="4"/>
          </w:tcPr>
          <w:p>
            <w:pPr>
              <w:spacing w:after="0"/>
              <w:rPr>
                <w:sz w:val="23"/>
                <w:szCs w:val="23"/>
                <w:color w:val="auto"/>
              </w:rPr>
            </w:pPr>
          </w:p>
        </w:tc>
        <w:tc>
          <w:tcPr>
            <w:tcW w:w="26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12</w:t>
              </w:r>
            </w:hyperlink>
          </w:p>
        </w:tc>
        <w:tc>
          <w:tcPr>
            <w:tcW w:w="60" w:type="dxa"/>
            <w:vAlign w:val="bottom"/>
          </w:tcPr>
          <w:p>
            <w:pPr>
              <w:spacing w:after="0"/>
              <w:rPr>
                <w:sz w:val="23"/>
                <w:szCs w:val="23"/>
                <w:color w:val="auto"/>
              </w:rPr>
            </w:pPr>
          </w:p>
        </w:tc>
      </w:tr>
      <w:tr>
        <w:trPr>
          <w:trHeight w:val="48"/>
        </w:trPr>
        <w:tc>
          <w:tcPr>
            <w:tcW w:w="80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3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r>
      <w:tr>
        <w:trPr>
          <w:trHeight w:val="270"/>
        </w:trPr>
        <w:tc>
          <w:tcPr>
            <w:tcW w:w="1500" w:type="dxa"/>
            <w:vAlign w:val="bottom"/>
            <w:gridSpan w:val="3"/>
            <w:shd w:val="clear" w:color="auto" w:fill="CCEEFF"/>
          </w:tcPr>
          <w:p>
            <w:pPr>
              <w:spacing w:after="0"/>
              <w:rPr>
                <w:rFonts w:ascii="Arial" w:cs="Arial" w:eastAsia="Arial" w:hAnsi="Arial"/>
                <w:sz w:val="18"/>
                <w:szCs w:val="18"/>
                <w:color w:val="0000EE"/>
                <w:w w:val="99"/>
              </w:rPr>
            </w:pPr>
            <w:hyperlink w:anchor="page18">
              <w:r>
                <w:rPr>
                  <w:rFonts w:ascii="Arial" w:cs="Arial" w:eastAsia="Arial" w:hAnsi="Arial"/>
                  <w:sz w:val="18"/>
                  <w:szCs w:val="18"/>
                  <w:color w:val="0000EE"/>
                  <w:w w:val="99"/>
                </w:rPr>
                <w:t>LEGAL MATTERS</w:t>
              </w:r>
            </w:hyperlink>
          </w:p>
        </w:tc>
        <w:tc>
          <w:tcPr>
            <w:tcW w:w="6380" w:type="dxa"/>
            <w:vAlign w:val="bottom"/>
            <w:gridSpan w:val="10"/>
            <w:shd w:val="clear" w:color="auto" w:fill="CCEEFF"/>
          </w:tcPr>
          <w:p>
            <w:pPr>
              <w:spacing w:after="0"/>
              <w:rPr>
                <w:sz w:val="23"/>
                <w:szCs w:val="23"/>
                <w:color w:val="auto"/>
              </w:rPr>
            </w:pPr>
          </w:p>
        </w:tc>
        <w:tc>
          <w:tcPr>
            <w:tcW w:w="260" w:type="dxa"/>
            <w:vAlign w:val="bottom"/>
            <w:gridSpan w:val="3"/>
            <w:shd w:val="clear" w:color="auto" w:fill="CCEEFF"/>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14</w:t>
              </w:r>
            </w:hyperlink>
          </w:p>
        </w:tc>
        <w:tc>
          <w:tcPr>
            <w:tcW w:w="60" w:type="dxa"/>
            <w:vAlign w:val="bottom"/>
            <w:shd w:val="clear" w:color="auto" w:fill="CCEEFF"/>
          </w:tcPr>
          <w:p>
            <w:pPr>
              <w:spacing w:after="0"/>
              <w:rPr>
                <w:sz w:val="23"/>
                <w:szCs w:val="23"/>
                <w:color w:val="auto"/>
              </w:rPr>
            </w:pPr>
          </w:p>
        </w:tc>
      </w:tr>
      <w:tr>
        <w:trPr>
          <w:trHeight w:val="48"/>
        </w:trPr>
        <w:tc>
          <w:tcPr>
            <w:tcW w:w="80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3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70"/>
        </w:trPr>
        <w:tc>
          <w:tcPr>
            <w:tcW w:w="1500" w:type="dxa"/>
            <w:vAlign w:val="bottom"/>
            <w:gridSpan w:val="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EXPERTS</w:t>
              </w:r>
            </w:hyperlink>
          </w:p>
        </w:tc>
        <w:tc>
          <w:tcPr>
            <w:tcW w:w="6380" w:type="dxa"/>
            <w:vAlign w:val="bottom"/>
            <w:gridSpan w:val="10"/>
          </w:tcPr>
          <w:p>
            <w:pPr>
              <w:spacing w:after="0"/>
              <w:rPr>
                <w:sz w:val="23"/>
                <w:szCs w:val="23"/>
                <w:color w:val="auto"/>
              </w:rPr>
            </w:pPr>
          </w:p>
        </w:tc>
        <w:tc>
          <w:tcPr>
            <w:tcW w:w="26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14</w:t>
              </w:r>
            </w:hyperlink>
          </w:p>
        </w:tc>
        <w:tc>
          <w:tcPr>
            <w:tcW w:w="60" w:type="dxa"/>
            <w:vAlign w:val="bottom"/>
          </w:tcPr>
          <w:p>
            <w:pPr>
              <w:spacing w:after="0"/>
              <w:rPr>
                <w:sz w:val="23"/>
                <w:szCs w:val="23"/>
                <w:color w:val="auto"/>
              </w:rPr>
            </w:pPr>
          </w:p>
        </w:tc>
      </w:tr>
      <w:tr>
        <w:trPr>
          <w:trHeight w:val="48"/>
        </w:trPr>
        <w:tc>
          <w:tcPr>
            <w:tcW w:w="800" w:type="dxa"/>
            <w:vAlign w:val="bottom"/>
            <w:tcBorders>
              <w:top w:val="single" w:sz="8" w:color="0000EE"/>
            </w:tcBorders>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3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r>
      <w:tr>
        <w:trPr>
          <w:trHeight w:val="270"/>
        </w:trPr>
        <w:tc>
          <w:tcPr>
            <w:tcW w:w="3940" w:type="dxa"/>
            <w:vAlign w:val="bottom"/>
            <w:gridSpan w:val="10"/>
            <w:shd w:val="clear" w:color="auto" w:fill="CCEEFF"/>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WHERE YOU CAN FIND MORE INFORMATION</w:t>
              </w:r>
            </w:hyperlink>
          </w:p>
        </w:tc>
        <w:tc>
          <w:tcPr>
            <w:tcW w:w="3940" w:type="dxa"/>
            <w:vAlign w:val="bottom"/>
            <w:gridSpan w:val="3"/>
            <w:shd w:val="clear" w:color="auto" w:fill="CCEEFF"/>
          </w:tcPr>
          <w:p>
            <w:pPr>
              <w:spacing w:after="0"/>
              <w:rPr>
                <w:sz w:val="23"/>
                <w:szCs w:val="23"/>
                <w:color w:val="auto"/>
              </w:rPr>
            </w:pPr>
          </w:p>
        </w:tc>
        <w:tc>
          <w:tcPr>
            <w:tcW w:w="260" w:type="dxa"/>
            <w:vAlign w:val="bottom"/>
            <w:gridSpan w:val="3"/>
            <w:shd w:val="clear" w:color="auto" w:fill="CCEEFF"/>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14</w:t>
              </w:r>
            </w:hyperlink>
          </w:p>
        </w:tc>
        <w:tc>
          <w:tcPr>
            <w:tcW w:w="60" w:type="dxa"/>
            <w:vAlign w:val="bottom"/>
            <w:shd w:val="clear" w:color="auto" w:fill="CCEEFF"/>
          </w:tcPr>
          <w:p>
            <w:pPr>
              <w:spacing w:after="0"/>
              <w:rPr>
                <w:sz w:val="23"/>
                <w:szCs w:val="23"/>
                <w:color w:val="auto"/>
              </w:rPr>
            </w:pPr>
          </w:p>
        </w:tc>
      </w:tr>
      <w:tr>
        <w:trPr>
          <w:trHeight w:val="48"/>
        </w:trPr>
        <w:tc>
          <w:tcPr>
            <w:tcW w:w="80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0000EE"/>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3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70"/>
        </w:trPr>
        <w:tc>
          <w:tcPr>
            <w:tcW w:w="5360" w:type="dxa"/>
            <w:vAlign w:val="bottom"/>
            <w:gridSpan w:val="11"/>
          </w:tcPr>
          <w:p>
            <w:pPr>
              <w:spacing w:after="0"/>
              <w:rPr>
                <w:rFonts w:ascii="Arial" w:cs="Arial" w:eastAsia="Arial" w:hAnsi="Arial"/>
                <w:sz w:val="18"/>
                <w:szCs w:val="18"/>
                <w:color w:val="0000EE"/>
                <w:w w:val="98"/>
              </w:rPr>
            </w:pPr>
            <w:hyperlink w:anchor="page18">
              <w:r>
                <w:rPr>
                  <w:rFonts w:ascii="Arial" w:cs="Arial" w:eastAsia="Arial" w:hAnsi="Arial"/>
                  <w:sz w:val="18"/>
                  <w:szCs w:val="18"/>
                  <w:color w:val="0000EE"/>
                  <w:w w:val="98"/>
                </w:rPr>
                <w:t>INCORPORATION OF CERTAIN INFORMATION BY REFERENCE</w:t>
              </w:r>
            </w:hyperlink>
          </w:p>
        </w:tc>
        <w:tc>
          <w:tcPr>
            <w:tcW w:w="2520" w:type="dxa"/>
            <w:vAlign w:val="bottom"/>
            <w:gridSpan w:val="2"/>
          </w:tcPr>
          <w:p>
            <w:pPr>
              <w:spacing w:after="0"/>
              <w:rPr>
                <w:sz w:val="23"/>
                <w:szCs w:val="23"/>
                <w:color w:val="auto"/>
              </w:rPr>
            </w:pPr>
          </w:p>
        </w:tc>
        <w:tc>
          <w:tcPr>
            <w:tcW w:w="26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14</w:t>
              </w:r>
            </w:hyperlink>
          </w:p>
        </w:tc>
        <w:tc>
          <w:tcPr>
            <w:tcW w:w="60" w:type="dxa"/>
            <w:vAlign w:val="bottom"/>
          </w:tcPr>
          <w:p>
            <w:pPr>
              <w:spacing w:after="0"/>
              <w:rPr>
                <w:sz w:val="23"/>
                <w:szCs w:val="23"/>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-2527935</wp:posOffset>
            </wp:positionV>
            <wp:extent cx="50063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006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ABOUT THIS PROSPECTUS</w:t>
      </w:r>
    </w:p>
    <w:p>
      <w:pPr>
        <w:spacing w:after="0" w:line="14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This prospectus is part of an automatic registration statement on Form S-3 that we filed with the Securities and Exchange Commission (“SEC”), using a “shelf” registration process as a “well-known seasoned issuer” as defined in Rule 405 under the Securities Act of 1933, as amended (the “Securities Act”). You should rely only on the information contained, or incorporated by reference, in this prospectus and any accompanying prospectus supplement, and any free writing prospectus we authorize for use in connection with the applicable offering. We have not authorized anyone to provide you with different information. If anyone provides you with different or inconsistent information, you should not rely on it. You should assume that the information in this prospectus, any accompanying prospectus supplement, the documents incorporated by reference herein or therein, and any free writing prospectus we have authorized for use in connection with the applicable offering is accurate or complete only as of their respective dates, regardless of the time of delivery of this prospectus, the accompanying prospectus supplement, and any authorized free writing prospectus. Our business, financial condition, results of operations, and prospects may have changed since those dates.</w:t>
      </w:r>
    </w:p>
    <w:p>
      <w:pPr>
        <w:spacing w:after="0" w:line="131"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In this prospectus, as permitted by law, we “incorporate by reference” information from other documents that we file with the SEC. This means that we can disclose important information to you by referring you to those documents. The information incorporated by reference is considered to be a part of this prospectus and any accompanying prospectus and should be read with the same care. When we update the information contained in documents that have been incorporated by reference by making future filings with the SEC, the information included or incorporated by reference in this prospectus is considered to be automatically updated and superseded. In case of a conflict or inconsistency between information contained in this prospectus and information in any accompanying prospectus supplement or incorporated by reference into this prospectus, you should rely on the information contained in the document that was filed later. See “Incorporation of Certain Information by Reference” in this prospectus.</w:t>
      </w:r>
    </w:p>
    <w:p>
      <w:pPr>
        <w:spacing w:after="0" w:line="118"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We have not authorized anyone to provide any information other than that included or incorporated by reference in this prospectus, in any prospectus supplement or in any free writing prospectus prepared by or on behalf of us or to which we have referred you. We take no responsibility for, and can provide no assurance as to the reliability of, any other information that others may give you. We are not making an offer of these securities in any state where the offer is not permitted. You should not assume that the information included or incorporated by reference in this prospectus or any prospectus supplement or in any such free writing prospectus is accurate as of any date other than their respective dates.</w:t>
      </w:r>
    </w:p>
    <w:p>
      <w:pPr>
        <w:spacing w:after="0" w:line="96" w:lineRule="exact"/>
        <w:rPr>
          <w:sz w:val="20"/>
          <w:szCs w:val="20"/>
          <w:color w:val="auto"/>
        </w:rPr>
      </w:pPr>
    </w:p>
    <w:p>
      <w:pPr>
        <w:ind w:left="1260" w:right="619" w:firstLine="360"/>
        <w:spacing w:after="0" w:line="259" w:lineRule="auto"/>
        <w:rPr>
          <w:sz w:val="20"/>
          <w:szCs w:val="20"/>
          <w:color w:val="auto"/>
        </w:rPr>
      </w:pPr>
      <w:r>
        <w:rPr>
          <w:rFonts w:ascii="Arial" w:cs="Arial" w:eastAsia="Arial" w:hAnsi="Arial"/>
          <w:sz w:val="18"/>
          <w:szCs w:val="18"/>
          <w:color w:val="auto"/>
        </w:rPr>
        <w:t>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w:t>
      </w:r>
    </w:p>
    <w:p>
      <w:pPr>
        <w:spacing w:after="0" w:line="119"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Unless the context otherwise requires, the terms “MongoDB,” “the Company,” “we,” “us,” and “our” in this prospectus refer to MongoDB, Inc., its divisions and its subsidiaries. All information presented herein is based on our fiscal calendar. Unless otherwise stated, references to particular years, quarters, months or periods refer to the Company’s fiscal years ended January 31 and the associated quarters, months and periods of those fiscal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PROSPECTUS SUMMARY</w:t>
      </w:r>
    </w:p>
    <w:p>
      <w:pPr>
        <w:spacing w:after="0" w:line="162" w:lineRule="exact"/>
        <w:rPr>
          <w:sz w:val="20"/>
          <w:szCs w:val="20"/>
          <w:color w:val="auto"/>
        </w:rPr>
      </w:pPr>
    </w:p>
    <w:p>
      <w:pPr>
        <w:ind w:left="1280" w:right="459" w:firstLine="360"/>
        <w:spacing w:after="0" w:line="238"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sections titled “Risk Factors” contained in this prospectus, the applicable prospectus supplement and any related free writing prospectus, and under similar sections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18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Company Overview</w:t>
      </w:r>
    </w:p>
    <w:p>
      <w:pPr>
        <w:spacing w:after="0" w:line="162" w:lineRule="exact"/>
        <w:rPr>
          <w:sz w:val="20"/>
          <w:szCs w:val="20"/>
          <w:color w:val="auto"/>
        </w:rPr>
      </w:pPr>
    </w:p>
    <w:p>
      <w:pPr>
        <w:ind w:left="1280" w:right="419" w:firstLine="360"/>
        <w:spacing w:after="0" w:line="237" w:lineRule="auto"/>
        <w:rPr>
          <w:sz w:val="20"/>
          <w:szCs w:val="20"/>
          <w:color w:val="auto"/>
        </w:rPr>
      </w:pPr>
      <w:r>
        <w:rPr>
          <w:rFonts w:ascii="Arial" w:cs="Arial" w:eastAsia="Arial" w:hAnsi="Arial"/>
          <w:sz w:val="18"/>
          <w:szCs w:val="18"/>
          <w:color w:val="auto"/>
        </w:rPr>
        <w:t>MongoDB is the leading modern, general purpose database platform. Our robust platform enables developers to build and modernize applications rapidly and cost-effectively across a broad range of use cases. Organizations can deploy our platform at scale in the cloud, on-premise, or in a hybrid environment. Through our unique document-based architecture, we are able to address the needs of organizations for performance, scalability, flexibility and reliability while maintaining the strengths of legacy databases. Software applications are redefining how organizations across industries engage with their customers, operate their businesses and compete with each other. A database is at the heart of every software application. As a result, selecting a database is a highly strategic decision that directly affects developer productivity, application performance and organizational competitiveness. Our platform addresses the performance, scalability, flexibility and reliability demands of modern applications, while maintaining the strengths of legacy databases. Our business model combines the developer mindshare and adoption benefits of open source with the economic benefits of a proprietary software subscription business model. MongoDB is headquartered in New York City.</w:t>
      </w:r>
    </w:p>
    <w:p>
      <w:pPr>
        <w:spacing w:after="0" w:line="110" w:lineRule="exact"/>
        <w:rPr>
          <w:sz w:val="20"/>
          <w:szCs w:val="20"/>
          <w:color w:val="auto"/>
        </w:rPr>
      </w:pPr>
    </w:p>
    <w:p>
      <w:pPr>
        <w:ind w:left="1280" w:right="439" w:firstLine="360"/>
        <w:spacing w:after="0" w:line="257" w:lineRule="auto"/>
        <w:rPr>
          <w:sz w:val="20"/>
          <w:szCs w:val="20"/>
          <w:color w:val="auto"/>
        </w:rPr>
      </w:pPr>
      <w:r>
        <w:rPr>
          <w:rFonts w:ascii="Arial" w:cs="Arial" w:eastAsia="Arial" w:hAnsi="Arial"/>
          <w:sz w:val="17"/>
          <w:szCs w:val="17"/>
          <w:color w:val="auto"/>
        </w:rPr>
        <w:t>We generate revenue primarily from sales of subscriptions. MongoDB Atlas is our hosted multi-cloud database-as-a-service (“DBaaS”) offering that includes comprehensive infrastructure and management, which we run and manage in the cloud. We have experienced strong growth in self-serve customers of MongoDB Atlas. These customers are charged monthly in arrears based on their usage. In addition, we have also seen growth in MongoDB Atlas customers sold by our sales force. These customers typically sign annual contracts and pay in advance or are invoiced monthly in arrears based on usage.</w:t>
      </w:r>
    </w:p>
    <w:p>
      <w:pPr>
        <w:spacing w:after="0" w:line="108" w:lineRule="exact"/>
        <w:rPr>
          <w:sz w:val="20"/>
          <w:szCs w:val="20"/>
          <w:color w:val="auto"/>
        </w:rPr>
      </w:pPr>
    </w:p>
    <w:p>
      <w:pPr>
        <w:ind w:left="1280" w:right="599" w:firstLine="360"/>
        <w:spacing w:after="0" w:line="243" w:lineRule="auto"/>
        <w:rPr>
          <w:sz w:val="20"/>
          <w:szCs w:val="20"/>
          <w:color w:val="auto"/>
        </w:rPr>
      </w:pPr>
      <w:r>
        <w:rPr>
          <w:rFonts w:ascii="Arial" w:cs="Arial" w:eastAsia="Arial" w:hAnsi="Arial"/>
          <w:sz w:val="18"/>
          <w:szCs w:val="18"/>
          <w:color w:val="auto"/>
        </w:rPr>
        <w:t>MongoDB Enterprise Advanced is our proprietary commercial database server offering for enterprise customers that can run in the cloud, on -premise or in a hybrid environment, and includes our proprietary commercial database server, enterprise management capabilities, our graphical user interface, analytics integrations, technical support and a commercial license to our platform.</w:t>
      </w:r>
    </w:p>
    <w:p>
      <w:pPr>
        <w:spacing w:after="0" w:line="120" w:lineRule="exact"/>
        <w:rPr>
          <w:sz w:val="20"/>
          <w:szCs w:val="20"/>
          <w:color w:val="auto"/>
        </w:rPr>
      </w:pPr>
    </w:p>
    <w:p>
      <w:pPr>
        <w:ind w:left="1280" w:right="459" w:firstLine="360"/>
        <w:spacing w:after="0" w:line="270" w:lineRule="auto"/>
        <w:rPr>
          <w:sz w:val="20"/>
          <w:szCs w:val="20"/>
          <w:color w:val="auto"/>
        </w:rPr>
      </w:pPr>
      <w:r>
        <w:rPr>
          <w:rFonts w:ascii="Arial" w:cs="Arial" w:eastAsia="Arial" w:hAnsi="Arial"/>
          <w:sz w:val="17"/>
          <w:szCs w:val="17"/>
          <w:color w:val="auto"/>
        </w:rPr>
        <w:t>We sell subscriptions directly through our field and inside sales teams, as well as indirectly through channel partners. The majority of our subscription contracts are one year in duration and are invoiced upfront. When we enter into multi-year subscriptions, we typically invoice the customer on an annual basis.</w:t>
      </w:r>
    </w:p>
    <w:p>
      <w:pPr>
        <w:spacing w:after="0" w:line="83" w:lineRule="exact"/>
        <w:rPr>
          <w:sz w:val="20"/>
          <w:szCs w:val="20"/>
          <w:color w:val="auto"/>
        </w:rPr>
      </w:pPr>
    </w:p>
    <w:p>
      <w:pPr>
        <w:ind w:left="1280" w:right="399" w:firstLine="360"/>
        <w:spacing w:after="0" w:line="248" w:lineRule="auto"/>
        <w:rPr>
          <w:sz w:val="20"/>
          <w:szCs w:val="20"/>
          <w:color w:val="auto"/>
        </w:rPr>
      </w:pPr>
      <w:r>
        <w:rPr>
          <w:rFonts w:ascii="Arial" w:cs="Arial" w:eastAsia="Arial" w:hAnsi="Arial"/>
          <w:sz w:val="18"/>
          <w:szCs w:val="18"/>
          <w:color w:val="auto"/>
        </w:rPr>
        <w:t>Many of our enterprise customers initially get to know our software by using Community Server, which is our free-to-download version of our database that includes the core functionality developers need to get started with MongoDB without all the features of our commercial platform.</w:t>
      </w:r>
    </w:p>
    <w:p>
      <w:pPr>
        <w:spacing w:after="0" w:line="114" w:lineRule="exact"/>
        <w:rPr>
          <w:sz w:val="20"/>
          <w:szCs w:val="20"/>
          <w:color w:val="auto"/>
        </w:rPr>
      </w:pPr>
    </w:p>
    <w:p>
      <w:pPr>
        <w:ind w:left="1280" w:right="419" w:firstLine="360"/>
        <w:spacing w:after="0" w:line="238" w:lineRule="auto"/>
        <w:rPr>
          <w:sz w:val="20"/>
          <w:szCs w:val="20"/>
          <w:color w:val="auto"/>
        </w:rPr>
      </w:pPr>
      <w:r>
        <w:rPr>
          <w:rFonts w:ascii="Arial" w:cs="Arial" w:eastAsia="Arial" w:hAnsi="Arial"/>
          <w:sz w:val="18"/>
          <w:szCs w:val="18"/>
          <w:color w:val="auto"/>
        </w:rPr>
        <w:t>We also offer a free tier of MongoDB Atlas, which provides access to our hosted database solution with limited processing power and storage, as well as certain operational limitations. As a result, with the availability of both Community Server and MongoDB Atlas free tier offerings, our direct sales prospects are often familiar with our platform and may have already built applications using our technology. A core component of our growth strategy for MongoDB Atlas and MongoDB Enterprise Advanced is to convert developers and their organizations who are already using Community Server or the free tier of MongoDB Atlas to become customers of our commercial products and enjoy the benefits of either a self-managed or hosted offering.</w:t>
      </w:r>
    </w:p>
    <w:p>
      <w:pPr>
        <w:spacing w:after="0" w:line="126" w:lineRule="exact"/>
        <w:rPr>
          <w:sz w:val="20"/>
          <w:szCs w:val="20"/>
          <w:color w:val="auto"/>
        </w:rPr>
      </w:pPr>
    </w:p>
    <w:p>
      <w:pPr>
        <w:ind w:left="1280" w:right="459" w:firstLine="360"/>
        <w:spacing w:after="0" w:line="291" w:lineRule="auto"/>
        <w:rPr>
          <w:sz w:val="20"/>
          <w:szCs w:val="20"/>
          <w:color w:val="auto"/>
        </w:rPr>
      </w:pPr>
      <w:r>
        <w:rPr>
          <w:rFonts w:ascii="Arial" w:cs="Arial" w:eastAsia="Arial" w:hAnsi="Arial"/>
          <w:sz w:val="17"/>
          <w:szCs w:val="17"/>
          <w:color w:val="auto"/>
        </w:rPr>
        <w:t>We also generate revenue from services, which consist primarily of fees associated with consulting and training services. We expect to continue to invest in our services organization as we believe it plays an</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579"/>
        <w:spacing w:after="0" w:line="277" w:lineRule="auto"/>
        <w:rPr>
          <w:sz w:val="20"/>
          <w:szCs w:val="20"/>
          <w:color w:val="auto"/>
        </w:rPr>
      </w:pPr>
      <w:r>
        <w:rPr>
          <w:rFonts w:ascii="Arial" w:cs="Arial" w:eastAsia="Arial" w:hAnsi="Arial"/>
          <w:sz w:val="18"/>
          <w:szCs w:val="18"/>
          <w:color w:val="auto"/>
        </w:rPr>
        <w:t>important role in accelerating our customers’ realization of the benefits of our platform, which helps drive customer retention and expansion.</w:t>
      </w:r>
    </w:p>
    <w:p>
      <w:pPr>
        <w:spacing w:after="0" w:line="8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We believe the market for our offerings is large and growing. According to IDC, the worldwide</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database software market, which it refers to as the data management software market, is forecast to be</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$73 billion in 2021 growing to approximately $119 billion in 2025, representing a 13% compound annual</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growth rate. We have experienced rapid growth and have made substantial investments in developing our</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platform and expanding our sales and marketing footprint. We intend to continue to invest heavily to grow</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our business to take advantage of our market opportunity rather than optimizing for profitability or cash</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flow in the near term.</w:t>
      </w:r>
    </w:p>
    <w:p>
      <w:pPr>
        <w:spacing w:after="0" w:line="20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Corporate Information</w:t>
      </w:r>
    </w:p>
    <w:p>
      <w:pPr>
        <w:spacing w:after="0" w:line="162" w:lineRule="exact"/>
        <w:rPr>
          <w:sz w:val="20"/>
          <w:szCs w:val="20"/>
          <w:color w:val="auto"/>
        </w:rPr>
      </w:pPr>
    </w:p>
    <w:p>
      <w:pPr>
        <w:ind w:left="1280" w:right="439" w:firstLine="360"/>
        <w:spacing w:after="0" w:line="239" w:lineRule="auto"/>
        <w:rPr>
          <w:sz w:val="20"/>
          <w:szCs w:val="20"/>
          <w:color w:val="auto"/>
        </w:rPr>
      </w:pPr>
      <w:r>
        <w:rPr>
          <w:rFonts w:ascii="Arial" w:cs="Arial" w:eastAsia="Arial" w:hAnsi="Arial"/>
          <w:sz w:val="17"/>
          <w:szCs w:val="17"/>
          <w:color w:val="auto"/>
        </w:rPr>
        <w:t>MongoDB, Inc. was incorporated under the laws of the State of Delaware in November 2007, under the name 10Gen, Inc. We changed our name to MongoDB, Inc. on August 27, 2013. Our principal executive offices are located at 1633 Broadway, 38</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Floor, New York, New York 10019, and our telephone number is</w:t>
      </w:r>
    </w:p>
    <w:p>
      <w:pPr>
        <w:spacing w:after="0" w:line="2" w:lineRule="exact"/>
        <w:rPr>
          <w:sz w:val="20"/>
          <w:szCs w:val="20"/>
          <w:color w:val="auto"/>
        </w:rPr>
      </w:pPr>
    </w:p>
    <w:p>
      <w:pPr>
        <w:ind w:left="1280" w:right="599" w:hanging="2"/>
        <w:spacing w:after="0" w:line="253" w:lineRule="auto"/>
        <w:tabs>
          <w:tab w:leader="none" w:pos="1736" w:val="left"/>
        </w:tabs>
        <w:numPr>
          <w:ilvl w:val="0"/>
          <w:numId w:val="1"/>
        </w:numPr>
        <w:rPr>
          <w:rFonts w:ascii="Arial" w:cs="Arial" w:eastAsia="Arial" w:hAnsi="Arial"/>
          <w:sz w:val="18"/>
          <w:szCs w:val="18"/>
          <w:color w:val="auto"/>
        </w:rPr>
      </w:pPr>
      <w:r>
        <w:rPr>
          <w:rFonts w:ascii="Arial" w:cs="Arial" w:eastAsia="Arial" w:hAnsi="Arial"/>
          <w:sz w:val="18"/>
          <w:szCs w:val="18"/>
          <w:color w:val="auto"/>
        </w:rPr>
        <w:t>727-4092. Our website address is www.mongodb.com. Information contained on, or that can be accessed through, our website does not constitute part of this prospectus, and you should not consider any information contained on, or that can be accessed through, our website as part of this prospectus or in deciding whether to purchase our Class A common stock.</w:t>
      </w:r>
    </w:p>
    <w:p>
      <w:pPr>
        <w:spacing w:after="0" w:line="124" w:lineRule="exact"/>
        <w:rPr>
          <w:sz w:val="20"/>
          <w:szCs w:val="20"/>
          <w:color w:val="auto"/>
        </w:rPr>
      </w:pPr>
    </w:p>
    <w:p>
      <w:pPr>
        <w:ind w:left="1280" w:right="519" w:firstLine="360"/>
        <w:spacing w:after="0" w:line="273" w:lineRule="auto"/>
        <w:rPr>
          <w:sz w:val="20"/>
          <w:szCs w:val="20"/>
          <w:color w:val="auto"/>
        </w:rPr>
      </w:pPr>
      <w:r>
        <w:rPr>
          <w:rFonts w:ascii="Arial" w:cs="Arial" w:eastAsia="Arial" w:hAnsi="Arial"/>
          <w:sz w:val="17"/>
          <w:szCs w:val="17"/>
          <w:color w:val="auto"/>
        </w:rPr>
        <w:t>“MongoDB” and the MongoDB leaf logo, and other trademarks or service marks of MongoDB, Inc. appearing in this prospectus are the property of MongoDB, Inc. Other trademarks, service marks, or trade names appearing in this prospectus are the property of their respective owners. We do not intend our use or display of other companies’ trade names, trademarks, or service marks to imply a relationship with, or endorsement or sponsorship of us by, these other companies. Solely for convenience, trademarks and trade names referred to in this prospectus may appear without the ® or ™ symbols.</w:t>
      </w:r>
    </w:p>
    <w:p>
      <w:pPr>
        <w:spacing w:after="0" w:line="17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Risks Associated with Our Business</w:t>
      </w:r>
    </w:p>
    <w:p>
      <w:pPr>
        <w:spacing w:after="0" w:line="148" w:lineRule="exact"/>
        <w:rPr>
          <w:sz w:val="20"/>
          <w:szCs w:val="20"/>
          <w:color w:val="auto"/>
        </w:rPr>
      </w:pPr>
    </w:p>
    <w:p>
      <w:pPr>
        <w:ind w:left="1280" w:right="439" w:firstLine="360"/>
        <w:spacing w:after="0" w:line="254" w:lineRule="auto"/>
        <w:rPr>
          <w:sz w:val="20"/>
          <w:szCs w:val="20"/>
          <w:color w:val="auto"/>
        </w:rPr>
      </w:pPr>
      <w:r>
        <w:rPr>
          <w:rFonts w:ascii="Arial" w:cs="Arial" w:eastAsia="Arial" w:hAnsi="Arial"/>
          <w:sz w:val="18"/>
          <w:szCs w:val="18"/>
          <w:color w:val="auto"/>
        </w:rPr>
        <w:t>An investment in our Class A common stock involves a high degree of risk. You should review carefully the risks and uncertainties described in the section titled “Risk Factors” in the applicable prospectus supplement and in any free writing prospectuses we have authorized for use in connection with a specific offering, and under similar headings in the documents that are incorporated by reference into this prospectus, including the sections titled “Risk Factors Summary” and “Risk Factors” included in our most recent Annual Report on Form 10-K, as updated by our subsequent Quarterly Reports on Form 10-Q and other filings we make with the SEC.</w:t>
      </w:r>
    </w:p>
    <w:p>
      <w:pPr>
        <w:spacing w:after="0" w:line="19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Class A Common Stock</w:t>
      </w:r>
    </w:p>
    <w:p>
      <w:pPr>
        <w:spacing w:after="0" w:line="162" w:lineRule="exact"/>
        <w:rPr>
          <w:sz w:val="20"/>
          <w:szCs w:val="20"/>
          <w:color w:val="auto"/>
        </w:rPr>
      </w:pPr>
    </w:p>
    <w:p>
      <w:pPr>
        <w:ind w:left="1280" w:right="399" w:firstLine="360"/>
        <w:spacing w:after="0" w:line="269" w:lineRule="auto"/>
        <w:rPr>
          <w:sz w:val="20"/>
          <w:szCs w:val="20"/>
          <w:color w:val="auto"/>
        </w:rPr>
      </w:pPr>
      <w:r>
        <w:rPr>
          <w:rFonts w:ascii="Arial" w:cs="Arial" w:eastAsia="Arial" w:hAnsi="Arial"/>
          <w:sz w:val="17"/>
          <w:szCs w:val="17"/>
          <w:color w:val="auto"/>
        </w:rPr>
        <w:t>From time to time, we may issue shares of our Class A common stock. The holders of our Class A common stock are entitled to one vote for each share held of record on all matters submitted to a vote of stockholders and do not have cumulative voting rights. Subject to preferences that may be applicable to any outstanding shares of preferred stock, the holders of our Class A common stock are entitled to receive ratably such dividends as may be declared by our board of directors out of legally available funds. Upon our liquidation, dissolution or winding up, holders of our Class A common stock are entitled to share ratably in all assets remaining after payment of liabilities and the liquidation preferences of any then outstanding shares of preferred stock. Our Class A common stock does not carry any preemptive rights enabling a holder to subscribe for, or receive shares of, any class of our common stock or any other securities convertible into shares of any class of our common stock, or any redemption rights.</w:t>
      </w:r>
    </w:p>
    <w:p>
      <w:pPr>
        <w:spacing w:after="0" w:line="18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ind w:left="1280" w:right="459" w:firstLine="360"/>
        <w:spacing w:after="0" w:line="279" w:lineRule="auto"/>
        <w:rPr>
          <w:sz w:val="20"/>
          <w:szCs w:val="20"/>
          <w:color w:val="auto"/>
        </w:rPr>
      </w:pPr>
      <w:r>
        <w:rPr>
          <w:rFonts w:ascii="Arial" w:cs="Arial" w:eastAsia="Arial" w:hAnsi="Arial"/>
          <w:sz w:val="17"/>
          <w:szCs w:val="17"/>
          <w:color w:val="auto"/>
        </w:rPr>
        <w:t>Except as described in any applicable prospectus supplement or in any free writing prospectus we have authorized for use in connection with a specific offering, we currently intend to use the net proceeds from the sale of Class A common stock offered by us, if any, for general corporate purposes, including working capital and capital expenditures. See the section titled “Use of Proceeds” in this prospectus.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Investing in our Class A common stock involves a high degree of risk. Before deciding whether to purchase our Class A common stock, you should consider carefully the risks and uncertainties discussed under the section titled “Risk Factors” contained in our most recent Annual Report on Form 10-K, as updated by our subsequent Quarterly Reports on Form 10-Q and other filings we make with the SEC, which are incorporated by reference into this prospectus in their entirety, together with other information in this prospectus and the documents incorporated by reference. The risks described in these documents are not the only ones we face. Additional risks and uncertainties not presently known to us or that we currently deem immaterial may also affect our operations. The occurrence of any of these known or unknown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read carefully the section below titled “Special Note Regarding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 w:name="page9"/>
    <w:bookmarkEnd w:id="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48"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color w:val="auto"/>
        </w:rPr>
        <w:t>This prospectus, as well as the documents we have filed with the SEC that are incorporated by reference in this prospectus, contain forward-looking statements within the meaning of Section 27A of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prospectus supplement include, but are not limited to, statements about:</w:t>
      </w:r>
    </w:p>
    <w:p>
      <w:pPr>
        <w:spacing w:after="0" w:line="72" w:lineRule="exact"/>
        <w:rPr>
          <w:sz w:val="20"/>
          <w:szCs w:val="20"/>
          <w:color w:val="auto"/>
        </w:rPr>
      </w:pPr>
    </w:p>
    <w:p>
      <w:pPr>
        <w:ind w:left="1800" w:right="59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operating and financial performance, ability to generate positive cash flow and ability to achieve and sustain profitability;</w:t>
      </w:r>
    </w:p>
    <w:p>
      <w:pPr>
        <w:spacing w:after="0" w:line="62" w:lineRule="exact"/>
        <w:rPr>
          <w:rFonts w:ascii="Arial" w:cs="Arial" w:eastAsia="Arial" w:hAnsi="Arial"/>
          <w:sz w:val="18"/>
          <w:szCs w:val="18"/>
          <w:color w:val="auto"/>
        </w:rPr>
      </w:pPr>
    </w:p>
    <w:p>
      <w:pPr>
        <w:ind w:left="1800" w:right="1099" w:hanging="180"/>
        <w:spacing w:after="0" w:line="308" w:lineRule="auto"/>
        <w:tabs>
          <w:tab w:leader="none" w:pos="18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successfully anticipate and satisfy customer demands, including through the introduction of new features, products or services and the provision of professional services;</w:t>
      </w:r>
    </w:p>
    <w:p>
      <w:pPr>
        <w:spacing w:after="0" w:line="24" w:lineRule="exact"/>
        <w:rPr>
          <w:rFonts w:ascii="Arial" w:cs="Arial" w:eastAsia="Arial" w:hAnsi="Arial"/>
          <w:sz w:val="17"/>
          <w:szCs w:val="17"/>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effects of increased competition in our market;</w:t>
      </w:r>
    </w:p>
    <w:p>
      <w:pPr>
        <w:spacing w:after="0" w:line="117" w:lineRule="exact"/>
        <w:rPr>
          <w:rFonts w:ascii="Arial" w:cs="Arial" w:eastAsia="Arial" w:hAnsi="Arial"/>
          <w:sz w:val="18"/>
          <w:szCs w:val="18"/>
          <w:color w:val="auto"/>
        </w:rPr>
      </w:pPr>
    </w:p>
    <w:p>
      <w:pPr>
        <w:ind w:left="1800" w:right="93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expand our sales and marketing organization and to scale our business, including entering into new markets and managing our international expansion;</w:t>
      </w:r>
    </w:p>
    <w:p>
      <w:pPr>
        <w:spacing w:after="0" w:line="62" w:lineRule="exact"/>
        <w:rPr>
          <w:rFonts w:ascii="Arial" w:cs="Arial" w:eastAsia="Arial" w:hAnsi="Arial"/>
          <w:sz w:val="18"/>
          <w:szCs w:val="18"/>
          <w:color w:val="auto"/>
        </w:rPr>
      </w:pPr>
    </w:p>
    <w:p>
      <w:pPr>
        <w:ind w:left="1800" w:right="109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the COVID-19 pandemic and any associated economic downturn on our future operating and financial performance;</w:t>
      </w:r>
    </w:p>
    <w:p>
      <w:pPr>
        <w:spacing w:after="0" w:line="62"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future trading prices of our Class A common stock and the impact of securities analysts’ reports on these prices;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continue to build and maintain credibility with the developer community;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and retain customers to use our products;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protect, enforce and enhance our intellectual property;</w:t>
      </w:r>
    </w:p>
    <w:p>
      <w:pPr>
        <w:spacing w:after="0" w:line="117" w:lineRule="exact"/>
        <w:rPr>
          <w:rFonts w:ascii="Arial" w:cs="Arial" w:eastAsia="Arial" w:hAnsi="Arial"/>
          <w:sz w:val="18"/>
          <w:szCs w:val="18"/>
          <w:color w:val="auto"/>
        </w:rPr>
      </w:pPr>
    </w:p>
    <w:p>
      <w:pPr>
        <w:ind w:left="1800" w:right="93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growth and expansion of the market for database products and our ability to penetrate such market;</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the security of our software and adequately address privacy concerns;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accurately forecast our sales cycle and make changes to our pricing model;</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form new and expand existing strategic partnerships;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attraction and retention of highly skilled and key personnel;</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enhance our brand;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effectively manage our growth and future expenses and maintain our corporate culture;</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comply with modified or new laws and regulations applying to our business; and</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anticipated use of the net proceeds of this offering.</w:t>
      </w:r>
    </w:p>
    <w:p>
      <w:pPr>
        <w:spacing w:after="0" w:line="158" w:lineRule="exact"/>
        <w:rPr>
          <w:sz w:val="20"/>
          <w:szCs w:val="20"/>
          <w:color w:val="auto"/>
        </w:rPr>
      </w:pPr>
    </w:p>
    <w:p>
      <w:pPr>
        <w:ind w:left="1260" w:right="659" w:firstLine="360"/>
        <w:spacing w:after="0" w:line="261" w:lineRule="auto"/>
        <w:rPr>
          <w:sz w:val="20"/>
          <w:szCs w:val="20"/>
          <w:color w:val="auto"/>
        </w:rPr>
      </w:pPr>
      <w:r>
        <w:rPr>
          <w:rFonts w:ascii="Arial" w:cs="Arial" w:eastAsia="Arial" w:hAnsi="Arial"/>
          <w:sz w:val="18"/>
          <w:szCs w:val="18"/>
          <w:color w:val="auto"/>
        </w:rPr>
        <w:t>We caution you that the foregoing list may not contain all of the forward-looking statements made in this prospectus.</w:t>
      </w:r>
    </w:p>
    <w:p>
      <w:pPr>
        <w:spacing w:after="0" w:line="103"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in this prospectus and the documents incorporated by reference herein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“Risk Factors” and elsewhere in this prospectus and the documents incorporated by reference herein. Moreover, we operate in a very competitive and rapidly changing environment. New risks and uncertainties emerge from time to time and it is not possible for us to predict all risks and uncertainties that</w:t>
      </w:r>
    </w:p>
    <w:p>
      <w:pPr>
        <w:spacing w:after="0" w:line="35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 w:name="page10"/>
    <w:bookmarkEnd w:id="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9" w:lineRule="auto"/>
        <w:rPr>
          <w:sz w:val="20"/>
          <w:szCs w:val="20"/>
          <w:color w:val="auto"/>
        </w:rPr>
      </w:pPr>
      <w:r>
        <w:rPr>
          <w:rFonts w:ascii="Arial" w:cs="Arial" w:eastAsia="Arial" w:hAnsi="Arial"/>
          <w:sz w:val="18"/>
          <w:szCs w:val="18"/>
          <w:color w:val="auto"/>
        </w:rPr>
        <w:t>could have an impact on the forward-looking statements contained in this prospectus supplement.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06"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We intend to continue to evaluate and consider potential strategic transactions, and such acquisitions may include the issuance of our Class A common stock as consideration, resulting in dilution to existing stockholders. Our forward-looking statements do not reflect the potential impact of any future acquisitions, mergers, dispositions, joint ventures or investments we may make.</w:t>
      </w:r>
    </w:p>
    <w:p>
      <w:pPr>
        <w:spacing w:after="0" w:line="119" w:lineRule="exact"/>
        <w:rPr>
          <w:sz w:val="20"/>
          <w:szCs w:val="20"/>
          <w:color w:val="auto"/>
        </w:rPr>
      </w:pPr>
    </w:p>
    <w:p>
      <w:pPr>
        <w:jc w:val="both"/>
        <w:ind w:left="1260" w:right="539" w:firstLine="360"/>
        <w:spacing w:after="0" w:line="279" w:lineRule="auto"/>
        <w:rPr>
          <w:sz w:val="20"/>
          <w:szCs w:val="20"/>
          <w:color w:val="auto"/>
        </w:rPr>
      </w:pPr>
      <w:r>
        <w:rPr>
          <w:rFonts w:ascii="Arial" w:cs="Arial" w:eastAsia="Arial" w:hAnsi="Arial"/>
          <w:sz w:val="17"/>
          <w:szCs w:val="17"/>
          <w:color w:val="auto"/>
        </w:rPr>
        <w:t>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prospectus or to conform these statements to actual results or to changes in our expectations.</w:t>
      </w:r>
    </w:p>
    <w:p>
      <w:pPr>
        <w:spacing w:after="0" w:line="104"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relevant information. These statements are inherently uncertain and investors are cautioned not to unduly rely upon these statements.</w:t>
      </w:r>
    </w:p>
    <w:p>
      <w:pPr>
        <w:spacing w:after="0" w:line="111" w:lineRule="exact"/>
        <w:rPr>
          <w:sz w:val="20"/>
          <w:szCs w:val="20"/>
          <w:color w:val="auto"/>
        </w:rPr>
      </w:pPr>
    </w:p>
    <w:p>
      <w:pPr>
        <w:ind w:left="1260" w:right="559" w:firstLine="360"/>
        <w:spacing w:after="0" w:line="279" w:lineRule="auto"/>
        <w:rPr>
          <w:sz w:val="20"/>
          <w:szCs w:val="20"/>
          <w:color w:val="auto"/>
        </w:rPr>
      </w:pPr>
      <w:r>
        <w:rPr>
          <w:rFonts w:ascii="Arial" w:cs="Arial" w:eastAsia="Arial" w:hAnsi="Arial"/>
          <w:sz w:val="17"/>
          <w:szCs w:val="17"/>
          <w:color w:val="auto"/>
        </w:rPr>
        <w:t>You should read this prospectus and the documents that we reference in this prospectus and have filed as exhibits to the registration statement of which this prospectus is a part with the understanding that our actual future results, levels of activity, performance, and achievements may be different from what we expect.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 w:name="page11"/>
    <w:bookmarkEnd w:id="1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Except as described in any applicable prospectus supplement or in any free writing prospectuses we have authorized for use in connection with a specific offering, we currently intend to use the net proceeds from the sale of securities under this prospectus for general corporate purposes, including working capital and capital expenditures. We have not determined the amount of net proceeds to be used specifically for such purposes. As a result, management will retain broad discretion over the allocation of net proceeds. We will set forth in the applicable prospectus supplement our intended use for the net proceeds received from the sale of any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1" w:name="page12"/>
    <w:bookmarkEnd w:id="1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SECURITIES WE MAY OFFER</w:t>
      </w:r>
    </w:p>
    <w:p>
      <w:pPr>
        <w:spacing w:after="0" w:line="148"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8"/>
          <w:szCs w:val="18"/>
          <w:color w:val="auto"/>
        </w:rPr>
        <w:t>This prospectus contains a summary description of the securities we may offer from time to time. The summary descriptions are not meant to be complete descriptions of each security. The particular terms of any securities will be described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2" w:name="page13"/>
    <w:bookmarkEnd w:id="1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ind w:left="1260" w:right="499" w:firstLine="360"/>
        <w:spacing w:after="0" w:line="261" w:lineRule="auto"/>
        <w:rPr>
          <w:sz w:val="20"/>
          <w:szCs w:val="20"/>
          <w:color w:val="auto"/>
        </w:rPr>
      </w:pPr>
      <w:r>
        <w:rPr>
          <w:rFonts w:ascii="Arial" w:cs="Arial" w:eastAsia="Arial" w:hAnsi="Arial"/>
          <w:sz w:val="18"/>
          <w:szCs w:val="18"/>
          <w:color w:val="auto"/>
        </w:rPr>
        <w:t>As of the date of this prospectus, our authorized capital stock consists of shares, all with a par value of $0.001 per share, of which:</w:t>
      </w:r>
    </w:p>
    <w:p>
      <w:pPr>
        <w:spacing w:after="0" w:line="63" w:lineRule="exact"/>
        <w:rPr>
          <w:sz w:val="20"/>
          <w:szCs w:val="20"/>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1,000,000,000 shares are designated as Class A common stock;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100,000,000 shares are designated as preferred stock.</w:t>
      </w:r>
    </w:p>
    <w:p>
      <w:pPr>
        <w:spacing w:after="0" w:line="144" w:lineRule="exact"/>
        <w:rPr>
          <w:sz w:val="20"/>
          <w:szCs w:val="20"/>
          <w:color w:val="auto"/>
        </w:rPr>
      </w:pPr>
    </w:p>
    <w:p>
      <w:pPr>
        <w:ind w:left="1260" w:right="839" w:firstLine="360"/>
        <w:spacing w:after="0" w:line="261" w:lineRule="auto"/>
        <w:rPr>
          <w:sz w:val="20"/>
          <w:szCs w:val="20"/>
          <w:color w:val="auto"/>
        </w:rPr>
      </w:pPr>
      <w:r>
        <w:rPr>
          <w:rFonts w:ascii="Arial" w:cs="Arial" w:eastAsia="Arial" w:hAnsi="Arial"/>
          <w:sz w:val="18"/>
          <w:szCs w:val="18"/>
          <w:color w:val="auto"/>
        </w:rPr>
        <w:t>Our board of directors may establish the rights and preferences of the preferred stock from time to time.</w:t>
      </w:r>
    </w:p>
    <w:p>
      <w:pPr>
        <w:spacing w:after="0" w:line="103"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7"/>
          <w:szCs w:val="17"/>
          <w:color w:val="auto"/>
        </w:rPr>
        <w:t>A description of the material terms and provisions of our amended and restated certificate of incorporation, as amended by the certificate of retirement dated June 16, 2020, and amended and restated bylaws affecting the rights of holders of our capital stock is set forth below. The description is intended as a summary, and is qualified in its entirety by reference to our amended and restated certificate of incorporation, as amended by the certificate of retirement, and our amended and restated bylaws, each of which are incorporated by reference into the registration statement of which this prospectus is a part.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Class A Common Stock</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Voting Rights</w:t>
      </w:r>
    </w:p>
    <w:p>
      <w:pPr>
        <w:spacing w:after="0" w:line="158"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color w:val="auto"/>
        </w:rPr>
        <w:t>Each holder of our Class A common stock is entitled to one vote for each share on all matters submitted to a vote of the stockholders, including the election of directors. Under our amended and restated certificate of incorporation, as amended by the certificate of retirement dated June 16, 2020, and our amended and restated bylaws, our stockholders do not have cumulative voting rights. Because of this, the holders of a majority of the shares of our Class A common stock entitled to vote in any election of directors are able to elect all of the directors standing for election, if they should so choose.</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Dividends</w:t>
      </w:r>
    </w:p>
    <w:p>
      <w:pPr>
        <w:spacing w:after="0" w:line="144" w:lineRule="exact"/>
        <w:rPr>
          <w:sz w:val="20"/>
          <w:szCs w:val="20"/>
          <w:color w:val="auto"/>
        </w:rPr>
      </w:pPr>
    </w:p>
    <w:p>
      <w:pPr>
        <w:ind w:left="1260" w:right="559" w:firstLine="360"/>
        <w:spacing w:after="0" w:line="248" w:lineRule="auto"/>
        <w:rPr>
          <w:sz w:val="20"/>
          <w:szCs w:val="20"/>
          <w:color w:val="auto"/>
        </w:rPr>
      </w:pPr>
      <w:r>
        <w:rPr>
          <w:rFonts w:ascii="Arial" w:cs="Arial" w:eastAsia="Arial" w:hAnsi="Arial"/>
          <w:sz w:val="18"/>
          <w:szCs w:val="18"/>
          <w:color w:val="auto"/>
        </w:rPr>
        <w:t>Subject to preferences that may be applicable to any then-outstanding preferred stock, holders of our Class A common stock are entitled to receive ratably those dividends, if any, as may be declared from time to time by our board of directors out of legally available funds.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Liquidation</w:t>
      </w:r>
    </w:p>
    <w:p>
      <w:pPr>
        <w:spacing w:after="0" w:line="158"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In the event of our liquidation, dissolution or winding up, holders of our Class A common stock will be entitled to share ratably in the net assets legally available for distribution to our stockholders after the payment of all of our debts and other liabilities and the satisfaction of any liquidation preference granted to the holders of any then-outstanding shares of our preferred stock.</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Rights and Preferences</w:t>
      </w:r>
    </w:p>
    <w:p>
      <w:pPr>
        <w:spacing w:after="0" w:line="158" w:lineRule="exact"/>
        <w:rPr>
          <w:sz w:val="20"/>
          <w:szCs w:val="20"/>
          <w:color w:val="auto"/>
        </w:rPr>
      </w:pPr>
    </w:p>
    <w:p>
      <w:pPr>
        <w:ind w:left="1260" w:right="519" w:firstLine="360"/>
        <w:spacing w:after="0" w:line="262" w:lineRule="auto"/>
        <w:rPr>
          <w:sz w:val="20"/>
          <w:szCs w:val="20"/>
          <w:color w:val="auto"/>
        </w:rPr>
      </w:pPr>
      <w:r>
        <w:rPr>
          <w:rFonts w:ascii="Arial" w:cs="Arial" w:eastAsia="Arial" w:hAnsi="Arial"/>
          <w:sz w:val="17"/>
          <w:szCs w:val="17"/>
          <w:color w:val="auto"/>
        </w:rPr>
        <w:t>Holders of our Class A common stock have no preemptive, conversion or subscription rights and there are no redemption or sinking fund provisions applicable to the common stock. The rights, preferences and privileges of the holders of our Class A common stock are subject to, and may be adversely affected by, the rights of the holders of shares of any series of preferred stock that we may designate in the future.</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Fully Paid and Non-Assessable</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All of the outstanding shares of our Class A common stock are fully paid and non-assessable.</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162" w:lineRule="exact"/>
        <w:rPr>
          <w:sz w:val="20"/>
          <w:szCs w:val="20"/>
          <w:color w:val="auto"/>
        </w:rPr>
      </w:pPr>
    </w:p>
    <w:p>
      <w:pPr>
        <w:ind w:left="1260" w:right="799" w:firstLine="360"/>
        <w:spacing w:after="0" w:line="291" w:lineRule="auto"/>
        <w:rPr>
          <w:sz w:val="20"/>
          <w:szCs w:val="20"/>
          <w:color w:val="auto"/>
        </w:rPr>
      </w:pPr>
      <w:r>
        <w:rPr>
          <w:rFonts w:ascii="Arial" w:cs="Arial" w:eastAsia="Arial" w:hAnsi="Arial"/>
          <w:sz w:val="17"/>
          <w:szCs w:val="17"/>
          <w:color w:val="auto"/>
        </w:rPr>
        <w:t>Pursuant to our amended and restated certificate of incorporation, our board of directors has the authority, without further action by the stockholders, to designate and issue up to 100,000,000 shares of</w:t>
      </w:r>
    </w:p>
    <w:p>
      <w:pPr>
        <w:spacing w:after="0" w:line="32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3" w:name="page14"/>
    <w:bookmarkEnd w:id="1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73" w:lineRule="auto"/>
        <w:rPr>
          <w:sz w:val="20"/>
          <w:szCs w:val="20"/>
          <w:color w:val="auto"/>
        </w:rPr>
      </w:pPr>
      <w:r>
        <w:rPr>
          <w:rFonts w:ascii="Arial" w:cs="Arial" w:eastAsia="Arial" w:hAnsi="Arial"/>
          <w:sz w:val="17"/>
          <w:szCs w:val="17"/>
          <w:color w:val="auto"/>
        </w:rPr>
        <w:t>preferred stock in one or more series, to establish from time to time the number of shares to be included in each such series, to fix the designations, powers, preferences, privileges and relative participating, optional or special rights and the qualifications, limitations or restrictions thereof, including dividend rights, conversion rights, voting rights, terms of redemption and liquidation preferences, any or all of which may be greater than the rights of the common stock, and to increase or decrease the number of shares of any such series, but not below the number of shares of such series then outstanding.</w:t>
      </w:r>
    </w:p>
    <w:p>
      <w:pPr>
        <w:spacing w:after="0" w:line="97"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Our board of directors may authorize the issuance of preferred stock with voting or conversion rights that could adversely affect the voting power or other rights of the holders of our common stock. 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and other corporate purposes, could, among other things, have the effect of delaying, deferring or preventing a change in control and may adversely affect the market price of our common stock and the voting and other rights of the holders of our common stock. It is not possible to state the actual effect of the issuance of any shares of preferred stock on the rights of holders of our common stock until our board of directors determines the specific rights attached to that preferred stock.</w:t>
      </w:r>
    </w:p>
    <w:p>
      <w:pPr>
        <w:spacing w:after="0" w:line="127"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The General Corporation Law of the State of Delaware (“DGCL”), the state of our incorporation, provides that the holders of preferred stock will have the right to vote separately as a class (or, in some cases, as a series) on an 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w:t>
      </w:r>
    </w:p>
    <w:p>
      <w:pPr>
        <w:spacing w:after="0" w:line="162" w:lineRule="exact"/>
        <w:rPr>
          <w:sz w:val="20"/>
          <w:szCs w:val="20"/>
          <w:color w:val="auto"/>
        </w:rPr>
      </w:pPr>
    </w:p>
    <w:p>
      <w:pPr>
        <w:ind w:left="1260" w:right="579" w:firstLine="360"/>
        <w:spacing w:after="0" w:line="270" w:lineRule="auto"/>
        <w:rPr>
          <w:sz w:val="20"/>
          <w:szCs w:val="20"/>
          <w:color w:val="auto"/>
        </w:rPr>
      </w:pPr>
      <w:r>
        <w:rPr>
          <w:rFonts w:ascii="Arial" w:cs="Arial" w:eastAsia="Arial" w:hAnsi="Arial"/>
          <w:sz w:val="17"/>
          <w:szCs w:val="17"/>
          <w:color w:val="auto"/>
        </w:rPr>
        <w:t>A holder of our Class A common stock is entitled to certain rights with respect to registration of such shares under the Securities Act of 1933, or the Securities Act, pursuant to the terms of an investors’ rights agreement. These shares are collectively referred to herein as registrable securities. The investors’ rights agreement provides the holder of registrable securities with demand, piggyback and Form S-3 registration rights. We will pay all expenses relating to any demand, piggyback or Form S-3 registration, other than underwriting discounts and commissions, subject to specified conditions and limitations. The registration rights will terminate upon the earlier to occur of the date that is five years following the closing of our initial public offering and the date on which the stockholder holding registrable securities is able to sell all of its shares during a 90-day period pursuant to Rule 144 under the Securities Act.</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Anti-Takeover Statute</w:t>
      </w:r>
    </w:p>
    <w:p>
      <w:pPr>
        <w:spacing w:after="0" w:line="144"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We are subject to Section 203 of the Delaware General Corporation Law, which generally prohibits a publicly held Delaware corporation from engaging in any business combination with any interested stockholder for a period of three years after the date that such stockholder became an interested stockholder, with the following exceptions:</w:t>
      </w:r>
    </w:p>
    <w:p>
      <w:pPr>
        <w:spacing w:after="0" w:line="92" w:lineRule="exact"/>
        <w:rPr>
          <w:sz w:val="20"/>
          <w:szCs w:val="20"/>
          <w:color w:val="auto"/>
        </w:rPr>
      </w:pPr>
    </w:p>
    <w:p>
      <w:pPr>
        <w:ind w:left="1800" w:right="539" w:hanging="180"/>
        <w:spacing w:after="0" w:line="308" w:lineRule="auto"/>
        <w:tabs>
          <w:tab w:leader="none" w:pos="1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before such date, the board of directors of the corporation approved either the business combination or the transaction that resulted in the stockholder becoming an interested stockholder;</w:t>
      </w:r>
    </w:p>
    <w:p>
      <w:pPr>
        <w:spacing w:after="0" w:line="38" w:lineRule="exact"/>
        <w:rPr>
          <w:rFonts w:ascii="Arial" w:cs="Arial" w:eastAsia="Arial" w:hAnsi="Arial"/>
          <w:sz w:val="17"/>
          <w:szCs w:val="17"/>
          <w:color w:val="auto"/>
        </w:rPr>
      </w:pPr>
    </w:p>
    <w:p>
      <w:pPr>
        <w:ind w:left="1800" w:right="459" w:hanging="180"/>
        <w:spacing w:after="0" w:line="272" w:lineRule="auto"/>
        <w:tabs>
          <w:tab w:leader="none" w:pos="1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(1) by persons who are directors and also officers and (2) employee stock plans in which employee participants do not have the right to determine confidentially whether shares held subject to the plan will be tendered in a tender or exchange offer; or</w:t>
      </w:r>
    </w:p>
    <w:p>
      <w:pPr>
        <w:sectPr>
          <w:pgSz w:w="11900" w:h="16838" w:orient="portrait"/>
          <w:cols w:equalWidth="0" w:num="1">
            <w:col w:w="9879"/>
          </w:cols>
          <w:pgMar w:left="580" w:top="132" w:right="1440" w:bottom="1440" w:gutter="0" w:footer="0" w:header="0"/>
        </w:sectPr>
      </w:pPr>
    </w:p>
    <w:p>
      <w:pPr>
        <w:spacing w:after="0" w:line="35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539" w:hanging="180"/>
        <w:spacing w:after="0" w:line="259"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0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117" w:lineRule="exact"/>
        <w:rPr>
          <w:sz w:val="20"/>
          <w:szCs w:val="20"/>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1800" w:right="107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62" w:lineRule="exact"/>
        <w:rPr>
          <w:rFonts w:ascii="Arial" w:cs="Arial" w:eastAsia="Arial" w:hAnsi="Arial"/>
          <w:sz w:val="18"/>
          <w:szCs w:val="18"/>
          <w:color w:val="auto"/>
        </w:rPr>
      </w:pPr>
    </w:p>
    <w:p>
      <w:pPr>
        <w:ind w:left="1800" w:right="129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62" w:lineRule="exact"/>
        <w:rPr>
          <w:rFonts w:ascii="Arial" w:cs="Arial" w:eastAsia="Arial" w:hAnsi="Arial"/>
          <w:sz w:val="18"/>
          <w:szCs w:val="18"/>
          <w:color w:val="auto"/>
        </w:rPr>
      </w:pPr>
    </w:p>
    <w:p>
      <w:pPr>
        <w:jc w:val="both"/>
        <w:ind w:left="1800" w:right="559" w:hanging="180"/>
        <w:spacing w:after="0" w:line="263"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03"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87" w:lineRule="exact"/>
        <w:rPr>
          <w:sz w:val="20"/>
          <w:szCs w:val="20"/>
          <w:color w:val="auto"/>
        </w:rPr>
      </w:pPr>
    </w:p>
    <w:p>
      <w:pPr>
        <w:ind w:left="1260" w:right="539"/>
        <w:spacing w:after="0" w:line="277" w:lineRule="auto"/>
        <w:rPr>
          <w:sz w:val="20"/>
          <w:szCs w:val="20"/>
          <w:color w:val="auto"/>
        </w:rPr>
      </w:pPr>
      <w:r>
        <w:rPr>
          <w:rFonts w:ascii="Arial" w:cs="Arial" w:eastAsia="Arial" w:hAnsi="Arial"/>
          <w:sz w:val="18"/>
          <w:szCs w:val="18"/>
          <w:i w:val="1"/>
          <w:iCs w:val="1"/>
          <w:color w:val="auto"/>
        </w:rPr>
        <w:t>Anti-Takeover Effects of Certain Provisions of Our Amended and Restated Certificate of Incorporation and Amended and Restated Bylaws</w:t>
      </w:r>
    </w:p>
    <w:p>
      <w:pPr>
        <w:spacing w:after="0" w:line="89" w:lineRule="exact"/>
        <w:rPr>
          <w:sz w:val="20"/>
          <w:szCs w:val="20"/>
          <w:color w:val="auto"/>
        </w:rPr>
      </w:pPr>
    </w:p>
    <w:p>
      <w:pPr>
        <w:ind w:left="1260" w:right="559" w:firstLine="360"/>
        <w:spacing w:after="0" w:line="279" w:lineRule="auto"/>
        <w:rPr>
          <w:sz w:val="20"/>
          <w:szCs w:val="20"/>
          <w:color w:val="auto"/>
        </w:rPr>
      </w:pPr>
      <w:r>
        <w:rPr>
          <w:rFonts w:ascii="Arial" w:cs="Arial" w:eastAsia="Arial" w:hAnsi="Arial"/>
          <w:sz w:val="17"/>
          <w:szCs w:val="17"/>
          <w:color w:val="auto"/>
        </w:rPr>
        <w:t>Our amended and restated certificate of incorporation provides for a board of directors comprised of three classes of directors, with each class serving a three-year term beginning and ending in different years than those of the other two classes. Only one class of directors will be elected at each annual meeting of stockholders, with the other classes continuing for the remainder of their respective three-year terms.</w:t>
      </w:r>
    </w:p>
    <w:p>
      <w:pPr>
        <w:spacing w:after="0" w:line="104" w:lineRule="exact"/>
        <w:rPr>
          <w:sz w:val="20"/>
          <w:szCs w:val="20"/>
          <w:color w:val="auto"/>
        </w:rPr>
      </w:pPr>
    </w:p>
    <w:p>
      <w:pPr>
        <w:ind w:left="1260" w:right="539" w:firstLine="360"/>
        <w:spacing w:after="0" w:line="277" w:lineRule="auto"/>
        <w:rPr>
          <w:sz w:val="20"/>
          <w:szCs w:val="20"/>
          <w:color w:val="auto"/>
        </w:rPr>
      </w:pPr>
      <w:r>
        <w:rPr>
          <w:rFonts w:ascii="Arial" w:cs="Arial" w:eastAsia="Arial" w:hAnsi="Arial"/>
          <w:sz w:val="18"/>
          <w:szCs w:val="18"/>
          <w:color w:val="auto"/>
        </w:rPr>
        <w:t>Because our stockholders do not have cumulative voting rights, stockholders holding a majority of the voting power of the Class A common stock will be able to elect all of our directors.</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Our amended and restated certificate of incorporation and amended and restated bylaws also provide</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that:</w:t>
      </w:r>
    </w:p>
    <w:p>
      <w:pPr>
        <w:spacing w:after="0" w:line="103" w:lineRule="exact"/>
        <w:rPr>
          <w:sz w:val="20"/>
          <w:szCs w:val="20"/>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authorized number of directors may be changed only by resolution of the board of directors;</w:t>
      </w:r>
    </w:p>
    <w:p>
      <w:pPr>
        <w:spacing w:after="0" w:line="117" w:lineRule="exact"/>
        <w:rPr>
          <w:rFonts w:ascii="Arial" w:cs="Arial" w:eastAsia="Arial" w:hAnsi="Arial"/>
          <w:sz w:val="18"/>
          <w:szCs w:val="18"/>
          <w:color w:val="auto"/>
        </w:rPr>
      </w:pPr>
    </w:p>
    <w:p>
      <w:pPr>
        <w:ind w:left="1800" w:right="519" w:hanging="180"/>
        <w:spacing w:after="0" w:line="263"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vacancies and newly created directorships on the board of directors may be filled by a majority vote of the directors then serving on the board, even though less than a quorum, except as otherwise required by law or determined by the board;</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stockholder action may be taken at a duly called meeting of stockholders; and</w:t>
      </w:r>
    </w:p>
    <w:p>
      <w:pPr>
        <w:spacing w:after="0" w:line="117"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special meeting of stockholders may be called by a majority of our whole board of directors, the chair of our board of directors, or our chief executive officer.</w:t>
      </w:r>
    </w:p>
    <w:p>
      <w:pPr>
        <w:spacing w:after="0" w:line="89"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The combination of these provisions will make it more difficult for another party to obtain control of us by replacing our board of directors. Since our board of directors has the power to retain and discharge our officers, these provisions could also make it more difficult for another party to effect a change in management.</w:t>
      </w:r>
    </w:p>
    <w:p>
      <w:pPr>
        <w:spacing w:after="0" w:line="119"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59" w:lineRule="auto"/>
        <w:rPr>
          <w:sz w:val="20"/>
          <w:szCs w:val="20"/>
          <w:color w:val="auto"/>
        </w:rPr>
      </w:pPr>
      <w:r>
        <w:rPr>
          <w:rFonts w:ascii="Arial" w:cs="Arial" w:eastAsia="Arial" w:hAnsi="Arial"/>
          <w:sz w:val="18"/>
          <w:szCs w:val="18"/>
          <w:color w:val="auto"/>
        </w:rPr>
        <w:t>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Choice of Forum</w:t>
      </w:r>
    </w:p>
    <w:p>
      <w:pPr>
        <w:spacing w:after="0" w:line="148" w:lineRule="exact"/>
        <w:rPr>
          <w:sz w:val="20"/>
          <w:szCs w:val="20"/>
          <w:color w:val="auto"/>
        </w:rPr>
      </w:pPr>
    </w:p>
    <w:p>
      <w:pPr>
        <w:jc w:val="both"/>
        <w:ind w:left="1260" w:right="539" w:firstLine="360"/>
        <w:spacing w:after="0" w:line="274"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will be the exclusive forum for: (i) any derivative action or proceeding brought on our behalf;</w:t>
      </w:r>
    </w:p>
    <w:p>
      <w:pPr>
        <w:ind w:left="1260" w:right="459"/>
        <w:spacing w:after="0" w:line="252" w:lineRule="auto"/>
        <w:tabs>
          <w:tab w:leader="none" w:pos="1543"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action asserting a breach of fiduciary duty; (iii) any action asserting a claim against us arising under the Delaware General Corporation Law; (iv) any action regarding our amended and restated certificate of incorporation or amended and restated bylaws; or (v) any action asserting a claim against us that is governed by the internal affairs doctrine. Several lawsuits have been filed in Delaware challenging the enforceability of similar choice of forum provisions, and it is possible that a court could determine such provisions are not enforceable.</w:t>
      </w:r>
    </w:p>
    <w:p>
      <w:pPr>
        <w:spacing w:after="0" w:line="126"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Our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 Agent and Registrar</w:t>
      </w:r>
    </w:p>
    <w:p>
      <w:pPr>
        <w:spacing w:after="0" w:line="162"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The transfer agent and registrar for our Class A common stock is American Stock Transfer &amp; Trust Company, LLC. The transfer agent’s address is 6201 15th Avenue, Brooklyn, NY 11219.</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Listing</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Class A common stock is listed on the Nasdaq Global Market under the symbol “MDB.”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 w:name="page17"/>
    <w:bookmarkEnd w:id="1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PLAN OF DISTRIBUTION</w:t>
      </w:r>
    </w:p>
    <w:p>
      <w:pPr>
        <w:spacing w:after="0" w:line="148" w:lineRule="exact"/>
        <w:rPr>
          <w:sz w:val="20"/>
          <w:szCs w:val="20"/>
          <w:color w:val="auto"/>
        </w:rPr>
      </w:pPr>
    </w:p>
    <w:p>
      <w:pPr>
        <w:ind w:left="1260" w:right="639" w:firstLine="360"/>
        <w:spacing w:after="0"/>
        <w:rPr>
          <w:sz w:val="20"/>
          <w:szCs w:val="20"/>
          <w:color w:val="auto"/>
        </w:rPr>
      </w:pPr>
      <w:r>
        <w:rPr>
          <w:rFonts w:ascii="Arial" w:cs="Arial" w:eastAsia="Arial" w:hAnsi="Arial"/>
          <w:sz w:val="18"/>
          <w:szCs w:val="18"/>
          <w:color w:val="auto"/>
        </w:rPr>
        <w:t>We may sell shares of Class A common stock from time to time pursuant to underwritten public offerings, “at-the-market” offerings, negotiated transactions, block trades, or a combination of these methods, or through any other methods described in a prospectus supplement. We may sell the Class A common stock to or through one or more underwriters or dealers (acting as principal or agent), through agents, directly to one or more purchasers, or as otherwise described in a prospectus supplement. We may distribute securities from time to time in one or more transactions:</w:t>
      </w:r>
    </w:p>
    <w:p>
      <w:pPr>
        <w:spacing w:after="0" w:line="81" w:lineRule="exact"/>
        <w:rPr>
          <w:sz w:val="20"/>
          <w:szCs w:val="20"/>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58" w:lineRule="exact"/>
        <w:rPr>
          <w:sz w:val="20"/>
          <w:szCs w:val="20"/>
          <w:color w:val="auto"/>
        </w:rPr>
      </w:pPr>
    </w:p>
    <w:p>
      <w:pPr>
        <w:ind w:left="1260" w:right="699" w:firstLine="360"/>
        <w:spacing w:after="0" w:line="248" w:lineRule="auto"/>
        <w:rPr>
          <w:sz w:val="20"/>
          <w:szCs w:val="20"/>
          <w:color w:val="auto"/>
        </w:rPr>
      </w:pPr>
      <w:r>
        <w:rPr>
          <w:rFonts w:ascii="Arial" w:cs="Arial" w:eastAsia="Arial" w:hAnsi="Arial"/>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74" w:lineRule="exact"/>
        <w:rPr>
          <w:sz w:val="20"/>
          <w:szCs w:val="20"/>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name or names of the underwriters, dealers, or agents, if any;</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name or names of the selling securityholders, if any;</w:t>
      </w:r>
    </w:p>
    <w:p>
      <w:pPr>
        <w:spacing w:after="0" w:line="117"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purchase price of the securities or other consideration therefor, and the proceeds, if any, we will receive from the sale;</w:t>
      </w:r>
    </w:p>
    <w:p>
      <w:pPr>
        <w:spacing w:after="0" w:line="62" w:lineRule="exact"/>
        <w:rPr>
          <w:rFonts w:ascii="Arial" w:cs="Arial" w:eastAsia="Arial" w:hAnsi="Arial"/>
          <w:sz w:val="18"/>
          <w:szCs w:val="18"/>
          <w:color w:val="auto"/>
        </w:rPr>
      </w:pPr>
    </w:p>
    <w:p>
      <w:pPr>
        <w:ind w:left="1800" w:right="659" w:hanging="180"/>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options to purchase additional shares or other options under which underwriters may purchase additional securities from us or any selling securityholders;</w:t>
      </w:r>
    </w:p>
    <w:p>
      <w:pPr>
        <w:spacing w:after="0" w:line="48" w:lineRule="exact"/>
        <w:rPr>
          <w:rFonts w:ascii="Arial" w:cs="Arial" w:eastAsia="Arial" w:hAnsi="Arial"/>
          <w:sz w:val="18"/>
          <w:szCs w:val="18"/>
          <w:color w:val="auto"/>
        </w:rPr>
      </w:pPr>
    </w:p>
    <w:p>
      <w:pPr>
        <w:ind w:left="1800" w:right="879" w:hanging="180"/>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144"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22"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shares or other option. If a dealer is used in the sale of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w:t>
      </w:r>
    </w:p>
    <w:p>
      <w:pPr>
        <w:spacing w:after="0" w:line="116" w:lineRule="exact"/>
        <w:rPr>
          <w:sz w:val="20"/>
          <w:szCs w:val="20"/>
          <w:color w:val="auto"/>
        </w:rPr>
      </w:pPr>
    </w:p>
    <w:p>
      <w:pPr>
        <w:jc w:val="both"/>
        <w:ind w:left="1260" w:right="859" w:firstLine="360"/>
        <w:spacing w:after="0" w:line="248" w:lineRule="auto"/>
        <w:rPr>
          <w:sz w:val="20"/>
          <w:szCs w:val="20"/>
          <w:color w:val="auto"/>
        </w:rPr>
      </w:pPr>
      <w:r>
        <w:rPr>
          <w:rFonts w:ascii="Arial" w:cs="Arial" w:eastAsia="Arial" w:hAnsi="Arial"/>
          <w:sz w:val="18"/>
          <w:szCs w:val="18"/>
          <w:color w:val="auto"/>
        </w:rPr>
        <w:t>We may use underwriters, dealers, or agents with whom we have a material relationship. We will describe in the prospectus supplement, naming the underwriter, dealer, or agent, the nature of any such relationship.</w:t>
      </w:r>
    </w:p>
    <w:p>
      <w:pPr>
        <w:spacing w:after="0" w:line="101" w:lineRule="exact"/>
        <w:rPr>
          <w:sz w:val="20"/>
          <w:szCs w:val="20"/>
          <w:color w:val="auto"/>
        </w:rPr>
      </w:pPr>
    </w:p>
    <w:p>
      <w:pPr>
        <w:ind w:left="1260" w:right="639" w:firstLine="360"/>
        <w:spacing w:after="0" w:line="291" w:lineRule="auto"/>
        <w:rPr>
          <w:sz w:val="20"/>
          <w:szCs w:val="20"/>
          <w:color w:val="auto"/>
        </w:rPr>
      </w:pPr>
      <w:r>
        <w:rPr>
          <w:rFonts w:ascii="Arial" w:cs="Arial" w:eastAsia="Arial" w:hAnsi="Arial"/>
          <w:sz w:val="17"/>
          <w:szCs w:val="17"/>
          <w:color w:val="auto"/>
        </w:rPr>
        <w:t>We may sell securities directly or through agents we designate from time to time. We will name any agent involved in the offering and sale of securities, and we will describe any commissions payable to the</w:t>
      </w:r>
    </w:p>
    <w:p>
      <w:pPr>
        <w:sectPr>
          <w:pgSz w:w="11900" w:h="16838" w:orient="portrait"/>
          <w:cols w:equalWidth="0" w:num="1">
            <w:col w:w="9879"/>
          </w:cols>
          <w:pgMar w:left="580" w:top="132" w:right="1440" w:bottom="1440" w:gutter="0" w:footer="0" w:header="0"/>
        </w:sectPr>
      </w:pP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77" w:lineRule="auto"/>
        <w:rPr>
          <w:sz w:val="20"/>
          <w:szCs w:val="20"/>
          <w:color w:val="auto"/>
        </w:rPr>
      </w:pPr>
      <w:r>
        <w:rPr>
          <w:rFonts w:ascii="Arial" w:cs="Arial" w:eastAsia="Arial" w:hAnsi="Arial"/>
          <w:sz w:val="18"/>
          <w:szCs w:val="18"/>
          <w:color w:val="auto"/>
        </w:rPr>
        <w:t>agent in the prospectus supplement. Unless the prospectus supplement states otherwise, the agent will act on a best-efforts basis for the period of its appointment.</w:t>
      </w:r>
    </w:p>
    <w:p>
      <w:pPr>
        <w:spacing w:after="0" w:line="89" w:lineRule="exact"/>
        <w:rPr>
          <w:sz w:val="20"/>
          <w:szCs w:val="20"/>
          <w:color w:val="auto"/>
        </w:rPr>
      </w:pPr>
    </w:p>
    <w:p>
      <w:pPr>
        <w:ind w:left="1260" w:right="479" w:firstLine="360"/>
        <w:spacing w:after="0" w:line="279" w:lineRule="auto"/>
        <w:rPr>
          <w:sz w:val="20"/>
          <w:szCs w:val="20"/>
          <w:color w:val="auto"/>
        </w:rPr>
      </w:pPr>
      <w:r>
        <w:rPr>
          <w:rFonts w:ascii="Arial" w:cs="Arial" w:eastAsia="Arial" w:hAnsi="Arial"/>
          <w:sz w:val="17"/>
          <w:szCs w:val="17"/>
          <w:color w:val="auto"/>
        </w:rPr>
        <w:t>We may provide agents, underwriters and dealers with indemnification against civil liabilities, including liabilities under the Securities Act, or contribution with respect to payments that the agents, underwriters or dealers may make with respect to these liabilities. Agents, underwriters and dealers, or their affiliates, may engage in transactions with, or perform services for, us in the ordinary course of business.</w:t>
      </w:r>
    </w:p>
    <w:p>
      <w:pPr>
        <w:spacing w:after="0" w:line="104"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Any underwriter may be granted an option to purchase additional shares and engage in stabilizing transactions, short-covering transactions and penalty bids in accordance with Regulation M under the Exchange Act. An underwriter’s option to purchase additional shares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14"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Any underwriters that are qualified market makers on the Nasdaq Global Market may engage in passive market making transactions in the Class A common stock on the Nasdaq Global Market in accordance with Regulation M under the Exchange Act, during the business day prior to the pricing of the offering, before the commencement of offers or sales of the Class A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 w:name="page19"/>
    <w:bookmarkEnd w:id="1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Cooley LLP, New York, New York, will pass upon the validity of the shares of Class A common stock offered by this prospectus. Additional legal matters may be passed upon for any underwriters, dealers or agents by counsel that we will name in the applicable prospectus supplement.</w:t>
      </w:r>
    </w:p>
    <w:p>
      <w:pPr>
        <w:spacing w:after="0" w:line="18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January 31, 2021 have been so incorporated in reliance on the report of PricewaterhouseCoopers LLP, an independent registered public accounting firm, given on the authority of said firm as experts in auditing and accounting.</w:t>
      </w:r>
    </w:p>
    <w:p>
      <w:pPr>
        <w:spacing w:after="0" w:line="18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color w:val="auto"/>
        </w:rPr>
        <w:t>This prospectus is part of the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on the Investor Relations section of our website, which is located at investors.mongodb.com. These filings will be available as soon as reasonably practicable after we electronically file such material with, or furnish it to, the SEC.</w:t>
      </w:r>
    </w:p>
    <w:p>
      <w:pPr>
        <w:spacing w:after="0" w:line="103"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color w:val="auto"/>
        </w:rPr>
        <w:t>Our website address is www.mongodb.com. Information contained on or accessible through our website is not a part of this prospectus and is not incorporated by reference herein, and the inclusion of our website address in this prospectus is an inactive textual reference only.</w:t>
      </w:r>
    </w:p>
    <w:p>
      <w:pPr>
        <w:spacing w:after="0" w:line="180"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001-38240):</w:t>
      </w:r>
    </w:p>
    <w:p>
      <w:pPr>
        <w:spacing w:after="0" w:line="84" w:lineRule="exact"/>
        <w:rPr>
          <w:sz w:val="20"/>
          <w:szCs w:val="20"/>
          <w:color w:val="auto"/>
        </w:rPr>
      </w:pPr>
    </w:p>
    <w:p>
      <w:pPr>
        <w:ind w:left="1800" w:right="599" w:hanging="180"/>
        <w:spacing w:after="0" w:line="277" w:lineRule="auto"/>
        <w:tabs>
          <w:tab w:leader="none" w:pos="1800" w:val="left"/>
        </w:tabs>
        <w:numPr>
          <w:ilvl w:val="0"/>
          <w:numId w:val="11"/>
        </w:numPr>
        <w:rPr>
          <w:rFonts w:ascii="Arial" w:cs="Arial" w:eastAsia="Arial" w:hAnsi="Arial"/>
          <w:sz w:val="18"/>
          <w:szCs w:val="18"/>
          <w:u w:val="single" w:color="auto"/>
          <w:color w:val="0000EE"/>
        </w:rPr>
      </w:pPr>
      <w:hyperlink r:id="rId41">
        <w:r>
          <w:rPr>
            <w:rFonts w:ascii="Arial" w:cs="Arial" w:eastAsia="Arial" w:hAnsi="Arial"/>
            <w:sz w:val="18"/>
            <w:szCs w:val="18"/>
            <w:u w:val="single" w:color="auto"/>
            <w:color w:val="0000EE"/>
          </w:rPr>
          <w:t>our Annual Report on Form 10-K for the fiscal year ended January 31, 2021, filed with the SEC on</w:t>
        </w:r>
      </w:hyperlink>
      <w:r>
        <w:rPr>
          <w:rFonts w:ascii="Arial" w:cs="Arial" w:eastAsia="Arial" w:hAnsi="Arial"/>
          <w:sz w:val="18"/>
          <w:szCs w:val="18"/>
          <w:u w:val="single" w:color="auto"/>
          <w:color w:val="0000EE"/>
        </w:rPr>
        <w:t xml:space="preserve"> </w:t>
      </w:r>
      <w:hyperlink r:id="rId41">
        <w:r>
          <w:rPr>
            <w:rFonts w:ascii="Arial" w:cs="Arial" w:eastAsia="Arial" w:hAnsi="Arial"/>
            <w:sz w:val="18"/>
            <w:szCs w:val="18"/>
            <w:u w:val="single" w:color="auto"/>
            <w:color w:val="0000EE"/>
          </w:rPr>
          <w:t>March 22, 2021;</w:t>
        </w:r>
      </w:hyperlink>
    </w:p>
    <w:p>
      <w:pPr>
        <w:spacing w:after="0" w:line="75" w:lineRule="exact"/>
        <w:rPr>
          <w:rFonts w:ascii="Arial" w:cs="Arial" w:eastAsia="Arial" w:hAnsi="Arial"/>
          <w:sz w:val="18"/>
          <w:szCs w:val="18"/>
          <w:u w:val="single" w:color="auto"/>
          <w:color w:val="0000EE"/>
        </w:rPr>
      </w:pPr>
    </w:p>
    <w:p>
      <w:pPr>
        <w:ind w:left="1800" w:right="859" w:hanging="180"/>
        <w:spacing w:after="0" w:line="277" w:lineRule="auto"/>
        <w:tabs>
          <w:tab w:leader="none" w:pos="1800" w:val="left"/>
        </w:tabs>
        <w:numPr>
          <w:ilvl w:val="0"/>
          <w:numId w:val="11"/>
        </w:numPr>
        <w:rPr>
          <w:rFonts w:ascii="Arial" w:cs="Arial" w:eastAsia="Arial" w:hAnsi="Arial"/>
          <w:sz w:val="18"/>
          <w:szCs w:val="18"/>
          <w:u w:val="single" w:color="auto"/>
          <w:color w:val="0000EE"/>
        </w:rPr>
      </w:pPr>
      <w:hyperlink r:id="rId42">
        <w:r>
          <w:rPr>
            <w:rFonts w:ascii="Arial" w:cs="Arial" w:eastAsia="Arial" w:hAnsi="Arial"/>
            <w:sz w:val="18"/>
            <w:szCs w:val="18"/>
            <w:u w:val="single" w:color="auto"/>
            <w:color w:val="0000EE"/>
          </w:rPr>
          <w:t>our Quarterly Report on Form 10-Q for the quarter ended April 30, 2021, filed with the SEC on</w:t>
        </w:r>
      </w:hyperlink>
      <w:r>
        <w:rPr>
          <w:rFonts w:ascii="Arial" w:cs="Arial" w:eastAsia="Arial" w:hAnsi="Arial"/>
          <w:sz w:val="18"/>
          <w:szCs w:val="18"/>
          <w:u w:val="single" w:color="auto"/>
          <w:color w:val="0000EE"/>
        </w:rPr>
        <w:t xml:space="preserve"> </w:t>
      </w:r>
      <w:hyperlink r:id="rId42">
        <w:r>
          <w:rPr>
            <w:rFonts w:ascii="Arial" w:cs="Arial" w:eastAsia="Arial" w:hAnsi="Arial"/>
            <w:sz w:val="18"/>
            <w:szCs w:val="18"/>
            <w:u w:val="single" w:color="auto"/>
            <w:color w:val="0000EE"/>
          </w:rPr>
          <w:t>June 4, 2021;</w:t>
        </w:r>
      </w:hyperlink>
    </w:p>
    <w:p>
      <w:pPr>
        <w:spacing w:after="0" w:line="62" w:lineRule="exact"/>
        <w:rPr>
          <w:rFonts w:ascii="Arial" w:cs="Arial" w:eastAsia="Arial" w:hAnsi="Arial"/>
          <w:sz w:val="18"/>
          <w:szCs w:val="18"/>
          <w:u w:val="single" w:color="auto"/>
          <w:color w:val="0000EE"/>
        </w:rPr>
      </w:pPr>
    </w:p>
    <w:p>
      <w:pPr>
        <w:ind w:left="1800" w:hanging="180"/>
        <w:spacing w:after="0"/>
        <w:tabs>
          <w:tab w:leader="none" w:pos="1800" w:val="left"/>
        </w:tabs>
        <w:numPr>
          <w:ilvl w:val="0"/>
          <w:numId w:val="11"/>
        </w:numPr>
        <w:rPr>
          <w:rFonts w:ascii="Arial" w:cs="Arial" w:eastAsia="Arial" w:hAnsi="Arial"/>
          <w:sz w:val="18"/>
          <w:szCs w:val="18"/>
          <w:u w:val="single" w:color="auto"/>
          <w:color w:val="0000EE"/>
        </w:rPr>
      </w:pPr>
      <w:hyperlink r:id="rId43">
        <w:r>
          <w:rPr>
            <w:rFonts w:ascii="Arial" w:cs="Arial" w:eastAsia="Arial" w:hAnsi="Arial"/>
            <w:sz w:val="18"/>
            <w:szCs w:val="18"/>
            <w:u w:val="single" w:color="auto"/>
            <w:color w:val="0000EE"/>
          </w:rPr>
          <w:t>our Current Report on Form 8-K filed with the SEC on June 29, 2021;</w:t>
        </w:r>
      </w:hyperlink>
    </w:p>
    <w:p>
      <w:pPr>
        <w:spacing w:after="0" w:line="117" w:lineRule="exact"/>
        <w:rPr>
          <w:rFonts w:ascii="Arial" w:cs="Arial" w:eastAsia="Arial" w:hAnsi="Arial"/>
          <w:sz w:val="18"/>
          <w:szCs w:val="18"/>
          <w:u w:val="single" w:color="auto"/>
          <w:color w:val="0000EE"/>
        </w:rPr>
      </w:pPr>
    </w:p>
    <w:p>
      <w:pPr>
        <w:jc w:val="both"/>
        <w:ind w:left="1800" w:right="839" w:hanging="180"/>
        <w:spacing w:after="0" w:line="286" w:lineRule="auto"/>
        <w:tabs>
          <w:tab w:leader="none" w:pos="1800" w:val="left"/>
        </w:tabs>
        <w:numPr>
          <w:ilvl w:val="0"/>
          <w:numId w:val="11"/>
        </w:numPr>
        <w:rPr>
          <w:rFonts w:ascii="Arial" w:cs="Arial" w:eastAsia="Arial" w:hAnsi="Arial"/>
          <w:sz w:val="17"/>
          <w:szCs w:val="17"/>
          <w:color w:val="000000"/>
        </w:rPr>
      </w:pPr>
      <w:hyperlink r:id="rId44">
        <w:r>
          <w:rPr>
            <w:rFonts w:ascii="Arial" w:cs="Arial" w:eastAsia="Arial" w:hAnsi="Arial"/>
            <w:sz w:val="17"/>
            <w:szCs w:val="17"/>
            <w:color w:val="auto"/>
          </w:rPr>
          <w:t xml:space="preserve">the portions of our </w:t>
        </w:r>
        <w:r>
          <w:rPr>
            <w:rFonts w:ascii="Arial" w:cs="Arial" w:eastAsia="Arial" w:hAnsi="Arial"/>
            <w:sz w:val="17"/>
            <w:szCs w:val="17"/>
            <w:u w:val="single" w:color="auto"/>
            <w:color w:val="0000EE"/>
          </w:rPr>
          <w:t>Proxy Statement pursuant to Section 14(a) of the Exchange Act for our 2021</w:t>
        </w:r>
      </w:hyperlink>
      <w:r>
        <w:rPr>
          <w:rFonts w:ascii="Arial" w:cs="Arial" w:eastAsia="Arial" w:hAnsi="Arial"/>
          <w:sz w:val="17"/>
          <w:szCs w:val="17"/>
          <w:color w:val="auto"/>
        </w:rPr>
        <w:t xml:space="preserve"> </w:t>
      </w:r>
      <w:hyperlink r:id="rId44">
        <w:r>
          <w:rPr>
            <w:rFonts w:ascii="Arial" w:cs="Arial" w:eastAsia="Arial" w:hAnsi="Arial"/>
            <w:sz w:val="17"/>
            <w:szCs w:val="17"/>
            <w:u w:val="single" w:color="auto"/>
            <w:color w:val="0000EE"/>
          </w:rPr>
          <w:t>Annual Meeting of Stockholders, filed with the SEC on May 17, 2021</w:t>
        </w:r>
        <w:r>
          <w:rPr>
            <w:rFonts w:ascii="Arial" w:cs="Arial" w:eastAsia="Arial" w:hAnsi="Arial"/>
            <w:sz w:val="17"/>
            <w:szCs w:val="17"/>
            <w:color w:val="000000"/>
          </w:rPr>
          <w:t>, that are incorporated by</w:t>
        </w:r>
      </w:hyperlink>
      <w:r>
        <w:rPr>
          <w:rFonts w:ascii="Arial" w:cs="Arial" w:eastAsia="Arial" w:hAnsi="Arial"/>
          <w:sz w:val="17"/>
          <w:szCs w:val="17"/>
          <w:color w:val="0000EE"/>
        </w:rPr>
        <w:t xml:space="preserve"> </w:t>
      </w:r>
      <w:r>
        <w:rPr>
          <w:rFonts w:ascii="Arial" w:cs="Arial" w:eastAsia="Arial" w:hAnsi="Arial"/>
          <w:sz w:val="17"/>
          <w:szCs w:val="17"/>
          <w:color w:val="000000"/>
        </w:rPr>
        <w:t xml:space="preserve">reference in our </w:t>
      </w:r>
      <w:hyperlink r:id="rId41">
        <w:r>
          <w:rPr>
            <w:rFonts w:ascii="Arial" w:cs="Arial" w:eastAsia="Arial" w:hAnsi="Arial"/>
            <w:sz w:val="17"/>
            <w:szCs w:val="17"/>
            <w:u w:val="single" w:color="auto"/>
            <w:color w:val="0000EE"/>
          </w:rPr>
          <w:t>Annual Report on Form 10-K for the fiscal year ended January 31, 2021</w:t>
        </w:r>
      </w:hyperlink>
      <w:r>
        <w:rPr>
          <w:rFonts w:ascii="Arial" w:cs="Arial" w:eastAsia="Arial" w:hAnsi="Arial"/>
          <w:sz w:val="17"/>
          <w:szCs w:val="17"/>
          <w:color w:val="000000"/>
        </w:rPr>
        <w:t>; and</w:t>
      </w:r>
    </w:p>
    <w:p>
      <w:pPr>
        <w:spacing w:after="0" w:line="354" w:lineRule="exact"/>
        <w:rPr>
          <w:rFonts w:ascii="Arial" w:cs="Arial" w:eastAsia="Arial" w:hAnsi="Arial"/>
          <w:sz w:val="17"/>
          <w:szCs w:val="17"/>
          <w:color w:val="auto"/>
        </w:rPr>
      </w:pPr>
    </w:p>
    <w:p>
      <w:pPr>
        <w:ind w:left="5240"/>
        <w:spacing w:after="0"/>
        <w:rPr>
          <w:sz w:val="20"/>
          <w:szCs w:val="20"/>
          <w:color w:val="auto"/>
        </w:rPr>
      </w:pPr>
      <w:r>
        <w:rPr>
          <w:rFonts w:ascii="Arial" w:cs="Arial" w:eastAsia="Arial" w:hAnsi="Arial"/>
          <w:sz w:val="18"/>
          <w:szCs w:val="18"/>
          <w:color w:val="auto"/>
        </w:rPr>
        <w:t>14</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 w:name="page20"/>
    <w:bookmarkEnd w:id="1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19" w:hanging="180"/>
        <w:spacing w:after="0" w:line="259" w:lineRule="auto"/>
        <w:tabs>
          <w:tab w:leader="none" w:pos="1800" w:val="left"/>
        </w:tabs>
        <w:numPr>
          <w:ilvl w:val="0"/>
          <w:numId w:val="12"/>
        </w:numPr>
        <w:rPr>
          <w:rFonts w:ascii="Arial" w:cs="Arial" w:eastAsia="Arial" w:hAnsi="Arial"/>
          <w:sz w:val="18"/>
          <w:szCs w:val="18"/>
          <w:u w:val="single" w:color="auto"/>
          <w:color w:val="0000EE"/>
        </w:rPr>
      </w:pPr>
      <w:hyperlink r:id="rId46">
        <w:r>
          <w:rPr>
            <w:rFonts w:ascii="Arial" w:cs="Arial" w:eastAsia="Arial" w:hAnsi="Arial"/>
            <w:sz w:val="18"/>
            <w:szCs w:val="18"/>
            <w:color w:val="auto"/>
          </w:rPr>
          <w:t xml:space="preserve">the description of our Class A common stock set forth in our registration statement on </w:t>
        </w:r>
        <w:r>
          <w:rPr>
            <w:rFonts w:ascii="Arial" w:cs="Arial" w:eastAsia="Arial" w:hAnsi="Arial"/>
            <w:sz w:val="18"/>
            <w:szCs w:val="18"/>
            <w:u w:val="single" w:color="auto"/>
            <w:color w:val="0000EE"/>
          </w:rPr>
          <w:t>Form 8-A,</w:t>
        </w:r>
      </w:hyperlink>
      <w:r>
        <w:rPr>
          <w:rFonts w:ascii="Arial" w:cs="Arial" w:eastAsia="Arial" w:hAnsi="Arial"/>
          <w:sz w:val="18"/>
          <w:szCs w:val="18"/>
          <w:color w:val="auto"/>
        </w:rPr>
        <w:t xml:space="preserve"> </w:t>
      </w:r>
      <w:hyperlink r:id="rId46">
        <w:r>
          <w:rPr>
            <w:rFonts w:ascii="Arial" w:cs="Arial" w:eastAsia="Arial" w:hAnsi="Arial"/>
            <w:sz w:val="18"/>
            <w:szCs w:val="18"/>
            <w:u w:val="single" w:color="auto"/>
            <w:color w:val="0000EE"/>
          </w:rPr>
          <w:t>filed with the SEC on October 10, 2017</w:t>
        </w:r>
        <w:r>
          <w:rPr>
            <w:rFonts w:ascii="Arial" w:cs="Arial" w:eastAsia="Arial" w:hAnsi="Arial"/>
            <w:sz w:val="18"/>
            <w:szCs w:val="18"/>
            <w:color w:val="000000"/>
          </w:rPr>
          <w:t>, including any amendments thereto or reports filed for the</w:t>
        </w:r>
      </w:hyperlink>
      <w:r>
        <w:rPr>
          <w:rFonts w:ascii="Arial" w:cs="Arial" w:eastAsia="Arial" w:hAnsi="Arial"/>
          <w:sz w:val="18"/>
          <w:szCs w:val="18"/>
          <w:color w:val="0000EE"/>
        </w:rPr>
        <w:t xml:space="preserve"> </w:t>
      </w:r>
      <w:hyperlink r:id="rId47">
        <w:r>
          <w:rPr>
            <w:rFonts w:ascii="Arial" w:cs="Arial" w:eastAsia="Arial" w:hAnsi="Arial"/>
            <w:sz w:val="18"/>
            <w:szCs w:val="18"/>
            <w:color w:val="000000"/>
          </w:rPr>
          <w:t xml:space="preserve">purposes of updating this description, including </w:t>
        </w:r>
        <w:r>
          <w:rPr>
            <w:rFonts w:ascii="Arial" w:cs="Arial" w:eastAsia="Arial" w:hAnsi="Arial"/>
            <w:sz w:val="18"/>
            <w:szCs w:val="18"/>
            <w:u w:val="single" w:color="auto"/>
            <w:color w:val="0000EE"/>
          </w:rPr>
          <w:t>Exhibit 4.7 to our Annual Report on Form 10-K filed</w:t>
        </w:r>
      </w:hyperlink>
      <w:r>
        <w:rPr>
          <w:rFonts w:ascii="Arial" w:cs="Arial" w:eastAsia="Arial" w:hAnsi="Arial"/>
          <w:sz w:val="18"/>
          <w:szCs w:val="18"/>
          <w:color w:val="000000"/>
        </w:rPr>
        <w:t xml:space="preserve"> </w:t>
      </w:r>
      <w:hyperlink r:id="rId47">
        <w:r>
          <w:rPr>
            <w:rFonts w:ascii="Arial" w:cs="Arial" w:eastAsia="Arial" w:hAnsi="Arial"/>
            <w:sz w:val="18"/>
            <w:szCs w:val="18"/>
            <w:u w:val="single" w:color="auto"/>
            <w:color w:val="0000EE"/>
          </w:rPr>
          <w:t>with the SEC on March 22, 2021.</w:t>
        </w:r>
      </w:hyperlink>
    </w:p>
    <w:p>
      <w:pPr>
        <w:spacing w:after="0" w:line="106" w:lineRule="exact"/>
        <w:rPr>
          <w:rFonts w:ascii="Arial" w:cs="Arial" w:eastAsia="Arial" w:hAnsi="Arial"/>
          <w:sz w:val="18"/>
          <w:szCs w:val="18"/>
          <w:color w:val="0000EE"/>
        </w:rPr>
      </w:pPr>
    </w:p>
    <w:p>
      <w:pPr>
        <w:ind w:left="1260" w:right="499" w:firstLine="360"/>
        <w:spacing w:after="0" w:line="263" w:lineRule="auto"/>
        <w:rPr>
          <w:sz w:val="20"/>
          <w:szCs w:val="20"/>
          <w:color w:val="auto"/>
        </w:rPr>
      </w:pPr>
      <w:r>
        <w:rPr>
          <w:rFonts w:ascii="Arial" w:cs="Arial" w:eastAsia="Arial" w:hAnsi="Arial"/>
          <w:sz w:val="18"/>
          <w:szCs w:val="18"/>
          <w:color w:val="auto"/>
        </w:rPr>
        <w:t>All filings filed by us pursuant to the Exchange Act after the date of the initial filing of the registration statement of which this prospectus is a part effective upon filing shall be deemed to be incorporated by reference into this prospectus.</w:t>
      </w:r>
    </w:p>
    <w:p>
      <w:pPr>
        <w:spacing w:after="0" w:line="116" w:lineRule="exact"/>
        <w:rPr>
          <w:rFonts w:ascii="Arial" w:cs="Arial" w:eastAsia="Arial" w:hAnsi="Arial"/>
          <w:sz w:val="18"/>
          <w:szCs w:val="18"/>
          <w:color w:val="0000EE"/>
        </w:rPr>
      </w:pPr>
    </w:p>
    <w:p>
      <w:pPr>
        <w:ind w:left="1260" w:right="459" w:firstLine="360"/>
        <w:spacing w:after="0" w:line="253" w:lineRule="auto"/>
        <w:rPr>
          <w:sz w:val="20"/>
          <w:szCs w:val="20"/>
          <w:color w:val="auto"/>
        </w:rPr>
      </w:pPr>
      <w:r>
        <w:rPr>
          <w:rFonts w:ascii="Arial" w:cs="Arial" w:eastAsia="Arial" w:hAnsi="Arial"/>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27" w:lineRule="exact"/>
        <w:rPr>
          <w:rFonts w:ascii="Arial" w:cs="Arial" w:eastAsia="Arial" w:hAnsi="Arial"/>
          <w:sz w:val="18"/>
          <w:szCs w:val="18"/>
          <w:color w:val="0000EE"/>
        </w:rPr>
      </w:pPr>
    </w:p>
    <w:p>
      <w:pPr>
        <w:ind w:left="1260" w:right="419" w:firstLine="360"/>
        <w:spacing w:after="0" w:line="277" w:lineRule="auto"/>
        <w:rPr>
          <w:sz w:val="20"/>
          <w:szCs w:val="20"/>
          <w:color w:val="auto"/>
        </w:rPr>
      </w:pPr>
      <w:r>
        <w:rPr>
          <w:rFonts w:ascii="Arial" w:cs="Arial" w:eastAsia="Arial" w:hAnsi="Arial"/>
          <w:sz w:val="18"/>
          <w:szCs w:val="18"/>
          <w:color w:val="auto"/>
        </w:rPr>
        <w:t>You can request a copy of these filings, at no cost, by writing or telephoning us at the following address or telephone number:</w:t>
      </w:r>
    </w:p>
    <w:p>
      <w:pPr>
        <w:spacing w:after="0" w:line="89" w:lineRule="exact"/>
        <w:rPr>
          <w:rFonts w:ascii="Arial" w:cs="Arial" w:eastAsia="Arial" w:hAnsi="Arial"/>
          <w:sz w:val="18"/>
          <w:szCs w:val="18"/>
          <w:color w:val="0000EE"/>
        </w:rPr>
      </w:pPr>
    </w:p>
    <w:p>
      <w:pPr>
        <w:jc w:val="center"/>
        <w:ind w:right="-800"/>
        <w:spacing w:after="0"/>
        <w:rPr>
          <w:sz w:val="20"/>
          <w:szCs w:val="20"/>
          <w:color w:val="auto"/>
        </w:rPr>
      </w:pPr>
      <w:r>
        <w:rPr>
          <w:rFonts w:ascii="Arial" w:cs="Arial" w:eastAsia="Arial" w:hAnsi="Arial"/>
          <w:sz w:val="18"/>
          <w:szCs w:val="18"/>
          <w:color w:val="auto"/>
        </w:rPr>
        <w:t>MongoDB, Inc.</w:t>
      </w:r>
    </w:p>
    <w:p>
      <w:pPr>
        <w:spacing w:after="0" w:line="23" w:lineRule="exact"/>
        <w:rPr>
          <w:rFonts w:ascii="Arial" w:cs="Arial" w:eastAsia="Arial" w:hAnsi="Arial"/>
          <w:sz w:val="18"/>
          <w:szCs w:val="18"/>
          <w:color w:val="0000EE"/>
        </w:rPr>
      </w:pPr>
    </w:p>
    <w:p>
      <w:pPr>
        <w:jc w:val="center"/>
        <w:ind w:right="-800"/>
        <w:spacing w:after="0"/>
        <w:rPr>
          <w:sz w:val="20"/>
          <w:szCs w:val="20"/>
          <w:color w:val="auto"/>
        </w:rPr>
      </w:pPr>
      <w:r>
        <w:rPr>
          <w:rFonts w:ascii="Arial" w:cs="Arial" w:eastAsia="Arial" w:hAnsi="Arial"/>
          <w:sz w:val="18"/>
          <w:szCs w:val="18"/>
          <w:color w:val="auto"/>
        </w:rPr>
        <w:t>Attn: General Counsel</w:t>
      </w:r>
    </w:p>
    <w:p>
      <w:pPr>
        <w:jc w:val="center"/>
        <w:ind w:right="-800"/>
        <w:spacing w:after="0" w:line="231" w:lineRule="auto"/>
        <w:rPr>
          <w:sz w:val="20"/>
          <w:szCs w:val="20"/>
          <w:color w:val="auto"/>
        </w:rPr>
      </w:pPr>
      <w:r>
        <w:rPr>
          <w:rFonts w:ascii="Arial" w:cs="Arial" w:eastAsia="Arial" w:hAnsi="Arial"/>
          <w:sz w:val="18"/>
          <w:szCs w:val="18"/>
          <w:color w:val="auto"/>
        </w:rPr>
        <w:t>1633 Broadway</w:t>
      </w:r>
    </w:p>
    <w:p>
      <w:pPr>
        <w:jc w:val="center"/>
        <w:ind w:right="-800"/>
        <w:spacing w:after="0" w:line="206" w:lineRule="auto"/>
        <w:rPr>
          <w:sz w:val="20"/>
          <w:szCs w:val="20"/>
          <w:color w:val="auto"/>
        </w:rPr>
      </w:pPr>
      <w:r>
        <w:rPr>
          <w:rFonts w:ascii="Arial" w:cs="Arial" w:eastAsia="Arial" w:hAnsi="Arial"/>
          <w:sz w:val="18"/>
          <w:szCs w:val="18"/>
          <w:color w:val="auto"/>
        </w:rPr>
        <w:t>38</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jc w:val="center"/>
        <w:ind w:right="-800"/>
        <w:spacing w:after="0"/>
        <w:rPr>
          <w:sz w:val="20"/>
          <w:szCs w:val="20"/>
          <w:color w:val="auto"/>
        </w:rPr>
      </w:pPr>
      <w:r>
        <w:rPr>
          <w:rFonts w:ascii="Arial" w:cs="Arial" w:eastAsia="Arial" w:hAnsi="Arial"/>
          <w:sz w:val="18"/>
          <w:szCs w:val="18"/>
          <w:color w:val="auto"/>
        </w:rPr>
        <w:t>New York, New York 10019</w:t>
      </w:r>
    </w:p>
    <w:p>
      <w:pPr>
        <w:spacing w:after="0" w:line="7" w:lineRule="exact"/>
        <w:rPr>
          <w:rFonts w:ascii="Arial" w:cs="Arial" w:eastAsia="Arial" w:hAnsi="Arial"/>
          <w:sz w:val="18"/>
          <w:szCs w:val="18"/>
          <w:color w:val="0000EE"/>
        </w:rPr>
      </w:pPr>
    </w:p>
    <w:p>
      <w:pPr>
        <w:jc w:val="center"/>
        <w:ind w:right="-840"/>
        <w:spacing w:after="0"/>
        <w:rPr>
          <w:sz w:val="20"/>
          <w:szCs w:val="20"/>
          <w:color w:val="auto"/>
        </w:rPr>
      </w:pPr>
      <w:r>
        <w:rPr>
          <w:rFonts w:ascii="Arial" w:cs="Arial" w:eastAsia="Arial" w:hAnsi="Arial"/>
          <w:sz w:val="18"/>
          <w:szCs w:val="18"/>
          <w:color w:val="auto"/>
        </w:rPr>
        <w:t>(646) 727-4092</w:t>
      </w: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38" w:lineRule="exact"/>
        <w:rPr>
          <w:rFonts w:ascii="Arial" w:cs="Arial" w:eastAsia="Arial" w:hAnsi="Arial"/>
          <w:sz w:val="18"/>
          <w:szCs w:val="18"/>
          <w:color w:val="0000EE"/>
        </w:rPr>
      </w:pPr>
    </w:p>
    <w:p>
      <w:pPr>
        <w:ind w:left="5240"/>
        <w:spacing w:after="0"/>
        <w:rPr>
          <w:sz w:val="20"/>
          <w:szCs w:val="20"/>
          <w:color w:val="auto"/>
        </w:rPr>
      </w:pPr>
      <w:r>
        <w:rPr>
          <w:rFonts w:ascii="Arial" w:cs="Arial" w:eastAsia="Arial" w:hAnsi="Arial"/>
          <w:sz w:val="18"/>
          <w:szCs w:val="18"/>
          <w:color w:val="auto"/>
        </w:rPr>
        <w:t>15</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0" w:name="page21"/>
    <w:bookmarkEnd w:id="2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48"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8"/>
          <w:szCs w:val="18"/>
          <w:color w:val="auto"/>
        </w:rPr>
        <w:t>The following table sets forth an estimate of the fees and expenses, other than the underwriting discounts and commissions, payable by us in connection with the issuance and distribution of the securities being registered. All the amounts shown are estimates, except for the SEC registration fee.</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0"/>
              </w:rPr>
              <w:t>Amount</w:t>
            </w:r>
          </w:p>
        </w:tc>
      </w:tr>
      <w:tr>
        <w:trPr>
          <w:trHeight w:val="26"/>
        </w:trPr>
        <w:tc>
          <w:tcPr>
            <w:tcW w:w="1940" w:type="dxa"/>
            <w:vAlign w:val="bottom"/>
            <w:gridSpan w:val="2"/>
          </w:tcPr>
          <w:p>
            <w:pPr>
              <w:spacing w:after="0"/>
              <w:rPr>
                <w:sz w:val="2"/>
                <w:szCs w:val="2"/>
                <w:color w:val="auto"/>
              </w:rPr>
            </w:pPr>
          </w:p>
        </w:tc>
        <w:tc>
          <w:tcPr>
            <w:tcW w:w="5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6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7340" w:type="dxa"/>
            <w:vAlign w:val="bottom"/>
            <w:gridSpan w:val="3"/>
          </w:tcPr>
          <w:p>
            <w:pPr>
              <w:ind w:left="360"/>
              <w:spacing w:after="0"/>
              <w:rPr>
                <w:sz w:val="20"/>
                <w:szCs w:val="20"/>
                <w:color w:val="auto"/>
              </w:rPr>
            </w:pPr>
            <w:r>
              <w:rPr>
                <w:rFonts w:ascii="Arial" w:cs="Arial" w:eastAsia="Arial" w:hAnsi="Arial"/>
                <w:sz w:val="18"/>
                <w:szCs w:val="18"/>
                <w:color w:val="auto"/>
              </w:rPr>
              <w:t>Accounting fees and expenses</w:t>
            </w:r>
          </w:p>
        </w:tc>
        <w:tc>
          <w:tcPr>
            <w:tcW w:w="2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60" w:type="dxa"/>
            <w:vAlign w:val="bottom"/>
          </w:tcPr>
          <w:p>
            <w:pPr>
              <w:spacing w:after="0"/>
              <w:rPr>
                <w:sz w:val="22"/>
                <w:szCs w:val="22"/>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340" w:type="dxa"/>
            <w:vAlign w:val="bottom"/>
            <w:gridSpan w:val="3"/>
          </w:tcPr>
          <w:p>
            <w:pPr>
              <w:ind w:left="360"/>
              <w:spacing w:after="0"/>
              <w:rPr>
                <w:sz w:val="20"/>
                <w:szCs w:val="20"/>
                <w:color w:val="auto"/>
              </w:rPr>
            </w:pPr>
            <w:r>
              <w:rPr>
                <w:rFonts w:ascii="Arial" w:cs="Arial" w:eastAsia="Arial" w:hAnsi="Arial"/>
                <w:sz w:val="18"/>
                <w:szCs w:val="18"/>
                <w:color w:val="auto"/>
              </w:rPr>
              <w:t>Miscellaneous fees and expenses</w:t>
            </w:r>
          </w:p>
        </w:tc>
        <w:tc>
          <w:tcPr>
            <w:tcW w:w="20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60" w:type="dxa"/>
            <w:vAlign w:val="bottom"/>
          </w:tcPr>
          <w:p>
            <w:pPr>
              <w:spacing w:after="0"/>
              <w:rPr>
                <w:sz w:val="23"/>
                <w:szCs w:val="23"/>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5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-985520</wp:posOffset>
            </wp:positionV>
            <wp:extent cx="44234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line="114" w:lineRule="exact"/>
        <w:rPr>
          <w:sz w:val="20"/>
          <w:szCs w:val="20"/>
          <w:color w:val="auto"/>
        </w:rPr>
      </w:pPr>
    </w:p>
    <w:p>
      <w:pPr>
        <w:ind w:left="1620" w:right="759" w:hanging="360"/>
        <w:spacing w:after="0" w:line="277"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accordance with Rules 456(b) and 457(r), we are deferring payment of all applicable registration fees for the securities offered under this registration statement.</w:t>
      </w:r>
    </w:p>
    <w:p>
      <w:pPr>
        <w:spacing w:after="0" w:line="22" w:lineRule="exact"/>
        <w:rPr>
          <w:sz w:val="20"/>
          <w:szCs w:val="20"/>
          <w:color w:val="auto"/>
        </w:rPr>
      </w:pPr>
    </w:p>
    <w:p>
      <w:pPr>
        <w:ind w:left="1620" w:right="499" w:hanging="360"/>
        <w:spacing w:after="0" w:line="263" w:lineRule="auto"/>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These fees are calculated based on the securities offered and the number of issuances and, accordingly, cannot be estimated at this time. The applicable prospectus supplement will list the estimated amount of expenses of any offering of securities.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48"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7"/>
          <w:szCs w:val="17"/>
          <w:color w:val="auto"/>
        </w:rPr>
        <w:t>We are incorporated under the laws of the State of Delaware. Section 102 of the Delaware General Corporation Law permits a corporation to eliminate the personal liability of directors of a corporation to the corporation or its stockholders for monetary damages for a breach of fiduciary duty as a director, except where the director breached his or her duty of loyalty, failed to act in good faith, engaged in intentional misconduct or knowingly violated a law, authorized the payment of a dividend or approved a stock repurchase in violation of Delaware corporate law or obtained an improper personal benefit.</w:t>
      </w:r>
    </w:p>
    <w:p>
      <w:pPr>
        <w:spacing w:after="0" w:line="10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Section 145 of the Delaware General Corporation Law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or she is or is threatened to be made a party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13"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7"/>
          <w:szCs w:val="17"/>
          <w:color w:val="auto"/>
        </w:rPr>
        <w:t>As permitted by the Delaware General Corporation Law, our amended and restated certificate of incorporation and amended and restated bylaws provide that: (1) we are required to indemnify our directors to the fullest extent permitted by the Delaware General Corporation Law; (2) we may, in our discretion, indemnify our officers, employees and agents as set forth in the Delaware General Corporation Law; (3) we are required, upon satisfaction of certain conditions, to advance all expenses incurred by our directors in connection with certain legal proceedings; (4) the rights conferred in the bylaws are not exclusive; and</w:t>
      </w:r>
    </w:p>
    <w:p>
      <w:pPr>
        <w:spacing w:after="0" w:line="4" w:lineRule="exact"/>
        <w:rPr>
          <w:sz w:val="20"/>
          <w:szCs w:val="20"/>
          <w:color w:val="auto"/>
        </w:rPr>
      </w:pPr>
    </w:p>
    <w:p>
      <w:pPr>
        <w:ind w:left="1260" w:right="619"/>
        <w:spacing w:after="0" w:line="243" w:lineRule="auto"/>
        <w:tabs>
          <w:tab w:leader="none" w:pos="1529"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authorized to enter into indemnification agreements with our directors, officers, employees and agents.</w:t>
      </w:r>
    </w:p>
    <w:p>
      <w:pPr>
        <w:spacing w:after="0" w:line="105" w:lineRule="exact"/>
        <w:rPr>
          <w:sz w:val="20"/>
          <w:szCs w:val="20"/>
          <w:color w:val="auto"/>
        </w:rPr>
      </w:pPr>
    </w:p>
    <w:p>
      <w:pPr>
        <w:ind w:left="1260" w:right="599" w:firstLine="360"/>
        <w:spacing w:after="0" w:line="324" w:lineRule="auto"/>
        <w:rPr>
          <w:sz w:val="20"/>
          <w:szCs w:val="20"/>
          <w:color w:val="auto"/>
        </w:rPr>
      </w:pPr>
      <w:r>
        <w:rPr>
          <w:rFonts w:ascii="Arial" w:cs="Arial" w:eastAsia="Arial" w:hAnsi="Arial"/>
          <w:sz w:val="16"/>
          <w:szCs w:val="16"/>
          <w:color w:val="auto"/>
        </w:rPr>
        <w:t>Our policy is to enter into agreements with our directors that require us to indemnify them against expenses, judgments, fines, settlements and other amounts that any such person becomes legally obligated</w:t>
      </w:r>
    </w:p>
    <w:p>
      <w:pPr>
        <w:sectPr>
          <w:pgSz w:w="11900" w:h="16838" w:orient="portrait"/>
          <w:cols w:equalWidth="0" w:num="1">
            <w:col w:w="9879"/>
          </w:cols>
          <w:pgMar w:left="580" w:top="131" w:right="1440" w:bottom="1440" w:gutter="0" w:footer="0" w:header="0"/>
        </w:sectPr>
      </w:pPr>
    </w:p>
    <w:p>
      <w:pPr>
        <w:spacing w:after="0" w:line="31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spacing w:after="0" w:line="254" w:lineRule="auto"/>
        <w:rPr>
          <w:sz w:val="20"/>
          <w:szCs w:val="20"/>
          <w:color w:val="auto"/>
        </w:rPr>
      </w:pPr>
      <w:r>
        <w:rPr>
          <w:rFonts w:ascii="Arial" w:cs="Arial" w:eastAsia="Arial" w:hAnsi="Arial"/>
          <w:sz w:val="18"/>
          <w:szCs w:val="18"/>
          <w:color w:val="auto"/>
        </w:rPr>
        <w:t>to pay (including with respect to a derivative action) in connection with any proceeding, whether actual or threatened, to which such person may be made a party by reason of the fact that such person is or was a director or officer of us or any of our affiliates, provided such person acted in good faith and in a manner such person reasonably believed to be in, or not opposed to, our best interests. These indemnification agreements also set forth certain procedures that will apply in the event of a claim for indemnification thereunder. At present, no litigation or proceeding is pending that involves any of our directors or officers regarding which indemnification is sought, nor are we aware of any threatened litigation that may result in claims for indemnification.</w:t>
      </w:r>
    </w:p>
    <w:p>
      <w:pPr>
        <w:spacing w:after="0" w:line="111"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8"/>
          <w:szCs w:val="18"/>
          <w:color w:val="auto"/>
        </w:rPr>
        <w:t>We maintain a directors’ and officers’ liability insurance policy. The policy insures directors and officers against unindemnified losses arising from certain wrongful acts in their capacities as directors and officers and reimburses us for those losses for which we have lawfully indemnified the directors and officers. The policy contains various exclusions.</w:t>
      </w:r>
    </w:p>
    <w:p>
      <w:pPr>
        <w:spacing w:after="0" w:line="119"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The underwriting agreement that we may enter into, if any, with respect to an offering of securities registered hereunder may provide for indemnification by any underwriters of any offering, our directors and officers who sign the registration statement, our controlling persons and the selling stockholders for some liabilities, including liabilities arising under the Securities Act. Our amended and restated investors’ rights agreement with certain stockholders also provides for cross-indemnification in connection with the registration of our common stock on behalf of such investors.</w:t>
      </w:r>
    </w:p>
    <w:p>
      <w:pPr>
        <w:spacing w:after="0" w:line="188"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6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Item 16.</w:t>
            </w:r>
          </w:p>
        </w:tc>
        <w:tc>
          <w:tcPr>
            <w:tcW w:w="3180" w:type="dxa"/>
            <w:vAlign w:val="bottom"/>
            <w:gridSpan w:val="21"/>
          </w:tcPr>
          <w:p>
            <w:pPr>
              <w:ind w:left="60"/>
              <w:spacing w:after="0"/>
              <w:rPr>
                <w:sz w:val="20"/>
                <w:szCs w:val="20"/>
                <w:color w:val="auto"/>
              </w:rPr>
            </w:pPr>
            <w:r>
              <w:rPr>
                <w:rFonts w:ascii="Arial" w:cs="Arial" w:eastAsia="Arial" w:hAnsi="Arial"/>
                <w:sz w:val="18"/>
                <w:szCs w:val="18"/>
                <w:b w:val="1"/>
                <w:bCs w:val="1"/>
                <w:color w:val="auto"/>
              </w:rPr>
              <w:t>Exhibits</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5"/>
        </w:trPr>
        <w:tc>
          <w:tcPr>
            <w:tcW w:w="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Exhibit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4"/>
          </w:tcPr>
          <w:p>
            <w:pPr>
              <w:ind w:left="200"/>
              <w:spacing w:after="0"/>
              <w:rPr>
                <w:sz w:val="20"/>
                <w:szCs w:val="20"/>
                <w:color w:val="auto"/>
              </w:rPr>
            </w:pPr>
            <w:r>
              <w:rPr>
                <w:rFonts w:ascii="Arial" w:cs="Arial" w:eastAsia="Arial" w:hAnsi="Arial"/>
                <w:sz w:val="14"/>
                <w:szCs w:val="14"/>
                <w:b w:val="1"/>
                <w:bCs w:val="1"/>
                <w:color w:val="auto"/>
              </w:rPr>
              <w:t>Incorporated by Reference</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39"/>
        </w:trPr>
        <w:tc>
          <w:tcPr>
            <w:tcW w:w="6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6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Number</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gridSpan w:val="16"/>
          </w:tcPr>
          <w:p>
            <w:pPr>
              <w:ind w:left="160"/>
              <w:spacing w:after="0"/>
              <w:rPr>
                <w:sz w:val="20"/>
                <w:szCs w:val="20"/>
                <w:color w:val="auto"/>
              </w:rPr>
            </w:pPr>
            <w:r>
              <w:rPr>
                <w:rFonts w:ascii="Arial" w:cs="Arial" w:eastAsia="Arial" w:hAnsi="Arial"/>
                <w:sz w:val="14"/>
                <w:szCs w:val="14"/>
                <w:b w:val="1"/>
                <w:bCs w:val="1"/>
                <w:color w:val="auto"/>
              </w:rPr>
              <w:t>Description</w:t>
            </w: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Form</w:t>
            </w:r>
          </w:p>
        </w:tc>
        <w:tc>
          <w:tcPr>
            <w:tcW w:w="1200" w:type="dxa"/>
            <w:vAlign w:val="bottom"/>
            <w:gridSpan w:val="2"/>
          </w:tcPr>
          <w:p>
            <w:pPr>
              <w:ind w:left="260"/>
              <w:spacing w:after="0"/>
              <w:rPr>
                <w:sz w:val="20"/>
                <w:szCs w:val="20"/>
                <w:color w:val="auto"/>
              </w:rPr>
            </w:pPr>
            <w:r>
              <w:rPr>
                <w:rFonts w:ascii="Arial" w:cs="Arial" w:eastAsia="Arial" w:hAnsi="Arial"/>
                <w:sz w:val="14"/>
                <w:szCs w:val="14"/>
                <w:b w:val="1"/>
                <w:bCs w:val="1"/>
                <w:color w:val="auto"/>
              </w:rPr>
              <w:t>File No.</w:t>
            </w: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Exhibit</w:t>
            </w: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w w:val="99"/>
              </w:rPr>
              <w:t>Filing Date    Herewith</w:t>
            </w:r>
          </w:p>
        </w:tc>
        <w:tc>
          <w:tcPr>
            <w:tcW w:w="0" w:type="dxa"/>
            <w:vAlign w:val="bottom"/>
          </w:tcPr>
          <w:p>
            <w:pPr>
              <w:spacing w:after="0"/>
              <w:rPr>
                <w:sz w:val="1"/>
                <w:szCs w:val="1"/>
                <w:color w:val="auto"/>
              </w:rPr>
            </w:pPr>
          </w:p>
        </w:tc>
      </w:tr>
      <w:tr>
        <w:trPr>
          <w:trHeight w:val="39"/>
        </w:trPr>
        <w:tc>
          <w:tcPr>
            <w:tcW w:w="6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00" w:type="dxa"/>
            <w:vAlign w:val="bottom"/>
          </w:tcPr>
          <w:p>
            <w:pPr>
              <w:jc w:val="right"/>
              <w:ind w:right="93"/>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20" w:type="dxa"/>
            <w:vAlign w:val="bottom"/>
            <w:gridSpan w:val="19"/>
          </w:tcPr>
          <w:p>
            <w:pPr>
              <w:spacing w:after="0"/>
              <w:rPr>
                <w:sz w:val="20"/>
                <w:szCs w:val="20"/>
                <w:color w:val="auto"/>
              </w:rPr>
            </w:pPr>
            <w:r>
              <w:rPr>
                <w:rFonts w:ascii="Arial" w:cs="Arial" w:eastAsia="Arial" w:hAnsi="Arial"/>
                <w:sz w:val="18"/>
                <w:szCs w:val="18"/>
                <w:color w:val="auto"/>
              </w:rPr>
              <w:t>Form of Underwriting Agreement</w:t>
            </w: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0" w:type="dxa"/>
            <w:vAlign w:val="bottom"/>
          </w:tcPr>
          <w:p>
            <w:pPr>
              <w:jc w:val="right"/>
              <w:ind w:right="193"/>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20" w:type="dxa"/>
            <w:vAlign w:val="bottom"/>
            <w:gridSpan w:val="19"/>
          </w:tcPr>
          <w:p>
            <w:pPr>
              <w:spacing w:after="0"/>
              <w:rPr>
                <w:rFonts w:ascii="Arial" w:cs="Arial" w:eastAsia="Arial" w:hAnsi="Arial"/>
                <w:sz w:val="18"/>
                <w:szCs w:val="18"/>
                <w:color w:val="0000EE"/>
              </w:rPr>
            </w:pPr>
            <w:hyperlink r:id="rId51">
              <w:r>
                <w:rPr>
                  <w:rFonts w:ascii="Arial" w:cs="Arial" w:eastAsia="Arial" w:hAnsi="Arial"/>
                  <w:sz w:val="18"/>
                  <w:szCs w:val="18"/>
                  <w:color w:val="0000EE"/>
                </w:rPr>
                <w:t>Amended and Restated Certificate of</w:t>
              </w:r>
            </w:hyperlink>
          </w:p>
        </w:tc>
        <w:tc>
          <w:tcPr>
            <w:tcW w:w="800" w:type="dxa"/>
            <w:vAlign w:val="bottom"/>
            <w:gridSpan w:val="2"/>
          </w:tcPr>
          <w:p>
            <w:pPr>
              <w:spacing w:after="0"/>
              <w:rPr>
                <w:sz w:val="20"/>
                <w:szCs w:val="20"/>
                <w:color w:val="auto"/>
              </w:rPr>
            </w:pPr>
            <w:r>
              <w:rPr>
                <w:rFonts w:ascii="Arial" w:cs="Arial" w:eastAsia="Arial" w:hAnsi="Arial"/>
                <w:sz w:val="18"/>
                <w:szCs w:val="18"/>
                <w:color w:val="auto"/>
              </w:rPr>
              <w:t>8-K</w:t>
            </w:r>
          </w:p>
        </w:tc>
        <w:tc>
          <w:tcPr>
            <w:tcW w:w="980" w:type="dxa"/>
            <w:vAlign w:val="bottom"/>
          </w:tcPr>
          <w:p>
            <w:pPr>
              <w:spacing w:after="0"/>
              <w:rPr>
                <w:sz w:val="20"/>
                <w:szCs w:val="20"/>
                <w:color w:val="auto"/>
              </w:rPr>
            </w:pPr>
            <w:r>
              <w:rPr>
                <w:rFonts w:ascii="Arial" w:cs="Arial" w:eastAsia="Arial" w:hAnsi="Arial"/>
                <w:sz w:val="18"/>
                <w:szCs w:val="18"/>
                <w:color w:val="auto"/>
              </w:rPr>
              <w:t>001-38240</w:t>
            </w:r>
          </w:p>
        </w:tc>
        <w:tc>
          <w:tcPr>
            <w:tcW w:w="22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22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6"/>
              </w:rPr>
              <w:t>10/25/17</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Incorporation of Registrant</w:t>
              </w:r>
            </w:hyperlink>
          </w:p>
        </w:tc>
        <w:tc>
          <w:tcPr>
            <w:tcW w:w="24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600" w:type="dxa"/>
            <w:vAlign w:val="bottom"/>
          </w:tcPr>
          <w:p>
            <w:pPr>
              <w:jc w:val="right"/>
              <w:ind w:right="193"/>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5"/>
              </w:rPr>
            </w:pPr>
            <w:hyperlink r:id="rId52">
              <w:r>
                <w:rPr>
                  <w:rFonts w:ascii="Arial" w:cs="Arial" w:eastAsia="Arial" w:hAnsi="Arial"/>
                  <w:sz w:val="18"/>
                  <w:szCs w:val="18"/>
                  <w:color w:val="0000EE"/>
                  <w:w w:val="95"/>
                </w:rPr>
                <w:t>Certificate of Retirement</w:t>
              </w:r>
            </w:hyperlink>
          </w:p>
        </w:tc>
        <w:tc>
          <w:tcPr>
            <w:tcW w:w="160" w:type="dxa"/>
            <w:vAlign w:val="bottom"/>
            <w:tcBorders>
              <w:top w:val="single" w:sz="8" w:color="0000EE"/>
            </w:tcBorders>
          </w:tcPr>
          <w:p>
            <w:pPr>
              <w:spacing w:after="0"/>
              <w:rPr>
                <w:sz w:val="24"/>
                <w:szCs w:val="24"/>
                <w:color w:val="auto"/>
              </w:rPr>
            </w:pPr>
          </w:p>
        </w:tc>
        <w:tc>
          <w:tcPr>
            <w:tcW w:w="980" w:type="dxa"/>
            <w:vAlign w:val="bottom"/>
            <w:gridSpan w:val="12"/>
          </w:tcPr>
          <w:p>
            <w:pPr>
              <w:spacing w:after="0"/>
              <w:rPr>
                <w:sz w:val="24"/>
                <w:szCs w:val="24"/>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8-K</w:t>
            </w:r>
          </w:p>
        </w:tc>
        <w:tc>
          <w:tcPr>
            <w:tcW w:w="980" w:type="dxa"/>
            <w:vAlign w:val="bottom"/>
          </w:tcPr>
          <w:p>
            <w:pPr>
              <w:spacing w:after="0"/>
              <w:rPr>
                <w:sz w:val="20"/>
                <w:szCs w:val="20"/>
                <w:color w:val="auto"/>
              </w:rPr>
            </w:pPr>
            <w:r>
              <w:rPr>
                <w:rFonts w:ascii="Arial" w:cs="Arial" w:eastAsia="Arial" w:hAnsi="Arial"/>
                <w:sz w:val="18"/>
                <w:szCs w:val="18"/>
                <w:color w:val="auto"/>
              </w:rPr>
              <w:t>001-38240</w:t>
            </w:r>
          </w:p>
        </w:tc>
        <w:tc>
          <w:tcPr>
            <w:tcW w:w="2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2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4"/>
              </w:rPr>
              <w:t>6/16/2020</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00" w:type="dxa"/>
            <w:vAlign w:val="bottom"/>
          </w:tcPr>
          <w:p>
            <w:pPr>
              <w:jc w:val="right"/>
              <w:ind w:right="193"/>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20" w:type="dxa"/>
            <w:vAlign w:val="bottom"/>
            <w:gridSpan w:val="19"/>
          </w:tcPr>
          <w:p>
            <w:pPr>
              <w:spacing w:after="0"/>
              <w:rPr>
                <w:rFonts w:ascii="Arial" w:cs="Arial" w:eastAsia="Arial" w:hAnsi="Arial"/>
                <w:sz w:val="18"/>
                <w:szCs w:val="18"/>
                <w:color w:val="0000EE"/>
              </w:rPr>
            </w:pPr>
            <w:hyperlink r:id="rId53">
              <w:r>
                <w:rPr>
                  <w:rFonts w:ascii="Arial" w:cs="Arial" w:eastAsia="Arial" w:hAnsi="Arial"/>
                  <w:sz w:val="18"/>
                  <w:szCs w:val="18"/>
                  <w:color w:val="0000EE"/>
                </w:rPr>
                <w:t>Amended and Restated Bylaws of</w:t>
              </w:r>
            </w:hyperlink>
          </w:p>
        </w:tc>
        <w:tc>
          <w:tcPr>
            <w:tcW w:w="800" w:type="dxa"/>
            <w:vAlign w:val="bottom"/>
            <w:gridSpan w:val="2"/>
          </w:tcPr>
          <w:p>
            <w:pPr>
              <w:spacing w:after="0"/>
              <w:rPr>
                <w:sz w:val="20"/>
                <w:szCs w:val="20"/>
                <w:color w:val="auto"/>
              </w:rPr>
            </w:pPr>
            <w:r>
              <w:rPr>
                <w:rFonts w:ascii="Arial" w:cs="Arial" w:eastAsia="Arial" w:hAnsi="Arial"/>
                <w:sz w:val="18"/>
                <w:szCs w:val="18"/>
                <w:color w:val="auto"/>
              </w:rPr>
              <w:t>S-1</w:t>
            </w:r>
          </w:p>
        </w:tc>
        <w:tc>
          <w:tcPr>
            <w:tcW w:w="980" w:type="dxa"/>
            <w:vAlign w:val="bottom"/>
          </w:tcPr>
          <w:p>
            <w:pPr>
              <w:spacing w:after="0"/>
              <w:rPr>
                <w:sz w:val="20"/>
                <w:szCs w:val="20"/>
                <w:color w:val="auto"/>
              </w:rPr>
            </w:pPr>
            <w:r>
              <w:rPr>
                <w:rFonts w:ascii="Arial" w:cs="Arial" w:eastAsia="Arial" w:hAnsi="Arial"/>
                <w:sz w:val="18"/>
                <w:szCs w:val="18"/>
                <w:color w:val="auto"/>
                <w:w w:val="99"/>
              </w:rPr>
              <w:t>333-220557</w:t>
            </w:r>
          </w:p>
        </w:tc>
        <w:tc>
          <w:tcPr>
            <w:tcW w:w="22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2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9/21/17</w:t>
            </w: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Registrant</w:t>
              </w:r>
            </w:hyperlink>
          </w:p>
        </w:tc>
        <w:tc>
          <w:tcPr>
            <w:tcW w:w="480" w:type="dxa"/>
            <w:vAlign w:val="bottom"/>
            <w:gridSpan w:val="7"/>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0" w:type="dxa"/>
            <w:vAlign w:val="bottom"/>
          </w:tcPr>
          <w:p>
            <w:pPr>
              <w:jc w:val="right"/>
              <w:ind w:right="193"/>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tcBorders>
              <w:bottom w:val="single" w:sz="8" w:color="0000EE"/>
            </w:tcBorders>
            <w:gridSpan w:val="9"/>
          </w:tcPr>
          <w:p>
            <w:pPr>
              <w:spacing w:after="0"/>
              <w:rPr>
                <w:rFonts w:ascii="Arial" w:cs="Arial" w:eastAsia="Arial" w:hAnsi="Arial"/>
                <w:sz w:val="18"/>
                <w:szCs w:val="18"/>
                <w:color w:val="0000EE"/>
                <w:w w:val="94"/>
              </w:rPr>
            </w:pPr>
            <w:hyperlink r:id="rId54">
              <w:r>
                <w:rPr>
                  <w:rFonts w:ascii="Arial" w:cs="Arial" w:eastAsia="Arial" w:hAnsi="Arial"/>
                  <w:sz w:val="18"/>
                  <w:szCs w:val="18"/>
                  <w:color w:val="0000EE"/>
                  <w:w w:val="94"/>
                </w:rPr>
                <w:t>Form of Class A common stock</w:t>
              </w:r>
            </w:hyperlink>
          </w:p>
        </w:tc>
        <w:tc>
          <w:tcPr>
            <w:tcW w:w="640" w:type="dxa"/>
            <w:vAlign w:val="bottom"/>
            <w:gridSpan w:val="10"/>
          </w:tcPr>
          <w:p>
            <w:pPr>
              <w:spacing w:after="0"/>
              <w:rPr>
                <w:sz w:val="24"/>
                <w:szCs w:val="24"/>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S-1/A</w:t>
            </w:r>
          </w:p>
        </w:tc>
        <w:tc>
          <w:tcPr>
            <w:tcW w:w="980" w:type="dxa"/>
            <w:vAlign w:val="bottom"/>
          </w:tcPr>
          <w:p>
            <w:pPr>
              <w:spacing w:after="0"/>
              <w:rPr>
                <w:sz w:val="20"/>
                <w:szCs w:val="20"/>
                <w:color w:val="auto"/>
              </w:rPr>
            </w:pPr>
            <w:r>
              <w:rPr>
                <w:rFonts w:ascii="Arial" w:cs="Arial" w:eastAsia="Arial" w:hAnsi="Arial"/>
                <w:sz w:val="18"/>
                <w:szCs w:val="18"/>
                <w:color w:val="auto"/>
                <w:w w:val="99"/>
              </w:rPr>
              <w:t>333-220557</w:t>
            </w:r>
          </w:p>
        </w:tc>
        <w:tc>
          <w:tcPr>
            <w:tcW w:w="2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2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10/6/17</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r:id="rId54">
              <w:r>
                <w:rPr>
                  <w:rFonts w:ascii="Arial" w:cs="Arial" w:eastAsia="Arial" w:hAnsi="Arial"/>
                  <w:sz w:val="18"/>
                  <w:szCs w:val="18"/>
                  <w:color w:val="0000EE"/>
                  <w:w w:val="95"/>
                </w:rPr>
                <w:t>certificate of Registrant</w:t>
              </w:r>
            </w:hyperlink>
          </w:p>
        </w:tc>
        <w:tc>
          <w:tcPr>
            <w:tcW w:w="1240" w:type="dxa"/>
            <w:vAlign w:val="bottom"/>
            <w:gridSpan w:val="14"/>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600" w:type="dxa"/>
            <w:vAlign w:val="bottom"/>
          </w:tcPr>
          <w:p>
            <w:pPr>
              <w:jc w:val="right"/>
              <w:ind w:right="193"/>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20" w:type="dxa"/>
            <w:vAlign w:val="bottom"/>
            <w:gridSpan w:val="19"/>
          </w:tcPr>
          <w:p>
            <w:pPr>
              <w:spacing w:after="0"/>
              <w:rPr>
                <w:rFonts w:ascii="Arial" w:cs="Arial" w:eastAsia="Arial" w:hAnsi="Arial"/>
                <w:sz w:val="18"/>
                <w:szCs w:val="18"/>
                <w:color w:val="0000EE"/>
              </w:rPr>
            </w:pPr>
            <w:hyperlink r:id="rId55">
              <w:r>
                <w:rPr>
                  <w:rFonts w:ascii="Arial" w:cs="Arial" w:eastAsia="Arial" w:hAnsi="Arial"/>
                  <w:sz w:val="18"/>
                  <w:szCs w:val="18"/>
                  <w:color w:val="0000EE"/>
                </w:rPr>
                <w:t>Fifth Amended and Restated</w:t>
              </w:r>
            </w:hyperlink>
          </w:p>
        </w:tc>
        <w:tc>
          <w:tcPr>
            <w:tcW w:w="800" w:type="dxa"/>
            <w:vAlign w:val="bottom"/>
            <w:gridSpan w:val="2"/>
          </w:tcPr>
          <w:p>
            <w:pPr>
              <w:spacing w:after="0"/>
              <w:rPr>
                <w:sz w:val="20"/>
                <w:szCs w:val="20"/>
                <w:color w:val="auto"/>
              </w:rPr>
            </w:pPr>
            <w:r>
              <w:rPr>
                <w:rFonts w:ascii="Arial" w:cs="Arial" w:eastAsia="Arial" w:hAnsi="Arial"/>
                <w:sz w:val="18"/>
                <w:szCs w:val="18"/>
                <w:color w:val="auto"/>
              </w:rPr>
              <w:t>S-1</w:t>
            </w:r>
          </w:p>
        </w:tc>
        <w:tc>
          <w:tcPr>
            <w:tcW w:w="980" w:type="dxa"/>
            <w:vAlign w:val="bottom"/>
          </w:tcPr>
          <w:p>
            <w:pPr>
              <w:spacing w:after="0"/>
              <w:rPr>
                <w:sz w:val="20"/>
                <w:szCs w:val="20"/>
                <w:color w:val="auto"/>
              </w:rPr>
            </w:pPr>
            <w:r>
              <w:rPr>
                <w:rFonts w:ascii="Arial" w:cs="Arial" w:eastAsia="Arial" w:hAnsi="Arial"/>
                <w:sz w:val="18"/>
                <w:szCs w:val="18"/>
                <w:color w:val="auto"/>
                <w:w w:val="99"/>
              </w:rPr>
              <w:t>333-220557</w:t>
            </w:r>
          </w:p>
        </w:tc>
        <w:tc>
          <w:tcPr>
            <w:tcW w:w="2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2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9/21/17</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2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r:id="rId55">
              <w:r>
                <w:rPr>
                  <w:rFonts w:ascii="Arial" w:cs="Arial" w:eastAsia="Arial" w:hAnsi="Arial"/>
                  <w:sz w:val="18"/>
                  <w:szCs w:val="18"/>
                  <w:color w:val="0000EE"/>
                  <w:w w:val="94"/>
                </w:rPr>
                <w:t>Investors’ Rights Agreement by and</w:t>
              </w:r>
            </w:hyperlink>
          </w:p>
        </w:tc>
        <w:tc>
          <w:tcPr>
            <w:tcW w:w="300" w:type="dxa"/>
            <w:vAlign w:val="bottom"/>
            <w:gridSpan w:val="4"/>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20" w:type="dxa"/>
            <w:vAlign w:val="bottom"/>
            <w:gridSpan w:val="19"/>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among the Registrant and certain of</w:t>
              </w:r>
            </w:hyperlink>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3"/>
              </w:rPr>
            </w:pPr>
            <w:hyperlink r:id="rId55">
              <w:r>
                <w:rPr>
                  <w:rFonts w:ascii="Arial" w:cs="Arial" w:eastAsia="Arial" w:hAnsi="Arial"/>
                  <w:sz w:val="18"/>
                  <w:szCs w:val="18"/>
                  <w:color w:val="0000EE"/>
                  <w:w w:val="93"/>
                </w:rPr>
                <w:t>its stockholders, dated October 2,</w:t>
              </w:r>
            </w:hyperlink>
          </w:p>
        </w:tc>
        <w:tc>
          <w:tcPr>
            <w:tcW w:w="160" w:type="dxa"/>
            <w:vAlign w:val="bottom"/>
            <w:tcBorders>
              <w:top w:val="single" w:sz="8" w:color="0000EE"/>
            </w:tcBorders>
            <w:gridSpan w:val="3"/>
          </w:tcPr>
          <w:p>
            <w:pPr>
              <w:spacing w:after="0"/>
              <w:rPr>
                <w:sz w:val="17"/>
                <w:szCs w:val="17"/>
                <w:color w:val="auto"/>
              </w:rPr>
            </w:pPr>
          </w:p>
        </w:tc>
        <w:tc>
          <w:tcPr>
            <w:tcW w:w="340" w:type="dxa"/>
            <w:vAlign w:val="bottom"/>
            <w:gridSpan w:val="5"/>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gridSpan w:val="3"/>
          </w:tcPr>
          <w:p>
            <w:pPr>
              <w:ind w:left="160"/>
              <w:spacing w:after="0" w:line="196" w:lineRule="exact"/>
              <w:rPr>
                <w:rFonts w:ascii="Arial" w:cs="Arial" w:eastAsia="Arial" w:hAnsi="Arial"/>
                <w:sz w:val="18"/>
                <w:szCs w:val="18"/>
                <w:color w:val="0000EE"/>
                <w:w w:val="79"/>
              </w:rPr>
            </w:pPr>
            <w:hyperlink r:id="rId55">
              <w:r>
                <w:rPr>
                  <w:rFonts w:ascii="Arial" w:cs="Arial" w:eastAsia="Arial" w:hAnsi="Arial"/>
                  <w:sz w:val="18"/>
                  <w:szCs w:val="18"/>
                  <w:color w:val="0000EE"/>
                  <w:w w:val="79"/>
                </w:rPr>
                <w:t>2013</w:t>
              </w:r>
            </w:hyperlink>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00" w:type="dxa"/>
            <w:vAlign w:val="bottom"/>
          </w:tcPr>
          <w:p>
            <w:pPr>
              <w:jc w:val="right"/>
              <w:ind w:right="193"/>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Borders>
              <w:bottom w:val="single" w:sz="8" w:color="0000EE"/>
            </w:tcBorders>
            <w:gridSpan w:val="5"/>
          </w:tcPr>
          <w:p>
            <w:pPr>
              <w:spacing w:after="0"/>
              <w:rPr>
                <w:rFonts w:ascii="Arial" w:cs="Arial" w:eastAsia="Arial" w:hAnsi="Arial"/>
                <w:sz w:val="18"/>
                <w:szCs w:val="18"/>
                <w:color w:val="0000EE"/>
                <w:w w:val="97"/>
              </w:rPr>
            </w:pPr>
            <w:hyperlink w:anchor="page27">
              <w:r>
                <w:rPr>
                  <w:rFonts w:ascii="Arial" w:cs="Arial" w:eastAsia="Arial" w:hAnsi="Arial"/>
                  <w:sz w:val="18"/>
                  <w:szCs w:val="18"/>
                  <w:color w:val="0000EE"/>
                  <w:w w:val="97"/>
                </w:rPr>
                <w:t>Opinion of Cooley LLP</w:t>
              </w:r>
            </w:hyperlink>
          </w:p>
        </w:tc>
        <w:tc>
          <w:tcPr>
            <w:tcW w:w="1240" w:type="dxa"/>
            <w:vAlign w:val="bottom"/>
            <w:gridSpan w:val="14"/>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600" w:type="dxa"/>
            <w:vAlign w:val="bottom"/>
          </w:tcPr>
          <w:p>
            <w:pPr>
              <w:jc w:val="right"/>
              <w:ind w:right="193"/>
              <w:spacing w:after="0"/>
              <w:rPr>
                <w:sz w:val="20"/>
                <w:szCs w:val="20"/>
                <w:color w:val="auto"/>
              </w:rPr>
            </w:pPr>
            <w:r>
              <w:rPr>
                <w:rFonts w:ascii="Arial" w:cs="Arial" w:eastAsia="Arial" w:hAnsi="Arial"/>
                <w:sz w:val="18"/>
                <w:szCs w:val="18"/>
                <w:color w:val="auto"/>
                <w:w w:val="85"/>
              </w:rPr>
              <w:t>23.1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20" w:type="dxa"/>
            <w:vAlign w:val="bottom"/>
            <w:gridSpan w:val="1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Consent of PricewaterhouseCoopers</w:t>
              </w:r>
            </w:hyperlink>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4"/>
              </w:rPr>
            </w:pPr>
            <w:hyperlink w:anchor="page29">
              <w:r>
                <w:rPr>
                  <w:rFonts w:ascii="Arial" w:cs="Arial" w:eastAsia="Arial" w:hAnsi="Arial"/>
                  <w:sz w:val="18"/>
                  <w:szCs w:val="18"/>
                  <w:color w:val="0000EE"/>
                  <w:w w:val="94"/>
                </w:rPr>
                <w:t>LLP, independent registered public</w:t>
              </w:r>
            </w:hyperlink>
          </w:p>
        </w:tc>
        <w:tc>
          <w:tcPr>
            <w:tcW w:w="80" w:type="dxa"/>
            <w:vAlign w:val="bottom"/>
            <w:tcBorders>
              <w:top w:val="single" w:sz="8" w:color="0000EE"/>
            </w:tcBorders>
            <w:gridSpan w:val="2"/>
          </w:tcPr>
          <w:p>
            <w:pPr>
              <w:spacing w:after="0"/>
              <w:rPr>
                <w:sz w:val="17"/>
                <w:szCs w:val="17"/>
                <w:color w:val="auto"/>
              </w:rPr>
            </w:pPr>
          </w:p>
        </w:tc>
        <w:tc>
          <w:tcPr>
            <w:tcW w:w="300" w:type="dxa"/>
            <w:vAlign w:val="bottom"/>
            <w:gridSpan w:val="4"/>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20" w:type="dxa"/>
            <w:vAlign w:val="bottom"/>
            <w:gridSpan w:val="19"/>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accounting firm</w:t>
              </w:r>
            </w:hyperlink>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0" w:type="dxa"/>
            <w:vAlign w:val="bottom"/>
          </w:tcPr>
          <w:p>
            <w:pPr>
              <w:jc w:val="right"/>
              <w:ind w:right="193"/>
              <w:spacing w:after="0"/>
              <w:rPr>
                <w:sz w:val="20"/>
                <w:szCs w:val="20"/>
                <w:color w:val="auto"/>
              </w:rPr>
            </w:pPr>
            <w:r>
              <w:rPr>
                <w:rFonts w:ascii="Arial" w:cs="Arial" w:eastAsia="Arial" w:hAnsi="Arial"/>
                <w:sz w:val="18"/>
                <w:szCs w:val="18"/>
                <w:color w:val="auto"/>
                <w:w w:val="85"/>
              </w:rPr>
              <w:t>23.2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tcBorders>
              <w:bottom w:val="single" w:sz="8" w:color="0000EE"/>
            </w:tcBorders>
            <w:gridSpan w:val="16"/>
          </w:tcPr>
          <w:p>
            <w:pPr>
              <w:spacing w:after="0"/>
              <w:rPr>
                <w:rFonts w:ascii="Arial" w:cs="Arial" w:eastAsia="Arial" w:hAnsi="Arial"/>
                <w:sz w:val="18"/>
                <w:szCs w:val="18"/>
                <w:color w:val="0000EE"/>
                <w:w w:val="96"/>
              </w:rPr>
            </w:pPr>
            <w:hyperlink w:anchor="page27">
              <w:r>
                <w:rPr>
                  <w:rFonts w:ascii="Arial" w:cs="Arial" w:eastAsia="Arial" w:hAnsi="Arial"/>
                  <w:sz w:val="18"/>
                  <w:szCs w:val="18"/>
                  <w:color w:val="0000EE"/>
                  <w:w w:val="96"/>
                </w:rPr>
                <w:t>Consent of Cooley LLP (included in</w:t>
              </w:r>
            </w:hyperlink>
          </w:p>
        </w:tc>
        <w:tc>
          <w:tcPr>
            <w:tcW w:w="280" w:type="dxa"/>
            <w:vAlign w:val="bottom"/>
            <w:gridSpan w:val="3"/>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97"/>
              </w:rPr>
            </w:pPr>
            <w:hyperlink w:anchor="page27">
              <w:r>
                <w:rPr>
                  <w:rFonts w:ascii="Arial" w:cs="Arial" w:eastAsia="Arial" w:hAnsi="Arial"/>
                  <w:sz w:val="18"/>
                  <w:szCs w:val="18"/>
                  <w:color w:val="0000EE"/>
                  <w:w w:val="97"/>
                </w:rPr>
                <w:t>Exhibit 5.1)</w:t>
              </w:r>
            </w:hyperlink>
          </w:p>
        </w:tc>
        <w:tc>
          <w:tcPr>
            <w:tcW w:w="2120" w:type="dxa"/>
            <w:vAlign w:val="bottom"/>
            <w:gridSpan w:val="16"/>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600" w:type="dxa"/>
            <w:vAlign w:val="bottom"/>
          </w:tcPr>
          <w:p>
            <w:pPr>
              <w:jc w:val="right"/>
              <w:ind w:right="193"/>
              <w:spacing w:after="0"/>
              <w:rPr>
                <w:sz w:val="20"/>
                <w:szCs w:val="20"/>
                <w:color w:val="auto"/>
              </w:rPr>
            </w:pPr>
            <w:r>
              <w:rPr>
                <w:rFonts w:ascii="Arial" w:cs="Arial" w:eastAsia="Arial" w:hAnsi="Arial"/>
                <w:sz w:val="18"/>
                <w:szCs w:val="18"/>
                <w:color w:val="auto"/>
                <w:w w:val="85"/>
              </w:rPr>
              <w:t>24.1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20" w:type="dxa"/>
            <w:vAlign w:val="bottom"/>
            <w:gridSpan w:val="1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Power of Attorney (see signature</w:t>
              </w:r>
            </w:hyperlink>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page)</w:t>
              </w:r>
            </w:hyperlink>
          </w:p>
        </w:tc>
        <w:tc>
          <w:tcPr>
            <w:tcW w:w="540" w:type="dxa"/>
            <w:vAlign w:val="bottom"/>
            <w:gridSpan w:val="9"/>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180340</wp:posOffset>
            </wp:positionV>
            <wp:extent cx="12344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620" w:right="559" w:hanging="360"/>
        <w:spacing w:after="0" w:line="277" w:lineRule="auto"/>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be filed, if applicable, by amendment or by a report filed under the Exchange Act and incorporated herein by reference.</w:t>
      </w:r>
    </w:p>
    <w:p>
      <w:pPr>
        <w:spacing w:after="0" w:line="34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17. Undertakings</w:t>
      </w:r>
    </w:p>
    <w:p>
      <w:pPr>
        <w:spacing w:after="0" w:line="148" w:lineRule="exact"/>
        <w:rPr>
          <w:sz w:val="20"/>
          <w:szCs w:val="20"/>
          <w:color w:val="auto"/>
        </w:rPr>
      </w:pPr>
    </w:p>
    <w:p>
      <w:pPr>
        <w:ind w:left="1980" w:hanging="360"/>
        <w:spacing w:after="0"/>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44" w:lineRule="exact"/>
        <w:rPr>
          <w:rFonts w:ascii="Arial" w:cs="Arial" w:eastAsia="Arial" w:hAnsi="Arial"/>
          <w:sz w:val="18"/>
          <w:szCs w:val="18"/>
          <w:color w:val="auto"/>
        </w:rPr>
      </w:pPr>
    </w:p>
    <w:p>
      <w:pPr>
        <w:ind w:left="2340" w:right="1339" w:hanging="360"/>
        <w:spacing w:after="0" w:line="277" w:lineRule="auto"/>
        <w:tabs>
          <w:tab w:leader="none" w:pos="23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89" w:lineRule="exact"/>
        <w:rPr>
          <w:rFonts w:ascii="Arial" w:cs="Arial" w:eastAsia="Arial" w:hAnsi="Arial"/>
          <w:sz w:val="18"/>
          <w:szCs w:val="18"/>
          <w:color w:val="auto"/>
        </w:rPr>
      </w:pPr>
    </w:p>
    <w:p>
      <w:pPr>
        <w:ind w:left="2700" w:hanging="360"/>
        <w:spacing w:after="0"/>
        <w:tabs>
          <w:tab w:leader="none" w:pos="2700" w:val="left"/>
        </w:tabs>
        <w:numPr>
          <w:ilvl w:val="2"/>
          <w:numId w:val="1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57" w:lineRule="exact"/>
        <w:rPr>
          <w:rFonts w:ascii="Arial" w:cs="Arial" w:eastAsia="Arial" w:hAnsi="Arial"/>
          <w:sz w:val="18"/>
          <w:szCs w:val="18"/>
          <w:color w:val="auto"/>
        </w:rPr>
      </w:pPr>
    </w:p>
    <w:p>
      <w:pPr>
        <w:ind w:left="2700" w:right="459" w:hanging="360"/>
        <w:spacing w:after="0" w:line="253" w:lineRule="auto"/>
        <w:tabs>
          <w:tab w:leader="none" w:pos="2700" w:val="left"/>
        </w:tabs>
        <w:numPr>
          <w:ilvl w:val="2"/>
          <w:numId w:val="17"/>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10" w:lineRule="exact"/>
        <w:rPr>
          <w:rFonts w:ascii="Arial" w:cs="Arial" w:eastAsia="Arial" w:hAnsi="Arial"/>
          <w:sz w:val="18"/>
          <w:szCs w:val="18"/>
          <w:color w:val="auto"/>
        </w:rPr>
      </w:pPr>
    </w:p>
    <w:p>
      <w:pPr>
        <w:ind w:left="2700" w:right="1119" w:hanging="360"/>
        <w:spacing w:after="0" w:line="263" w:lineRule="auto"/>
        <w:tabs>
          <w:tab w:leader="none" w:pos="2700" w:val="left"/>
        </w:tabs>
        <w:numPr>
          <w:ilvl w:val="2"/>
          <w:numId w:val="1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16" w:lineRule="exact"/>
        <w:rPr>
          <w:sz w:val="20"/>
          <w:szCs w:val="20"/>
          <w:color w:val="auto"/>
        </w:rPr>
      </w:pPr>
    </w:p>
    <w:p>
      <w:pPr>
        <w:ind w:left="1260" w:right="479"/>
        <w:spacing w:after="0" w:line="259"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paragraphs (a)(1)(i), (a)(1)(ii) and (a)(1)(iii) do not apply if the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93" w:lineRule="exact"/>
        <w:rPr>
          <w:sz w:val="20"/>
          <w:szCs w:val="20"/>
          <w:color w:val="auto"/>
        </w:rPr>
      </w:pPr>
    </w:p>
    <w:p>
      <w:pPr>
        <w:ind w:left="2340" w:right="419" w:hanging="360"/>
        <w:spacing w:after="0" w:line="259" w:lineRule="auto"/>
        <w:tabs>
          <w:tab w:leader="none" w:pos="2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19" w:lineRule="exact"/>
        <w:rPr>
          <w:rFonts w:ascii="Arial" w:cs="Arial" w:eastAsia="Arial" w:hAnsi="Arial"/>
          <w:sz w:val="18"/>
          <w:szCs w:val="18"/>
          <w:color w:val="auto"/>
        </w:rPr>
      </w:pPr>
    </w:p>
    <w:p>
      <w:pPr>
        <w:ind w:left="2340" w:right="739" w:hanging="360"/>
        <w:spacing w:after="0" w:line="277" w:lineRule="auto"/>
        <w:tabs>
          <w:tab w:leader="none" w:pos="2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89" w:lineRule="exact"/>
        <w:rPr>
          <w:rFonts w:ascii="Arial" w:cs="Arial" w:eastAsia="Arial" w:hAnsi="Arial"/>
          <w:sz w:val="18"/>
          <w:szCs w:val="18"/>
          <w:color w:val="auto"/>
        </w:rPr>
      </w:pPr>
    </w:p>
    <w:p>
      <w:pPr>
        <w:ind w:left="2340" w:right="1139" w:hanging="360"/>
        <w:spacing w:after="0" w:line="277" w:lineRule="auto"/>
        <w:tabs>
          <w:tab w:leader="none" w:pos="2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89" w:lineRule="exact"/>
        <w:rPr>
          <w:rFonts w:ascii="Arial" w:cs="Arial" w:eastAsia="Arial" w:hAnsi="Arial"/>
          <w:sz w:val="18"/>
          <w:szCs w:val="18"/>
          <w:color w:val="auto"/>
        </w:rPr>
      </w:pPr>
    </w:p>
    <w:p>
      <w:pPr>
        <w:ind w:left="2700" w:right="539" w:hanging="360"/>
        <w:spacing w:after="0" w:line="263" w:lineRule="auto"/>
        <w:tabs>
          <w:tab w:leader="none" w:pos="27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16" w:lineRule="exact"/>
        <w:rPr>
          <w:rFonts w:ascii="Arial" w:cs="Arial" w:eastAsia="Arial" w:hAnsi="Arial"/>
          <w:sz w:val="18"/>
          <w:szCs w:val="18"/>
          <w:color w:val="auto"/>
        </w:rPr>
      </w:pPr>
    </w:p>
    <w:p>
      <w:pPr>
        <w:ind w:left="2700" w:right="419" w:hanging="360"/>
        <w:spacing w:after="0" w:line="268" w:lineRule="auto"/>
        <w:tabs>
          <w:tab w:leader="none" w:pos="27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w:t>
      </w:r>
    </w:p>
    <w:p>
      <w:pPr>
        <w:sectPr>
          <w:pgSz w:w="11900" w:h="16838" w:orient="portrait"/>
          <w:cols w:equalWidth="0" w:num="1">
            <w:col w:w="9879"/>
          </w:cols>
          <w:pgMar w:left="580" w:top="131" w:right="1440" w:bottom="1440" w:gutter="0" w:footer="0" w:header="0"/>
        </w:sectPr>
      </w:pPr>
    </w:p>
    <w:p>
      <w:pPr>
        <w:spacing w:after="0" w:line="35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700" w:right="659"/>
        <w:spacing w:after="0" w:line="263" w:lineRule="auto"/>
        <w:rPr>
          <w:sz w:val="20"/>
          <w:szCs w:val="20"/>
          <w:color w:val="auto"/>
        </w:rPr>
      </w:pPr>
      <w:r>
        <w:rPr>
          <w:rFonts w:ascii="Arial" w:cs="Arial" w:eastAsia="Arial" w:hAnsi="Arial"/>
          <w:sz w:val="18"/>
          <w:szCs w:val="18"/>
          <w:color w:val="auto"/>
        </w:rPr>
        <w:t>date, supersede or modify any statement that was made in the registration statement or prospectus that was part of the registration statement or made in any such document immediately prior to such effective date.</w:t>
      </w:r>
    </w:p>
    <w:p>
      <w:pPr>
        <w:spacing w:after="0" w:line="103" w:lineRule="exact"/>
        <w:rPr>
          <w:sz w:val="20"/>
          <w:szCs w:val="20"/>
          <w:color w:val="auto"/>
        </w:rPr>
      </w:pPr>
    </w:p>
    <w:p>
      <w:pPr>
        <w:ind w:left="2340" w:hanging="360"/>
        <w:spacing w:after="0"/>
        <w:tabs>
          <w:tab w:leader="none" w:pos="23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w:t>
      </w:r>
    </w:p>
    <w:p>
      <w:pPr>
        <w:spacing w:after="0" w:line="23" w:lineRule="exact"/>
        <w:rPr>
          <w:rFonts w:ascii="Arial" w:cs="Arial" w:eastAsia="Arial" w:hAnsi="Arial"/>
          <w:sz w:val="18"/>
          <w:szCs w:val="18"/>
          <w:color w:val="auto"/>
        </w:rPr>
      </w:pPr>
    </w:p>
    <w:p>
      <w:pPr>
        <w:ind w:left="2340" w:right="459"/>
        <w:spacing w:after="0" w:line="270" w:lineRule="auto"/>
        <w:rPr>
          <w:rFonts w:ascii="Arial" w:cs="Arial" w:eastAsia="Arial" w:hAnsi="Arial"/>
          <w:sz w:val="18"/>
          <w:szCs w:val="18"/>
          <w:color w:val="auto"/>
        </w:rPr>
      </w:pPr>
      <w:r>
        <w:rPr>
          <w:rFonts w:ascii="Arial" w:cs="Arial" w:eastAsia="Arial" w:hAnsi="Arial"/>
          <w:sz w:val="17"/>
          <w:szCs w:val="17"/>
          <w:color w:val="auto"/>
        </w:rPr>
        <w:t>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10" w:lineRule="exact"/>
        <w:rPr>
          <w:rFonts w:ascii="Arial" w:cs="Arial" w:eastAsia="Arial" w:hAnsi="Arial"/>
          <w:sz w:val="18"/>
          <w:szCs w:val="18"/>
          <w:color w:val="auto"/>
        </w:rPr>
      </w:pPr>
    </w:p>
    <w:p>
      <w:pPr>
        <w:ind w:left="2700" w:right="699" w:hanging="360"/>
        <w:spacing w:after="0" w:line="277" w:lineRule="auto"/>
        <w:tabs>
          <w:tab w:leader="none" w:pos="2700" w:val="left"/>
        </w:tabs>
        <w:numPr>
          <w:ilvl w:val="2"/>
          <w:numId w:val="19"/>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02" w:lineRule="exact"/>
        <w:rPr>
          <w:rFonts w:ascii="Arial" w:cs="Arial" w:eastAsia="Arial" w:hAnsi="Arial"/>
          <w:sz w:val="18"/>
          <w:szCs w:val="18"/>
          <w:color w:val="auto"/>
        </w:rPr>
      </w:pPr>
    </w:p>
    <w:p>
      <w:pPr>
        <w:ind w:left="2700" w:right="919" w:hanging="360"/>
        <w:spacing w:after="0" w:line="308" w:lineRule="auto"/>
        <w:tabs>
          <w:tab w:leader="none" w:pos="2700" w:val="left"/>
        </w:tabs>
        <w:numPr>
          <w:ilvl w:val="2"/>
          <w:numId w:val="19"/>
        </w:numPr>
        <w:rPr>
          <w:rFonts w:ascii="Arial" w:cs="Arial" w:eastAsia="Arial" w:hAnsi="Arial"/>
          <w:sz w:val="17"/>
          <w:szCs w:val="17"/>
          <w:color w:val="auto"/>
        </w:rPr>
      </w:pPr>
      <w:r>
        <w:rPr>
          <w:rFonts w:ascii="Arial" w:cs="Arial" w:eastAsia="Arial" w:hAnsi="Arial"/>
          <w:sz w:val="17"/>
          <w:szCs w:val="17"/>
          <w:color w:val="auto"/>
        </w:rPr>
        <w:t>Any free writing prospectus relating to the offering prepared by or on behalf of the undersigned registrant or used or referred to by the undersigned registrant;</w:t>
      </w:r>
    </w:p>
    <w:p>
      <w:pPr>
        <w:spacing w:after="0" w:line="65" w:lineRule="exact"/>
        <w:rPr>
          <w:rFonts w:ascii="Arial" w:cs="Arial" w:eastAsia="Arial" w:hAnsi="Arial"/>
          <w:sz w:val="17"/>
          <w:szCs w:val="17"/>
          <w:color w:val="auto"/>
        </w:rPr>
      </w:pPr>
    </w:p>
    <w:p>
      <w:pPr>
        <w:ind w:left="2700" w:right="559" w:hanging="360"/>
        <w:spacing w:after="0" w:line="263" w:lineRule="auto"/>
        <w:tabs>
          <w:tab w:leader="none" w:pos="2700" w:val="left"/>
        </w:tabs>
        <w:numPr>
          <w:ilvl w:val="2"/>
          <w:numId w:val="1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16" w:lineRule="exact"/>
        <w:rPr>
          <w:rFonts w:ascii="Arial" w:cs="Arial" w:eastAsia="Arial" w:hAnsi="Arial"/>
          <w:sz w:val="18"/>
          <w:szCs w:val="18"/>
          <w:color w:val="auto"/>
        </w:rPr>
      </w:pPr>
    </w:p>
    <w:p>
      <w:pPr>
        <w:ind w:left="2700" w:right="999" w:hanging="360"/>
        <w:spacing w:after="0" w:line="277" w:lineRule="auto"/>
        <w:tabs>
          <w:tab w:leader="none" w:pos="2700" w:val="left"/>
        </w:tabs>
        <w:numPr>
          <w:ilvl w:val="2"/>
          <w:numId w:val="1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02" w:lineRule="exact"/>
        <w:rPr>
          <w:rFonts w:ascii="Arial" w:cs="Arial" w:eastAsia="Arial" w:hAnsi="Arial"/>
          <w:sz w:val="18"/>
          <w:szCs w:val="18"/>
          <w:color w:val="auto"/>
        </w:rPr>
      </w:pPr>
    </w:p>
    <w:p>
      <w:pPr>
        <w:ind w:left="1980" w:right="459" w:hanging="360"/>
        <w:spacing w:after="0" w:line="272" w:lineRule="auto"/>
        <w:tabs>
          <w:tab w:leader="none" w:pos="1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for the purpose of determining liability of the registrant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herein, and the offering of such securities at that time shall be deemed to be the initial bona fide offering thereof.</w:t>
      </w:r>
    </w:p>
    <w:p>
      <w:pPr>
        <w:spacing w:after="0" w:line="96" w:lineRule="exact"/>
        <w:rPr>
          <w:rFonts w:ascii="Arial" w:cs="Arial" w:eastAsia="Arial" w:hAnsi="Arial"/>
          <w:sz w:val="17"/>
          <w:szCs w:val="17"/>
          <w:color w:val="auto"/>
        </w:rPr>
      </w:pPr>
    </w:p>
    <w:p>
      <w:pPr>
        <w:ind w:left="1980" w:right="459" w:hanging="360"/>
        <w:spacing w:after="0" w:line="269" w:lineRule="auto"/>
        <w:tabs>
          <w:tab w:leader="none" w:pos="1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New York, New York, on June 29, 2021.</w:t>
      </w:r>
    </w:p>
    <w:p>
      <w:pPr>
        <w:spacing w:after="0" w:line="14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MONGODB, INC.</w:t>
      </w:r>
    </w:p>
    <w:p>
      <w:pPr>
        <w:spacing w:after="0" w:line="243"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3954780</wp:posOffset>
            </wp:positionH>
            <wp:positionV relativeFrom="paragraph">
              <wp:posOffset>40640</wp:posOffset>
            </wp:positionV>
            <wp:extent cx="20574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84"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Dev Ittycheria</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SIGNATURES AND POWER OF ATTORNEY</w:t>
      </w:r>
    </w:p>
    <w:p>
      <w:pPr>
        <w:spacing w:after="0" w:line="148"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Dev Ittycheria, Michael Gordon, Andrew Stephens, and each of them, as his or her true and lawful attorney-in-fact and agent with full power of substitution and resubstitution, for such individual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any of them, or the individual’s substitute,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firstLine="360"/>
        <w:spacing w:after="0" w:line="342" w:lineRule="auto"/>
        <w:rPr>
          <w:sz w:val="20"/>
          <w:szCs w:val="20"/>
          <w:color w:val="auto"/>
        </w:rPr>
      </w:pPr>
      <w:r>
        <w:rPr>
          <w:rFonts w:ascii="Arial" w:cs="Arial" w:eastAsia="Arial" w:hAnsi="Arial"/>
          <w:sz w:val="16"/>
          <w:szCs w:val="16"/>
          <w:color w:val="auto"/>
        </w:rPr>
        <w:t>Pursuant to the requirements of the Securities Act of 1933, this registration statement has been signed by the following persons on behalf of the Company and in the capacities and on the dates indicated.</w:t>
      </w:r>
    </w:p>
    <w:p>
      <w:pPr>
        <w:spacing w:after="0" w:line="61" w:lineRule="exact"/>
        <w:rPr>
          <w:sz w:val="20"/>
          <w:szCs w:val="20"/>
          <w:color w:val="auto"/>
        </w:rPr>
      </w:pPr>
    </w:p>
    <w:p>
      <w:pPr>
        <w:ind w:left="2480"/>
        <w:spacing w:after="0"/>
        <w:tabs>
          <w:tab w:leader="none" w:pos="6080" w:val="left"/>
          <w:tab w:leader="none" w:pos="86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32385</wp:posOffset>
            </wp:positionV>
            <wp:extent cx="52120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9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19202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Dev Ittycheria</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Michael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19202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Michael Gordon</w:t>
      </w:r>
    </w:p>
    <w:p>
      <w:pPr>
        <w:spacing w:after="0" w:line="29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Thomas Bull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19202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Thomas Bull</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Tom Killalea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19202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Tom Killalea</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Archana Agrawal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19202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Archana Agrawal</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Roelof Botha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19202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Roelof Botha</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Hope Cochran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19202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Hope Cochran</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Francisco D’Souza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19202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Francisco D’Souza</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 Charles M. Hazard,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63500</wp:posOffset>
            </wp:positionV>
            <wp:extent cx="19202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10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Charles M. Hazard, Jr.</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John McMahon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19202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8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John McMahon</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Dwight Merriman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19202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Dwight Merriman</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tabs>
          <w:tab w:leader="none" w:pos="3780" w:val="left"/>
        </w:tabs>
        <w:rPr>
          <w:sz w:val="20"/>
          <w:szCs w:val="20"/>
          <w:color w:val="auto"/>
        </w:rPr>
      </w:pPr>
      <w:r>
        <w:rPr>
          <w:rFonts w:ascii="Arial" w:cs="Arial" w:eastAsia="Arial" w:hAnsi="Arial"/>
          <w:sz w:val="18"/>
          <w:szCs w:val="18"/>
          <w:color w:val="auto"/>
        </w:rPr>
        <w:t>President, Chief Executive Officer and</w:t>
      </w:r>
      <w:r>
        <w:rPr>
          <w:sz w:val="20"/>
          <w:szCs w:val="20"/>
          <w:color w:val="auto"/>
        </w:rPr>
        <w:tab/>
      </w:r>
      <w:r>
        <w:rPr>
          <w:rFonts w:ascii="Arial" w:cs="Arial" w:eastAsia="Arial" w:hAnsi="Arial"/>
          <w:sz w:val="16"/>
          <w:szCs w:val="16"/>
          <w:color w:val="auto"/>
        </w:rPr>
        <w:t>June 29,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184" w:lineRule="exact"/>
        <w:rPr>
          <w:sz w:val="20"/>
          <w:szCs w:val="20"/>
          <w:color w:val="auto"/>
        </w:rPr>
      </w:pPr>
    </w:p>
    <w:p>
      <w:pPr>
        <w:spacing w:after="0"/>
        <w:tabs>
          <w:tab w:leader="none" w:pos="3780" w:val="left"/>
        </w:tabs>
        <w:rPr>
          <w:sz w:val="20"/>
          <w:szCs w:val="20"/>
          <w:color w:val="auto"/>
        </w:rPr>
      </w:pPr>
      <w:r>
        <w:rPr>
          <w:rFonts w:ascii="Arial" w:cs="Arial" w:eastAsia="Arial" w:hAnsi="Arial"/>
          <w:sz w:val="18"/>
          <w:szCs w:val="18"/>
          <w:color w:val="auto"/>
        </w:rPr>
        <w:t>Chief Operating Officer and Chief Financial</w:t>
      </w:r>
      <w:r>
        <w:rPr>
          <w:sz w:val="20"/>
          <w:szCs w:val="20"/>
          <w:color w:val="auto"/>
        </w:rPr>
        <w:tab/>
      </w:r>
      <w:r>
        <w:rPr>
          <w:rFonts w:ascii="Arial" w:cs="Arial" w:eastAsia="Arial" w:hAnsi="Arial"/>
          <w:sz w:val="16"/>
          <w:szCs w:val="16"/>
          <w:color w:val="auto"/>
        </w:rPr>
        <w:t>June 29,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157" w:lineRule="exact"/>
        <w:rPr>
          <w:sz w:val="20"/>
          <w:szCs w:val="20"/>
          <w:color w:val="auto"/>
        </w:rPr>
      </w:pPr>
    </w:p>
    <w:p>
      <w:pPr>
        <w:spacing w:after="0"/>
        <w:tabs>
          <w:tab w:leader="none" w:pos="3780" w:val="left"/>
        </w:tabs>
        <w:rPr>
          <w:sz w:val="20"/>
          <w:szCs w:val="20"/>
          <w:color w:val="auto"/>
        </w:rPr>
      </w:pPr>
      <w:r>
        <w:rPr>
          <w:rFonts w:ascii="Arial" w:cs="Arial" w:eastAsia="Arial" w:hAnsi="Arial"/>
          <w:sz w:val="18"/>
          <w:szCs w:val="18"/>
          <w:color w:val="auto"/>
        </w:rPr>
        <w:t>Corporate Controller</w:t>
      </w:r>
      <w:r>
        <w:rPr>
          <w:sz w:val="20"/>
          <w:szCs w:val="20"/>
          <w:color w:val="auto"/>
        </w:rPr>
        <w:tab/>
      </w:r>
      <w:r>
        <w:rPr>
          <w:rFonts w:ascii="Arial" w:cs="Arial" w:eastAsia="Arial" w:hAnsi="Arial"/>
          <w:sz w:val="16"/>
          <w:szCs w:val="16"/>
          <w:color w:val="auto"/>
        </w:rPr>
        <w:t>June 29,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184" w:lineRule="exact"/>
        <w:rPr>
          <w:sz w:val="20"/>
          <w:szCs w:val="20"/>
          <w:color w:val="auto"/>
        </w:rPr>
      </w:pPr>
    </w:p>
    <w:p>
      <w:pPr>
        <w:spacing w:after="0"/>
        <w:tabs>
          <w:tab w:leader="none" w:pos="37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June 29, 2021</w:t>
      </w:r>
    </w:p>
    <w:p>
      <w:pPr>
        <w:spacing w:after="0" w:line="200" w:lineRule="exact"/>
        <w:rPr>
          <w:sz w:val="20"/>
          <w:szCs w:val="20"/>
          <w:color w:val="auto"/>
        </w:rPr>
      </w:pPr>
    </w:p>
    <w:p>
      <w:pPr>
        <w:spacing w:after="0" w:line="237" w:lineRule="exact"/>
        <w:rPr>
          <w:sz w:val="20"/>
          <w:szCs w:val="20"/>
          <w:color w:val="auto"/>
        </w:rPr>
      </w:pPr>
    </w:p>
    <w:p>
      <w:pPr>
        <w:spacing w:after="0"/>
        <w:tabs>
          <w:tab w:leader="none" w:pos="37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June 29, 2021</w:t>
      </w:r>
    </w:p>
    <w:p>
      <w:pPr>
        <w:spacing w:after="0" w:line="200" w:lineRule="exact"/>
        <w:rPr>
          <w:sz w:val="20"/>
          <w:szCs w:val="20"/>
          <w:color w:val="auto"/>
        </w:rPr>
      </w:pPr>
    </w:p>
    <w:p>
      <w:pPr>
        <w:spacing w:after="0" w:line="237" w:lineRule="exact"/>
        <w:rPr>
          <w:sz w:val="20"/>
          <w:szCs w:val="20"/>
          <w:color w:val="auto"/>
        </w:rPr>
      </w:pPr>
    </w:p>
    <w:p>
      <w:pPr>
        <w:spacing w:after="0"/>
        <w:tabs>
          <w:tab w:leader="none" w:pos="37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June 29, 2021</w:t>
      </w:r>
    </w:p>
    <w:p>
      <w:pPr>
        <w:spacing w:after="0" w:line="200" w:lineRule="exact"/>
        <w:rPr>
          <w:sz w:val="20"/>
          <w:szCs w:val="20"/>
          <w:color w:val="auto"/>
        </w:rPr>
      </w:pPr>
    </w:p>
    <w:p>
      <w:pPr>
        <w:spacing w:after="0" w:line="237" w:lineRule="exact"/>
        <w:rPr>
          <w:sz w:val="20"/>
          <w:szCs w:val="20"/>
          <w:color w:val="auto"/>
        </w:rPr>
      </w:pPr>
    </w:p>
    <w:p>
      <w:pPr>
        <w:spacing w:after="0"/>
        <w:tabs>
          <w:tab w:leader="none" w:pos="37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June 29, 2021</w:t>
      </w:r>
    </w:p>
    <w:p>
      <w:pPr>
        <w:spacing w:after="0" w:line="200" w:lineRule="exact"/>
        <w:rPr>
          <w:sz w:val="20"/>
          <w:szCs w:val="20"/>
          <w:color w:val="auto"/>
        </w:rPr>
      </w:pPr>
    </w:p>
    <w:p>
      <w:pPr>
        <w:spacing w:after="0" w:line="237" w:lineRule="exact"/>
        <w:rPr>
          <w:sz w:val="20"/>
          <w:szCs w:val="20"/>
          <w:color w:val="auto"/>
        </w:rPr>
      </w:pPr>
    </w:p>
    <w:p>
      <w:pPr>
        <w:spacing w:after="0"/>
        <w:tabs>
          <w:tab w:leader="none" w:pos="37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June 29, 2021</w:t>
      </w:r>
    </w:p>
    <w:p>
      <w:pPr>
        <w:spacing w:after="0" w:line="200" w:lineRule="exact"/>
        <w:rPr>
          <w:sz w:val="20"/>
          <w:szCs w:val="20"/>
          <w:color w:val="auto"/>
        </w:rPr>
      </w:pPr>
    </w:p>
    <w:p>
      <w:pPr>
        <w:spacing w:after="0" w:line="237" w:lineRule="exact"/>
        <w:rPr>
          <w:sz w:val="20"/>
          <w:szCs w:val="20"/>
          <w:color w:val="auto"/>
        </w:rPr>
      </w:pPr>
    </w:p>
    <w:p>
      <w:pPr>
        <w:spacing w:after="0"/>
        <w:tabs>
          <w:tab w:leader="none" w:pos="37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June 29, 2021</w:t>
      </w:r>
    </w:p>
    <w:p>
      <w:pPr>
        <w:spacing w:after="0" w:line="200" w:lineRule="exact"/>
        <w:rPr>
          <w:sz w:val="20"/>
          <w:szCs w:val="20"/>
          <w:color w:val="auto"/>
        </w:rPr>
      </w:pPr>
    </w:p>
    <w:p>
      <w:pPr>
        <w:spacing w:after="0" w:line="237" w:lineRule="exact"/>
        <w:rPr>
          <w:sz w:val="20"/>
          <w:szCs w:val="20"/>
          <w:color w:val="auto"/>
        </w:rPr>
      </w:pPr>
    </w:p>
    <w:p>
      <w:pPr>
        <w:spacing w:after="0"/>
        <w:tabs>
          <w:tab w:leader="none" w:pos="37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June 29, 2021</w:t>
      </w:r>
    </w:p>
    <w:p>
      <w:pPr>
        <w:spacing w:after="0" w:line="200" w:lineRule="exact"/>
        <w:rPr>
          <w:sz w:val="20"/>
          <w:szCs w:val="20"/>
          <w:color w:val="auto"/>
        </w:rPr>
      </w:pPr>
    </w:p>
    <w:p>
      <w:pPr>
        <w:spacing w:after="0" w:line="237" w:lineRule="exact"/>
        <w:rPr>
          <w:sz w:val="20"/>
          <w:szCs w:val="20"/>
          <w:color w:val="auto"/>
        </w:rPr>
      </w:pPr>
    </w:p>
    <w:p>
      <w:pPr>
        <w:spacing w:after="0"/>
        <w:tabs>
          <w:tab w:leader="none" w:pos="37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June 29, 2021</w:t>
      </w:r>
    </w:p>
    <w:p>
      <w:pPr>
        <w:spacing w:after="0" w:line="533" w:lineRule="exact"/>
        <w:rPr>
          <w:sz w:val="20"/>
          <w:szCs w:val="20"/>
          <w:color w:val="auto"/>
        </w:rPr>
      </w:pPr>
    </w:p>
    <w:p>
      <w:pPr>
        <w:sectPr>
          <w:pgSz w:w="11900" w:h="16838" w:orient="portrait"/>
          <w:cols w:equalWidth="0" w:num="2">
            <w:col w:w="3780" w:space="720"/>
            <w:col w:w="5379"/>
          </w:cols>
          <w:pgMar w:left="58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397000" cy="523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39700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Nicole C. Brookshire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+1 617 937 2357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nbrookshire@cooley.com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June 29,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1633 Broadway, 38th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acted as counsel to MongoDB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connection with the filing of a Registration Statement on Form S-3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by the Company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including a base prospectus (the “</w:t>
      </w:r>
      <w:r>
        <w:rPr>
          <w:rFonts w:ascii="Arial" w:cs="Arial" w:eastAsia="Arial" w:hAnsi="Arial"/>
          <w:sz w:val="16"/>
          <w:szCs w:val="16"/>
          <w:b w:val="1"/>
          <w:bCs w:val="1"/>
          <w:i w:val="1"/>
          <w:iCs w:val="1"/>
          <w:color w:val="auto"/>
        </w:rPr>
        <w:t>Base Prospectus</w:t>
      </w:r>
      <w:r>
        <w:rPr>
          <w:rFonts w:ascii="Arial" w:cs="Arial" w:eastAsia="Arial" w:hAnsi="Arial"/>
          <w:sz w:val="16"/>
          <w:szCs w:val="16"/>
          <w:color w:val="auto"/>
        </w:rPr>
        <w:t>”). The Base Prospectus provides it will be supplemented in the future by one or more prospectus supplements (each, a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Supplement</w:t>
      </w:r>
      <w:r>
        <w:rPr>
          <w:rFonts w:ascii="Arial" w:cs="Arial" w:eastAsia="Arial" w:hAnsi="Arial"/>
          <w:sz w:val="16"/>
          <w:szCs w:val="16"/>
          <w:color w:val="auto"/>
        </w:rPr>
        <w:t>”) and provides for the registration by the Company of shares (the “</w:t>
      </w:r>
      <w:r>
        <w:rPr>
          <w:rFonts w:ascii="Arial" w:cs="Arial" w:eastAsia="Arial" w:hAnsi="Arial"/>
          <w:sz w:val="16"/>
          <w:szCs w:val="16"/>
          <w:b w:val="1"/>
          <w:bCs w:val="1"/>
          <w:color w:val="auto"/>
        </w:rPr>
        <w:t>Shares</w:t>
      </w:r>
      <w:r>
        <w:rPr>
          <w:rFonts w:ascii="Arial" w:cs="Arial" w:eastAsia="Arial" w:hAnsi="Arial"/>
          <w:sz w:val="16"/>
          <w:szCs w:val="16"/>
          <w:color w:val="auto"/>
        </w:rPr>
        <w:t>”) of Class A common stock, par value $0.001 per share,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The Shares are being registered for offer and sale from time to time pursuant to Rule 415 under the Securities Act.</w:t>
      </w:r>
    </w:p>
    <w:p>
      <w:pPr>
        <w:spacing w:after="0" w:line="16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this opinion, we have examined and relied upon originals, or copies certified to our satisfaction, of such records, documents, certificates, opinions, memoranda and other instruments as in our judgment are necessary or appropriate to enable us to render the opinion expressed below. As to certain factual matters, we have relied upon a certificate of an officer of the Company and have not independently verified such matters.</w:t>
      </w:r>
    </w:p>
    <w:p>
      <w:pPr>
        <w:spacing w:after="0" w:line="14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rendering this opinion,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authorization, execution and delivery are prerequisites to the effectiveness of such documents. We have assumed that, at the time of issuance and sale of the Shares, a sufficient number of shares of Common Stock is authorized and available for issuance and that the consideration for the issuance and sale of the Shares is in an amount that is not less than the par value of the Common Stock.</w:t>
      </w:r>
    </w:p>
    <w:p>
      <w:pPr>
        <w:spacing w:after="0" w:line="16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opinion herein is expressed solely with respect to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as in effect on the date hereof. We express no opinion to the extent that any other laws are applicable to the subject matter hereof and express no opinion and provide no assurance as to compliance with any federal or state securities law, rule or regulation.</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the basis of the foregoing and in reliance thereon, and subject to the qualifications herein stated, we are of the opinion that,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issuance of the Shares has been duly authorized by all necessary corporate action on the part of the Company; (iii) the issuance and sale of the Shares do not violate any applicable law, are in conformity with the Company’s then operative certificate of incorporation and bylaws, do not result in a default under or breach of any agreement or instrument binding upon the Company and comply with any applicable requirement or restriction imposed by any court or governmental body having jurisdiction over the Company; and (iv) the certificates, if any, for the Shares have been duly executed by the Company, countersigned by the transfer agent therefor and duly delivered to the purchasers thereof against payment therefor, then the Shares, when issued and sold as contemplated in the Registration Statement, the Base Prospectus and the related Prospectus Supplement(s) and in accordance with a duly authorized, executed and delivered purchase, underwriting or similar agreement, will be validly issued, fully paid and non-assessable.</w:t>
      </w:r>
    </w:p>
    <w:p>
      <w:pPr>
        <w:spacing w:after="0" w:line="185"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Cooley LLP 500 Boylston Street Boston MA 02116 - 3736</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 (617) 937-2357 f: (617) 937-2400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97000" cy="523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397000" cy="52324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June 29,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 to our firm under the caption “Legal Matters” in the Base Prospectus.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opinion set forth above is limited to the matters expressly set forth in this letter, and no opinion is implied or may be inferred beyond the matters expressly stated. This opinion speaks only as to law and facts in effect or existing as of the date hereof, and we undertake no obligation or responsibility to update or supplement this opinion to reflect any facts or circumstances that may hereafter come to our attention or any changes in law that may hereafter occur.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OOLEY</w:t>
      </w:r>
      <w:r>
        <w:rPr>
          <w:rFonts w:ascii="Arial" w:cs="Arial" w:eastAsia="Arial" w:hAnsi="Arial"/>
          <w:sz w:val="18"/>
          <w:szCs w:val="18"/>
          <w:b w:val="1"/>
          <w:bCs w:val="1"/>
          <w:color w:val="auto"/>
        </w:rPr>
        <w:t xml:space="preserve"> LLP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Nicole C. Brookshire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Nicole C. Brookshire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Cooley LLP 500 Boylston Street Boston MA 02116 - 3736</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 (617) 937-2357 f: (617) 937-2400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22"/>
          <w:szCs w:val="22"/>
          <w:b w:val="1"/>
          <w:bCs w:val="1"/>
          <w:color w:val="auto"/>
        </w:rPr>
        <w:t>Exhibit 23.1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S-3 of MongoDB, Inc. of our report dated March 22, 2021 relating to the financial statements, financial statement schedule and the effectiveness of internal control over financial reporting, which appears in MongoDB, Inc.’s Annual Report on Form 10-K for the year ended January 31, 2021. We also consent to the reference to us under the heading “Experts” in such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646"/>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lowerRoman"/>
      <w:start w:val="2"/>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5"/>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7">
    <w:nsid w:val="7C83E458"/>
    <w:multiLevelType w:val="hybridMultilevel"/>
    <w:lvl w:ilvl="0">
      <w:lvlJc w:val="left"/>
      <w:lvlText w:val="(%1)"/>
      <w:numFmt w:val="decimal"/>
      <w:start w:val="2"/>
    </w:lvl>
    <w:lvl w:ilvl="1">
      <w:lvlJc w:val="left"/>
      <w:lvlText w:val="(%2)"/>
      <w:numFmt w:val="lowerRoman"/>
      <w:start w:val="1"/>
    </w:lvl>
  </w:abstractNum>
  <w:abstractNum w:abstractNumId="18">
    <w:nsid w:val="257130A3"/>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19">
    <w:nsid w:val="62BBD95A"/>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5"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jpeg"/><Relationship Id="rId76" Type="http://schemas.openxmlformats.org/officeDocument/2006/relationships/image" Target="media/image58.png"/><Relationship Id="rId77" Type="http://schemas.openxmlformats.org/officeDocument/2006/relationships/image" Target="media/image59.jpe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41" Type="http://schemas.openxmlformats.org/officeDocument/2006/relationships/hyperlink" Target="http://www.sec.gov/ix?doc=/Archives/edgar/data/1441816/000144181621000051/mdb-20210131.htm" TargetMode="External"/><Relationship Id="rId42" Type="http://schemas.openxmlformats.org/officeDocument/2006/relationships/hyperlink" Target="http://www.sec.gov/ix?doc=/Archives/edgar/data/1441816/000144181621000095/mdb-20210430.htm" TargetMode="External"/><Relationship Id="rId43" Type="http://schemas.openxmlformats.org/officeDocument/2006/relationships/hyperlink" Target="https://www.sec.gov/ix?doc=/Archives/edgar/data/1441816/000144181621000125/mdb-20210629.htm" TargetMode="External"/><Relationship Id="rId44" Type="http://schemas.openxmlformats.org/officeDocument/2006/relationships/hyperlink" Target="http://www.sec.gov/Archives/edgar/data/1441816/000144181621000087/mdbdef14a2021proxy.htm" TargetMode="External"/><Relationship Id="rId46" Type="http://schemas.openxmlformats.org/officeDocument/2006/relationships/hyperlink" Target="http://www.sec.gov/Archives/edgar/data/1441816/000110465917061608/a17-23041_18a12b.htm" TargetMode="External"/><Relationship Id="rId47" Type="http://schemas.openxmlformats.org/officeDocument/2006/relationships/hyperlink" Target="http://www.sec.gov/Archives/edgar/data/1441816/000144181621000051/mdb-13121x10kxex47.htm" TargetMode="External"/><Relationship Id="rId51" Type="http://schemas.openxmlformats.org/officeDocument/2006/relationships/hyperlink" Target="http://www.sec.gov/Archives/edgar/data/1441816/000110465917063753/a17-24439_1ex3d1.htm" TargetMode="External"/><Relationship Id="rId52" Type="http://schemas.openxmlformats.org/officeDocument/2006/relationships/hyperlink" Target="http://www.sec.gov/Archives/edgar/data/1441816/000144181620000114/mdb-certificateofretir.htm" TargetMode="External"/><Relationship Id="rId53" Type="http://schemas.openxmlformats.org/officeDocument/2006/relationships/hyperlink" Target="http://www.sec.gov/Archives/edgar/data/1441816/000104746917006014/a2233365zex-3_4.htm" TargetMode="External"/><Relationship Id="rId54" Type="http://schemas.openxmlformats.org/officeDocument/2006/relationships/hyperlink" Target="http://www.sec.gov/Archives/edgar/data/1441816/000104746917006246/a2233386zex-4_1.htm" TargetMode="External"/><Relationship Id="rId55" Type="http://schemas.openxmlformats.org/officeDocument/2006/relationships/hyperlink" Target="http://www.sec.gov/Archives/edgar/data/1441816/000104746917006014/a2233365zex-4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2021-06-29T15:46:36Z</dcterms:created>
  <dcterms:modified xsi:type="dcterms:W3CDTF">2021-06-29T15:46:36Z</dcterms:modified>
</cp:coreProperties>
</file>