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SCHEDULE 14A INFORMATION</w:t>
      </w:r>
    </w:p>
    <w:p>
      <w:pPr>
        <w:spacing w:after="0" w:line="27" w:lineRule="exact"/>
        <w:rPr>
          <w:sz w:val="24"/>
          <w:szCs w:val="24"/>
          <w:color w:val="auto"/>
        </w:rPr>
      </w:pPr>
    </w:p>
    <w:p>
      <w:pPr>
        <w:jc w:val="center"/>
        <w:ind w:right="-109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9" w:lineRule="exact"/>
        <w:rPr>
          <w:sz w:val="24"/>
          <w:szCs w:val="24"/>
          <w:color w:val="auto"/>
        </w:rPr>
      </w:pPr>
    </w:p>
    <w:p>
      <w:pPr>
        <w:jc w:val="center"/>
        <w:ind w:right="-1099"/>
        <w:spacing w:after="0"/>
        <w:rPr>
          <w:sz w:val="20"/>
          <w:szCs w:val="20"/>
          <w:color w:val="auto"/>
        </w:rPr>
      </w:pPr>
      <w:r>
        <w:rPr>
          <w:rFonts w:ascii="Arial" w:cs="Arial" w:eastAsia="Arial" w:hAnsi="Arial"/>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3937635</wp:posOffset>
            </wp:positionH>
            <wp:positionV relativeFrom="paragraph">
              <wp:posOffset>-19050</wp:posOffset>
            </wp:positionV>
            <wp:extent cx="28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8" w:lineRule="exact"/>
        <w:rPr>
          <w:sz w:val="24"/>
          <w:szCs w:val="24"/>
          <w:color w:val="auto"/>
        </w:rPr>
      </w:pPr>
    </w:p>
    <w:p>
      <w:pPr>
        <w:spacing w:after="0" w:line="207" w:lineRule="exact"/>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right="3780" w:firstLine="8"/>
        <w:spacing w:after="0" w:line="216" w:lineRule="exact"/>
        <w:tabs>
          <w:tab w:leader="none" w:pos="48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205" w:lineRule="exact"/>
        <w:rPr>
          <w:sz w:val="24"/>
          <w:szCs w:val="24"/>
          <w:color w:val="auto"/>
        </w:rPr>
      </w:pPr>
    </w:p>
    <w:p>
      <w:pPr>
        <w:jc w:val="center"/>
        <w:ind w:right="-1099"/>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4"/>
          <w:szCs w:val="24"/>
          <w:color w:val="auto"/>
        </w:rPr>
      </w:pPr>
    </w:p>
    <w:p>
      <w:pPr>
        <w:jc w:val="center"/>
        <w:ind w:right="-1099"/>
        <w:spacing w:after="0"/>
        <w:rPr>
          <w:sz w:val="20"/>
          <w:szCs w:val="20"/>
          <w:color w:val="auto"/>
        </w:rPr>
      </w:pPr>
      <w:r>
        <w:rPr>
          <w:rFonts w:ascii="Arial" w:cs="Arial" w:eastAsia="Arial" w:hAnsi="Arial"/>
          <w:sz w:val="18"/>
          <w:szCs w:val="18"/>
          <w:color w:val="auto"/>
        </w:rPr>
        <w:t>(Name of Registrant as Specified In Its Charter)</w:t>
      </w:r>
    </w:p>
    <w:p>
      <w:pPr>
        <w:spacing w:after="0" w:line="211"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87" w:lineRule="exact"/>
        <w:rPr>
          <w:sz w:val="24"/>
          <w:szCs w:val="24"/>
          <w:color w:val="auto"/>
        </w:rPr>
      </w:pPr>
    </w:p>
    <w:p>
      <w:pPr>
        <w:ind w:left="880" w:hanging="737"/>
        <w:spacing w:after="0"/>
        <w:tabs>
          <w:tab w:leader="none" w:pos="8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880" w:hanging="737"/>
        <w:spacing w:after="0"/>
        <w:tabs>
          <w:tab w:leader="none" w:pos="8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87" w:lineRule="exact"/>
        <w:rPr>
          <w:sz w:val="24"/>
          <w:szCs w:val="24"/>
          <w:color w:val="auto"/>
        </w:rPr>
      </w:pPr>
    </w:p>
    <w:p>
      <w:pPr>
        <w:ind w:left="880" w:hanging="737"/>
        <w:spacing w:after="0"/>
        <w:tabs>
          <w:tab w:leader="none" w:pos="8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Title of each class of securities to which transaction applies:</w:t>
      </w:r>
    </w:p>
    <w:p>
      <w:pPr>
        <w:spacing w:after="0" w:line="76" w:lineRule="exact"/>
        <w:rPr>
          <w:rFonts w:ascii="Arial" w:cs="Arial" w:eastAsia="Arial" w:hAnsi="Arial"/>
          <w:sz w:val="18"/>
          <w:szCs w:val="18"/>
          <w:b w:val="1"/>
          <w:bCs w:val="1"/>
          <w:color w:val="auto"/>
        </w:rPr>
      </w:pPr>
    </w:p>
    <w:p>
      <w:pPr>
        <w:ind w:left="880" w:hanging="737"/>
        <w:spacing w:after="0"/>
        <w:tabs>
          <w:tab w:leader="none" w:pos="8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Aggregate number of securities to which transaction applies:</w:t>
      </w:r>
    </w:p>
    <w:p>
      <w:pPr>
        <w:spacing w:after="0" w:line="76" w:lineRule="exact"/>
        <w:rPr>
          <w:rFonts w:ascii="Arial" w:cs="Arial" w:eastAsia="Arial" w:hAnsi="Arial"/>
          <w:sz w:val="18"/>
          <w:szCs w:val="18"/>
          <w:b w:val="1"/>
          <w:bCs w:val="1"/>
          <w:color w:val="auto"/>
        </w:rPr>
      </w:pPr>
    </w:p>
    <w:p>
      <w:pPr>
        <w:ind w:left="880" w:right="180" w:hanging="737"/>
        <w:spacing w:after="0" w:line="223" w:lineRule="exact"/>
        <w:tabs>
          <w:tab w:leader="none" w:pos="8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Per unit price or other underlying value of transaction computed pursuant to Exchange Act Rule 0</w:t>
      </w:r>
      <w:r>
        <w:rPr>
          <w:rFonts w:ascii="MS PGothic" w:cs="MS PGothic" w:eastAsia="MS PGothic" w:hAnsi="MS PGothic"/>
          <w:sz w:val="18"/>
          <w:szCs w:val="18"/>
          <w:color w:val="auto"/>
        </w:rPr>
        <w:t>‑</w:t>
      </w:r>
      <w:r>
        <w:rPr>
          <w:rFonts w:ascii="Arial" w:cs="Arial" w:eastAsia="Arial" w:hAnsi="Arial"/>
          <w:sz w:val="18"/>
          <w:szCs w:val="18"/>
          <w:color w:val="auto"/>
        </w:rPr>
        <w:t>11 (Set forth the amount on which the filing fee is calculated and state how it was determined):</w:t>
      </w:r>
    </w:p>
    <w:p>
      <w:pPr>
        <w:spacing w:after="0" w:line="54" w:lineRule="exact"/>
        <w:rPr>
          <w:rFonts w:ascii="Arial" w:cs="Arial" w:eastAsia="Arial" w:hAnsi="Arial"/>
          <w:sz w:val="18"/>
          <w:szCs w:val="18"/>
          <w:b w:val="1"/>
          <w:bCs w:val="1"/>
          <w:color w:val="auto"/>
        </w:rPr>
      </w:pPr>
    </w:p>
    <w:p>
      <w:pPr>
        <w:ind w:left="880" w:hanging="737"/>
        <w:spacing w:after="0"/>
        <w:tabs>
          <w:tab w:leader="none" w:pos="8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Proposed maximum aggregate value of transaction:</w:t>
      </w:r>
    </w:p>
    <w:p>
      <w:pPr>
        <w:spacing w:after="0" w:line="76" w:lineRule="exact"/>
        <w:rPr>
          <w:rFonts w:ascii="Arial" w:cs="Arial" w:eastAsia="Arial" w:hAnsi="Arial"/>
          <w:sz w:val="18"/>
          <w:szCs w:val="18"/>
          <w:b w:val="1"/>
          <w:bCs w:val="1"/>
          <w:color w:val="auto"/>
        </w:rPr>
      </w:pPr>
    </w:p>
    <w:p>
      <w:pPr>
        <w:ind w:left="880" w:hanging="737"/>
        <w:spacing w:after="0"/>
        <w:tabs>
          <w:tab w:leader="none" w:pos="8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-147320</wp:posOffset>
            </wp:positionV>
            <wp:extent cx="65836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-327660</wp:posOffset>
            </wp:positionV>
            <wp:extent cx="65836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-644525</wp:posOffset>
            </wp:positionV>
            <wp:extent cx="6583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-824865</wp:posOffset>
            </wp:positionV>
            <wp:extent cx="65836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pacing w:after="0" w:line="57" w:lineRule="exact"/>
        <w:rPr>
          <w:sz w:val="24"/>
          <w:szCs w:val="24"/>
          <w:color w:val="auto"/>
        </w:rPr>
      </w:pPr>
    </w:p>
    <w:p>
      <w:pPr>
        <w:ind w:left="880" w:hanging="737"/>
        <w:spacing w:after="0"/>
        <w:tabs>
          <w:tab w:leader="none" w:pos="8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880" w:hanging="737"/>
        <w:spacing w:after="0" w:line="263" w:lineRule="auto"/>
        <w:tabs>
          <w:tab w:leader="none" w:pos="8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-619760</wp:posOffset>
            </wp:positionV>
            <wp:extent cx="65836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pacing w:after="0" w:line="2" w:lineRule="exact"/>
        <w:rPr>
          <w:sz w:val="24"/>
          <w:szCs w:val="24"/>
          <w:color w:val="auto"/>
        </w:rPr>
      </w:pPr>
    </w:p>
    <w:p>
      <w:pPr>
        <w:ind w:left="880" w:hanging="737"/>
        <w:spacing w:after="0"/>
        <w:tabs>
          <w:tab w:leader="none" w:pos="8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Amount Previously Paid:</w:t>
      </w:r>
    </w:p>
    <w:p>
      <w:pPr>
        <w:spacing w:after="0" w:line="76" w:lineRule="exact"/>
        <w:rPr>
          <w:rFonts w:ascii="Arial" w:cs="Arial" w:eastAsia="Arial" w:hAnsi="Arial"/>
          <w:sz w:val="18"/>
          <w:szCs w:val="18"/>
          <w:b w:val="1"/>
          <w:bCs w:val="1"/>
          <w:color w:val="auto"/>
        </w:rPr>
      </w:pPr>
    </w:p>
    <w:p>
      <w:pPr>
        <w:ind w:left="880" w:hanging="737"/>
        <w:spacing w:after="0"/>
        <w:tabs>
          <w:tab w:leader="none" w:pos="8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Form, Schedule or Registration Statement No.:</w:t>
      </w:r>
    </w:p>
    <w:p>
      <w:pPr>
        <w:spacing w:after="0" w:line="76" w:lineRule="exact"/>
        <w:rPr>
          <w:rFonts w:ascii="Arial" w:cs="Arial" w:eastAsia="Arial" w:hAnsi="Arial"/>
          <w:sz w:val="18"/>
          <w:szCs w:val="18"/>
          <w:b w:val="1"/>
          <w:bCs w:val="1"/>
          <w:color w:val="auto"/>
        </w:rPr>
      </w:pPr>
    </w:p>
    <w:p>
      <w:pPr>
        <w:ind w:left="880" w:hanging="737"/>
        <w:spacing w:after="0"/>
        <w:tabs>
          <w:tab w:leader="none" w:pos="8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Filing Party:</w:t>
      </w:r>
    </w:p>
    <w:p>
      <w:pPr>
        <w:spacing w:after="0" w:line="76" w:lineRule="exact"/>
        <w:rPr>
          <w:rFonts w:ascii="Arial" w:cs="Arial" w:eastAsia="Arial" w:hAnsi="Arial"/>
          <w:sz w:val="18"/>
          <w:szCs w:val="18"/>
          <w:b w:val="1"/>
          <w:bCs w:val="1"/>
          <w:color w:val="auto"/>
        </w:rPr>
      </w:pPr>
    </w:p>
    <w:p>
      <w:pPr>
        <w:ind w:left="880" w:hanging="737"/>
        <w:spacing w:after="0"/>
        <w:tabs>
          <w:tab w:leader="none" w:pos="8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65836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-147320</wp:posOffset>
            </wp:positionV>
            <wp:extent cx="65836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-327660</wp:posOffset>
            </wp:positionV>
            <wp:extent cx="6583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8368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-507365</wp:posOffset>
            </wp:positionV>
            <wp:extent cx="65836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3680" cy="8890"/>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1" w:name="page2"/>
    <w:bookmarkEnd w:id="1"/>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2522855</wp:posOffset>
            </wp:positionH>
            <wp:positionV relativeFrom="page">
              <wp:posOffset>397510</wp:posOffset>
            </wp:positionV>
            <wp:extent cx="2537460" cy="685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537460" cy="68580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9"/>
          <w:szCs w:val="29"/>
          <w:b w:val="1"/>
          <w:bCs w:val="1"/>
          <w:color w:val="auto"/>
        </w:rPr>
        <w:t>MongoDB, Inc.</w:t>
      </w:r>
    </w:p>
    <w:p>
      <w:pPr>
        <w:spacing w:after="0" w:line="7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1633 Broadway, 38th Floor</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New York, New York 10019</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Notice of Annual Meeting of Stockholders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To Be Held on July 10, 2020 at 10:00 a.m. Eastern Time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MongoDB, Inc.:</w:t>
      </w:r>
    </w:p>
    <w:p>
      <w:pPr>
        <w:spacing w:after="0" w:line="6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behalf of our board of directors, it is our pleasure to invite you to attend the 2020 annual meeting of stockholders of MongoDB, Inc., a Delaware corporation.</w:t>
      </w:r>
    </w:p>
    <w:p>
      <w:pPr>
        <w:spacing w:after="0" w:line="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meeting will be held virtually, via live webcast at </w:t>
      </w:r>
      <w:r>
        <w:rPr>
          <w:rFonts w:ascii="Arial" w:cs="Arial" w:eastAsia="Arial" w:hAnsi="Arial"/>
          <w:sz w:val="17"/>
          <w:szCs w:val="17"/>
          <w:i w:val="1"/>
          <w:iCs w:val="1"/>
          <w:color w:val="auto"/>
        </w:rPr>
        <w:t>www.virtualshareholdermeeting.com/MDB2020</w:t>
      </w:r>
      <w:r>
        <w:rPr>
          <w:rFonts w:ascii="Arial" w:cs="Arial" w:eastAsia="Arial" w:hAnsi="Arial"/>
          <w:sz w:val="17"/>
          <w:szCs w:val="17"/>
          <w:color w:val="auto"/>
        </w:rPr>
        <w:t>, originating from New York, New York, on Friday, July 10, 2020 at 10:00 a.m. Eastern Time. We continue to embrace the latest technology to provide expanded access, improved communication and cost savings. We believe hosting a virtual meeting enables increased stockholder attendance and participation from locations around the world. Additionally, in light of public health and travel concerns arising from the COVID-19 pandemic, hosting a virtual meeting helps ensure the health and safety of our stockholders and other meeting participants. Stockholders attending the virtual meeting will be afforded the same rights and opportunities to participate as they would at an in-person meeting. We encourage you to attend online and participate. The record date for the meeting is May 15, 2020. Only stockholders of record at the close of business on that date may vote at the meeting or any adjournment thereof.</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Your vote is very important. Whether or not you plan to attend the meeting, we urge you to vote by proxy to ensure your vote is counted.</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meeting will be held for the following purposes:</w:t>
      </w:r>
    </w:p>
    <w:p>
      <w:pPr>
        <w:spacing w:after="0" w:line="63" w:lineRule="exact"/>
        <w:rPr>
          <w:sz w:val="20"/>
          <w:szCs w:val="20"/>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three Class III directors, Archana Agrawal, Hope Cochran and Dwight Merriman, each to serve until our annual meeting of stockholders in 2023;</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w:t>
      </w:r>
    </w:p>
    <w:p>
      <w:pPr>
        <w:spacing w:after="0" w:line="6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our independent registered public accounting firm for our fiscal year ending January 31, 2021; and</w:t>
      </w:r>
    </w:p>
    <w:p>
      <w:pPr>
        <w:spacing w:after="0" w:line="8"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items of business are more fully described in the proxy materials accompanying this notice.</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behalf of the board of directors and the management team, thank you for your investment and interest in MongoDB.</w:t>
      </w:r>
    </w:p>
    <w:p>
      <w:pPr>
        <w:spacing w:after="0" w:line="225"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66040</wp:posOffset>
            </wp:positionV>
            <wp:extent cx="745490"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4549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7200" w:val="left"/>
        </w:tabs>
        <w:rPr>
          <w:sz w:val="20"/>
          <w:szCs w:val="20"/>
          <w:color w:val="auto"/>
        </w:rPr>
      </w:pPr>
      <w:r>
        <w:rPr>
          <w:rFonts w:ascii="Arial" w:cs="Arial" w:eastAsia="Arial" w:hAnsi="Arial"/>
          <w:sz w:val="18"/>
          <w:szCs w:val="18"/>
          <w:color w:val="auto"/>
        </w:rPr>
        <w:t>May 21, 2020</w:t>
      </w:r>
      <w:r>
        <w:rPr>
          <w:sz w:val="20"/>
          <w:szCs w:val="20"/>
          <w:color w:val="auto"/>
        </w:rPr>
        <w:tab/>
      </w:r>
      <w:r>
        <w:rPr>
          <w:rFonts w:ascii="Arial" w:cs="Arial" w:eastAsia="Arial" w:hAnsi="Arial"/>
          <w:sz w:val="16"/>
          <w:szCs w:val="16"/>
          <w:color w:val="auto"/>
        </w:rPr>
        <w:t>Andrew Stephens</w:t>
      </w:r>
    </w:p>
    <w:p>
      <w:pPr>
        <w:spacing w:after="0" w:line="9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jc w:val="both"/>
        <w:ind w:left="40" w:right="20"/>
        <w:spacing w:after="0"/>
        <w:rPr>
          <w:sz w:val="20"/>
          <w:szCs w:val="20"/>
          <w:color w:val="auto"/>
        </w:rPr>
      </w:pPr>
      <w:r>
        <w:rPr>
          <w:rFonts w:ascii="Arial" w:cs="Arial" w:eastAsia="Arial" w:hAnsi="Arial"/>
          <w:sz w:val="14"/>
          <w:szCs w:val="14"/>
          <w:b w:val="1"/>
          <w:bCs w:val="1"/>
          <w:color w:val="auto"/>
        </w:rPr>
        <w:t>You are cordially invited to attend the virtual annual meeting. Whether or not you expect to attend the meeting, you are urged to vote and submit your proxy by following the procedures described in the proxy card. Even if you have voted by proxy, you may still vote during the meeting. Please note, however, that if your shares are held of record by a broker, bank or other agent and you wish to vote during the meeting, you must follow the instructions from such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b w:val="1"/>
          <w:bCs w:val="1"/>
          <w:color w:val="auto"/>
        </w:rPr>
        <w:t>Table of Contents</w:t>
      </w:r>
    </w:p>
    <w:p>
      <w:pPr>
        <w:spacing w:after="0" w:line="200" w:lineRule="exact"/>
        <w:rPr>
          <w:sz w:val="20"/>
          <w:szCs w:val="20"/>
          <w:color w:val="auto"/>
        </w:rPr>
      </w:pPr>
    </w:p>
    <w:p>
      <w:pPr>
        <w:spacing w:after="0" w:line="358"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92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Questions and Answers</w:t>
              </w:r>
            </w:hyperlink>
          </w:p>
        </w:tc>
        <w:tc>
          <w:tcPr>
            <w:tcW w:w="182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2</w:t>
              </w:r>
            </w:hyperlink>
          </w:p>
        </w:tc>
      </w:tr>
      <w:tr>
        <w:trPr>
          <w:trHeight w:val="324"/>
        </w:trPr>
        <w:tc>
          <w:tcPr>
            <w:tcW w:w="926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Board of Directors and Corporate Governance</w:t>
              </w:r>
            </w:hyperlink>
          </w:p>
        </w:tc>
        <w:tc>
          <w:tcPr>
            <w:tcW w:w="182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8</w:t>
              </w:r>
            </w:hyperlink>
          </w:p>
        </w:tc>
      </w:tr>
      <w:tr>
        <w:trPr>
          <w:trHeight w:val="324"/>
        </w:trPr>
        <w:tc>
          <w:tcPr>
            <w:tcW w:w="926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Proposal 1 – Election of Directors</w:t>
              </w:r>
            </w:hyperlink>
          </w:p>
        </w:tc>
        <w:tc>
          <w:tcPr>
            <w:tcW w:w="1820" w:type="dxa"/>
            <w:vAlign w:val="bottom"/>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16</w:t>
              </w:r>
            </w:hyperlink>
          </w:p>
        </w:tc>
      </w:tr>
      <w:tr>
        <w:trPr>
          <w:trHeight w:val="324"/>
        </w:trPr>
        <w:tc>
          <w:tcPr>
            <w:tcW w:w="926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Information Regarding Director Nominees and Current Directors</w:t>
              </w:r>
            </w:hyperlink>
          </w:p>
        </w:tc>
        <w:tc>
          <w:tcPr>
            <w:tcW w:w="1820" w:type="dxa"/>
            <w:vAlign w:val="bottom"/>
          </w:tcPr>
          <w:p>
            <w:pPr>
              <w:jc w:val="right"/>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18</w:t>
              </w:r>
            </w:hyperlink>
          </w:p>
        </w:tc>
      </w:tr>
      <w:tr>
        <w:trPr>
          <w:trHeight w:val="324"/>
        </w:trPr>
        <w:tc>
          <w:tcPr>
            <w:tcW w:w="926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Director Compensation</w:t>
              </w:r>
            </w:hyperlink>
          </w:p>
        </w:tc>
        <w:tc>
          <w:tcPr>
            <w:tcW w:w="1820" w:type="dxa"/>
            <w:vAlign w:val="bottom"/>
          </w:tcPr>
          <w:p>
            <w:pPr>
              <w:jc w:val="right"/>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22</w:t>
              </w:r>
            </w:hyperlink>
          </w:p>
        </w:tc>
      </w:tr>
      <w:tr>
        <w:trPr>
          <w:trHeight w:val="324"/>
        </w:trPr>
        <w:tc>
          <w:tcPr>
            <w:tcW w:w="926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Proposal 2 – Non-Binding Advisory Vote to Approve the Compensation of our Named Executive Officers</w:t>
              </w:r>
            </w:hyperlink>
          </w:p>
        </w:tc>
        <w:tc>
          <w:tcPr>
            <w:tcW w:w="1820" w:type="dxa"/>
            <w:vAlign w:val="bottom"/>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26</w:t>
              </w:r>
            </w:hyperlink>
          </w:p>
        </w:tc>
      </w:tr>
      <w:tr>
        <w:trPr>
          <w:trHeight w:val="324"/>
        </w:trPr>
        <w:tc>
          <w:tcPr>
            <w:tcW w:w="926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Executive Officers</w:t>
              </w:r>
            </w:hyperlink>
          </w:p>
        </w:tc>
        <w:tc>
          <w:tcPr>
            <w:tcW w:w="1820" w:type="dxa"/>
            <w:vAlign w:val="bottom"/>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324"/>
        </w:trPr>
        <w:tc>
          <w:tcPr>
            <w:tcW w:w="926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Executive Compensation</w:t>
              </w:r>
            </w:hyperlink>
          </w:p>
        </w:tc>
        <w:tc>
          <w:tcPr>
            <w:tcW w:w="182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28</w:t>
              </w:r>
            </w:hyperlink>
          </w:p>
        </w:tc>
      </w:tr>
      <w:tr>
        <w:trPr>
          <w:trHeight w:val="324"/>
        </w:trPr>
        <w:tc>
          <w:tcPr>
            <w:tcW w:w="9260" w:type="dxa"/>
            <w:vAlign w:val="bottom"/>
          </w:tcPr>
          <w:p>
            <w:pPr>
              <w:ind w:left="2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31">
              <w:r>
                <w:rPr>
                  <w:rFonts w:ascii="Arial" w:cs="Arial" w:eastAsia="Arial" w:hAnsi="Arial"/>
                  <w:sz w:val="18"/>
                  <w:szCs w:val="18"/>
                  <w:u w:val="single" w:color="auto"/>
                  <w:color w:val="0000EE"/>
                </w:rPr>
                <w:t>Compensation Discussion and Analysis</w:t>
              </w:r>
            </w:hyperlink>
          </w:p>
        </w:tc>
        <w:tc>
          <w:tcPr>
            <w:tcW w:w="1820" w:type="dxa"/>
            <w:vAlign w:val="bottom"/>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28</w:t>
              </w:r>
            </w:hyperlink>
          </w:p>
        </w:tc>
      </w:tr>
      <w:tr>
        <w:trPr>
          <w:trHeight w:val="324"/>
        </w:trPr>
        <w:tc>
          <w:tcPr>
            <w:tcW w:w="9260" w:type="dxa"/>
            <w:vAlign w:val="bottom"/>
          </w:tcPr>
          <w:p>
            <w:pPr>
              <w:ind w:left="2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45">
              <w:r>
                <w:rPr>
                  <w:rFonts w:ascii="Arial" w:cs="Arial" w:eastAsia="Arial" w:hAnsi="Arial"/>
                  <w:sz w:val="18"/>
                  <w:szCs w:val="18"/>
                  <w:u w:val="single" w:color="auto"/>
                  <w:color w:val="0000EE"/>
                </w:rPr>
                <w:t>Compensation Tables</w:t>
              </w:r>
            </w:hyperlink>
          </w:p>
        </w:tc>
        <w:tc>
          <w:tcPr>
            <w:tcW w:w="182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42</w:t>
              </w:r>
            </w:hyperlink>
          </w:p>
        </w:tc>
      </w:tr>
      <w:tr>
        <w:trPr>
          <w:trHeight w:val="324"/>
        </w:trPr>
        <w:tc>
          <w:tcPr>
            <w:tcW w:w="9260" w:type="dxa"/>
            <w:vAlign w:val="bottom"/>
          </w:tcPr>
          <w:p>
            <w:pPr>
              <w:ind w:left="28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0">
              <w:r>
                <w:rPr>
                  <w:rFonts w:ascii="Arial" w:cs="Arial" w:eastAsia="Arial" w:hAnsi="Arial"/>
                  <w:sz w:val="18"/>
                  <w:szCs w:val="18"/>
                  <w:u w:val="single" w:color="auto"/>
                  <w:color w:val="0000EE"/>
                </w:rPr>
                <w:t>Compensation Committee Report</w:t>
              </w:r>
            </w:hyperlink>
          </w:p>
        </w:tc>
        <w:tc>
          <w:tcPr>
            <w:tcW w:w="182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47</w:t>
              </w:r>
            </w:hyperlink>
          </w:p>
        </w:tc>
      </w:tr>
      <w:tr>
        <w:trPr>
          <w:trHeight w:val="324"/>
        </w:trPr>
        <w:tc>
          <w:tcPr>
            <w:tcW w:w="926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Equity Compensation Plan Information</w:t>
              </w:r>
            </w:hyperlink>
          </w:p>
        </w:tc>
        <w:tc>
          <w:tcPr>
            <w:tcW w:w="1820" w:type="dxa"/>
            <w:vAlign w:val="bottom"/>
          </w:tcPr>
          <w:p>
            <w:pPr>
              <w:jc w:val="right"/>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48</w:t>
              </w:r>
            </w:hyperlink>
          </w:p>
        </w:tc>
      </w:tr>
      <w:tr>
        <w:trPr>
          <w:trHeight w:val="324"/>
        </w:trPr>
        <w:tc>
          <w:tcPr>
            <w:tcW w:w="926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Proposal 3 – Ratification of Selection of Independent Registered Public Accounting Firm</w:t>
              </w:r>
            </w:hyperlink>
          </w:p>
        </w:tc>
        <w:tc>
          <w:tcPr>
            <w:tcW w:w="182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49</w:t>
              </w:r>
            </w:hyperlink>
          </w:p>
        </w:tc>
      </w:tr>
      <w:tr>
        <w:trPr>
          <w:trHeight w:val="324"/>
        </w:trPr>
        <w:tc>
          <w:tcPr>
            <w:tcW w:w="9260" w:type="dxa"/>
            <w:vAlign w:val="bottom"/>
          </w:tcPr>
          <w:p>
            <w:pPr>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Audit Committee Report</w:t>
              </w:r>
            </w:hyperlink>
          </w:p>
        </w:tc>
        <w:tc>
          <w:tcPr>
            <w:tcW w:w="1820" w:type="dxa"/>
            <w:vAlign w:val="bottom"/>
          </w:tcPr>
          <w:p>
            <w:pPr>
              <w:jc w:val="right"/>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51</w:t>
              </w:r>
            </w:hyperlink>
          </w:p>
        </w:tc>
      </w:tr>
      <w:tr>
        <w:trPr>
          <w:trHeight w:val="324"/>
        </w:trPr>
        <w:tc>
          <w:tcPr>
            <w:tcW w:w="926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Security Ownership of Certain Beneficial Owners and Management</w:t>
              </w:r>
            </w:hyperlink>
          </w:p>
        </w:tc>
        <w:tc>
          <w:tcPr>
            <w:tcW w:w="1820" w:type="dxa"/>
            <w:vAlign w:val="bottom"/>
          </w:tcPr>
          <w:p>
            <w:pPr>
              <w:jc w:val="right"/>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52</w:t>
              </w:r>
            </w:hyperlink>
          </w:p>
        </w:tc>
      </w:tr>
      <w:tr>
        <w:trPr>
          <w:trHeight w:val="324"/>
        </w:trPr>
        <w:tc>
          <w:tcPr>
            <w:tcW w:w="926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Other Matters</w:t>
              </w:r>
            </w:hyperlink>
          </w:p>
        </w:tc>
        <w:tc>
          <w:tcPr>
            <w:tcW w:w="1820" w:type="dxa"/>
            <w:vAlign w:val="bottom"/>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55</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220"/>
          </w:cols>
          <w:pgMar w:left="320" w:top="360" w:right="35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MongoDB,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1633 Broadway, 38th Floor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Proxy Statement</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the 2020 Annual Meeting of Stockholders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July 10, 2020 at 10:00 a.m. Eastern Time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Our board of directors is soliciting your proxy to vote at the 2020 annual meeting of stockholders of MongoDB, Inc., a Delaware corporation, to be held virtually, via live webcast at </w:t>
      </w:r>
      <w:r>
        <w:rPr>
          <w:rFonts w:ascii="Arial" w:cs="Arial" w:eastAsia="Arial" w:hAnsi="Arial"/>
          <w:sz w:val="17"/>
          <w:szCs w:val="17"/>
          <w:i w:val="1"/>
          <w:iCs w:val="1"/>
          <w:color w:val="auto"/>
        </w:rPr>
        <w:t>www.virtualshareholdermeeting.com/MDB2020</w:t>
      </w:r>
      <w:r>
        <w:rPr>
          <w:rFonts w:ascii="Arial" w:cs="Arial" w:eastAsia="Arial" w:hAnsi="Arial"/>
          <w:sz w:val="17"/>
          <w:szCs w:val="17"/>
          <w:color w:val="auto"/>
        </w:rPr>
        <w:t>, originating from New York, New York, on Friday, July 10, 2020 at 10:00 a.m. Eastern Time, and any adjournment or postponement thereof. We believe that hosting a virtual meeting enables participation by more of our stockholders, while lowering the cost of conducting the meeting. Additionally, in light of public health and travel concerns arising from the COVID-19 pandemic, hosting a virtual meeting helps ensure the health and safety of our stockholders and other meeting participants. Stockholders attending the virtual meeting will be afforded the same rights and opportunities to participate as they would at an in-person meeting.</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For the meeting, we have elected to furnish our proxy materials, including this proxy statement and our Annual Report on Form 10-K for the fiscal year ended January 31, 2020 (the “Annual Report”), to our stockholders primarily via the internet. On or about May 21, 2020, we intend to mail to our stockholders a </w:t>
      </w:r>
      <w:r>
        <w:rPr>
          <w:rFonts w:ascii="Arial" w:cs="Arial" w:eastAsia="Arial" w:hAnsi="Arial"/>
          <w:sz w:val="17"/>
          <w:szCs w:val="17"/>
          <w:i w:val="1"/>
          <w:iCs w:val="1"/>
          <w:color w:val="auto"/>
        </w:rPr>
        <w:t>Notice of Internet Availability of Proxy Materials</w:t>
      </w:r>
      <w:r>
        <w:rPr>
          <w:rFonts w:ascii="Arial" w:cs="Arial" w:eastAsia="Arial" w:hAnsi="Arial"/>
          <w:sz w:val="17"/>
          <w:szCs w:val="17"/>
          <w:color w:val="auto"/>
        </w:rPr>
        <w:t xml:space="preserve"> (the “Notice”) that contains notice of the meeting and instructions on how to access our proxy materials on the internet, how to vote at the meeting and how to request printed copies of the proxy materials. Stockholders may request to receive all future materials in printed form by mail or electronically by e-mail by following the instructions contained in the Notice. A stockholder’s election to receive proxy materials by mail or email will remain in effect until revoked. We encourage stockholders to take advantage of the availability of the proxy materials on the internet to help reduce the environmental impact and cost of our annual meeting.</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Only stockholders of record at the close of business on May 15, 2020 will be entitled to vote at the meeting. On this record date, there were 50,560,756 shares of Class A common stock and 7,526,304 shares of Class B common stock outstanding and entitled to vote (together, the “common stock”). </w:t>
      </w:r>
      <w:r>
        <w:rPr>
          <w:rFonts w:ascii="Arial" w:cs="Arial" w:eastAsia="Arial" w:hAnsi="Arial"/>
          <w:sz w:val="16"/>
          <w:szCs w:val="16"/>
          <w:b w:val="1"/>
          <w:bCs w:val="1"/>
          <w:color w:val="auto"/>
        </w:rPr>
        <w:t>Each holder of Class A common stock will have the right to one vote per share of Class A common stock and each holder of Class B</w:t>
      </w:r>
      <w:r>
        <w:rPr>
          <w:rFonts w:ascii="Arial" w:cs="Arial" w:eastAsia="Arial" w:hAnsi="Arial"/>
          <w:sz w:val="16"/>
          <w:szCs w:val="16"/>
          <w:color w:val="auto"/>
        </w:rPr>
        <w:t xml:space="preserve"> </w:t>
      </w:r>
      <w:r>
        <w:rPr>
          <w:rFonts w:ascii="Arial" w:cs="Arial" w:eastAsia="Arial" w:hAnsi="Arial"/>
          <w:sz w:val="16"/>
          <w:szCs w:val="16"/>
          <w:b w:val="1"/>
          <w:bCs w:val="1"/>
          <w:color w:val="auto"/>
        </w:rPr>
        <w:t>common stock will have the right to ten votes per share of Class B common stock</w:t>
      </w:r>
      <w:r>
        <w:rPr>
          <w:rFonts w:ascii="Arial" w:cs="Arial" w:eastAsia="Arial" w:hAnsi="Arial"/>
          <w:sz w:val="16"/>
          <w:szCs w:val="16"/>
          <w:color w:val="auto"/>
        </w:rPr>
        <w:t>. The holders of shares of common stock will vote together as a single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class on all matters submitted to a vote at the meeting. A list of stockholders entitled to vote at the meeting will be available for examination during normal business hours by any stockholder for any purpose germane to the meeting for ten days before the meeting at our address above. To the extent office access is impracticable due to the recent COVID-19 pandemic, please email us at </w:t>
      </w:r>
      <w:r>
        <w:rPr>
          <w:rFonts w:ascii="Arial" w:cs="Arial" w:eastAsia="Arial" w:hAnsi="Arial"/>
          <w:sz w:val="16"/>
          <w:szCs w:val="16"/>
          <w:i w:val="1"/>
          <w:iCs w:val="1"/>
          <w:color w:val="auto"/>
        </w:rPr>
        <w:t>ir@mongodb.com</w:t>
      </w:r>
      <w:r>
        <w:rPr>
          <w:rFonts w:ascii="Arial" w:cs="Arial" w:eastAsia="Arial" w:hAnsi="Arial"/>
          <w:sz w:val="16"/>
          <w:szCs w:val="16"/>
          <w:color w:val="auto"/>
        </w:rPr>
        <w:t xml:space="preserve"> to make alternative arrangements. The stockholder list will also be available online during the meeting. For instructions on how to attend the virtual annual meeting, please see page 2 of this proxy statement.</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this proxy statement, we refer to MongoDB, Inc. as “MongoDB,” “we” or “us” and the board of directors of MongoDB as “our board of directors.” The Annual Report, which contains consolidated financial statements as of and for the fiscal year ended January 31, 2020, accompanies this proxy statement. You also may obtain a copy of the Annual Report without charge by writing to our Secretary at 1633 Broadway, 38th Floor, New York, New York 10019, Attention: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319" w:right="3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QUESTIONS AND ANSWERS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About these Proxy Materials and Voting</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rules adopted by the Securities and Exchange Commission (“SEC”), we have elected to provide access to our proxy materials over the internet. Accordingly, we have sent you the Notice because our board of directors is soliciting your proxy to vote at the 2020 annual meeting of stockholders, including at any adjournments or postponements thereof. All stockholders will have the ability to access the proxy materials on the website referred to in the Notice or to request a printed set of the proxy materials. Instructions on how to access the proxy materials over the internet or to request a printed copy may be found in the Notice. We intend to mail the Notice on or about May 21, 2020 to all stockholders of record entitled to vote at the annual meeting.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participate in and ask questions during the virtual annual meeting online?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will be hosting the meeting via live webcast only. Any stockholder can attend the virtual annual meeting live online at </w:t>
      </w:r>
      <w:r>
        <w:rPr>
          <w:rFonts w:ascii="Arial" w:cs="Arial" w:eastAsia="Arial" w:hAnsi="Arial"/>
          <w:sz w:val="18"/>
          <w:szCs w:val="18"/>
          <w:i w:val="1"/>
          <w:iCs w:val="1"/>
          <w:color w:val="auto"/>
        </w:rPr>
        <w:t>www.virtualshareholdermeeting.com/MDB2020</w:t>
      </w:r>
      <w:r>
        <w:rPr>
          <w:rFonts w:ascii="Arial" w:cs="Arial" w:eastAsia="Arial" w:hAnsi="Arial"/>
          <w:sz w:val="18"/>
          <w:szCs w:val="18"/>
          <w:color w:val="auto"/>
        </w:rPr>
        <w:t>. The meeting will start at 10:00 a.m. Eastern Time on July 10, 2020. Stockholders attending the virtual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will be afforded the same rights and opportunities to participate as they would at an in-person meeting.</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In order to participate in the meeting, you will need the control number, which is included in the Notice or on your proxy card if you are a stockholder of record of shares of common stock, or included with your voting instruction card and voting instructions received from your broker, bank or other agent if you hold your shares of common stock in “street name.” Instructions on how to attend and participate online are available at </w:t>
      </w:r>
      <w:r>
        <w:rPr>
          <w:rFonts w:ascii="Arial" w:cs="Arial" w:eastAsia="Arial" w:hAnsi="Arial"/>
          <w:sz w:val="17"/>
          <w:szCs w:val="17"/>
          <w:i w:val="1"/>
          <w:iCs w:val="1"/>
          <w:color w:val="auto"/>
        </w:rPr>
        <w:t>www.virtualshareholdermeeting.com/MDB2020</w:t>
      </w:r>
      <w:r>
        <w:rPr>
          <w:rFonts w:ascii="Arial" w:cs="Arial" w:eastAsia="Arial" w:hAnsi="Arial"/>
          <w:sz w:val="17"/>
          <w:szCs w:val="17"/>
          <w:color w:val="auto"/>
        </w:rPr>
        <w:t>. We recommend that you log in a few minutes before 10:00 a.m. Eastern time on July 10, 2020 to ensure</w:t>
      </w:r>
      <w:r>
        <w:rPr>
          <w:rFonts w:ascii="Arial" w:cs="Arial" w:eastAsia="Arial" w:hAnsi="Arial"/>
          <w:sz w:val="17"/>
          <w:szCs w:val="17"/>
          <w:i w:val="1"/>
          <w:iCs w:val="1"/>
          <w:color w:val="auto"/>
        </w:rPr>
        <w:t xml:space="preserve"> </w:t>
      </w:r>
      <w:r>
        <w:rPr>
          <w:rFonts w:ascii="Arial" w:cs="Arial" w:eastAsia="Arial" w:hAnsi="Arial"/>
          <w:sz w:val="17"/>
          <w:szCs w:val="17"/>
          <w:color w:val="auto"/>
        </w:rPr>
        <w:t>you are logged in when the meeting starts. The webcast will open 15 minutes before the start of the meeting.</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Only stockholders of record as of the record date for the annual meeting and their proxy holders may submit questions or comments. You will be able to submit your question or comment during the meeting by logging in to </w:t>
      </w:r>
      <w:r>
        <w:rPr>
          <w:rFonts w:ascii="Arial" w:cs="Arial" w:eastAsia="Arial" w:hAnsi="Arial"/>
          <w:sz w:val="18"/>
          <w:szCs w:val="18"/>
          <w:i w:val="1"/>
          <w:iCs w:val="1"/>
          <w:color w:val="auto"/>
        </w:rPr>
        <w:t>www.virtualshareholdermeeting.com/MDB2020</w:t>
      </w:r>
      <w:r>
        <w:rPr>
          <w:rFonts w:ascii="Arial" w:cs="Arial" w:eastAsia="Arial" w:hAnsi="Arial"/>
          <w:sz w:val="18"/>
          <w:szCs w:val="18"/>
          <w:color w:val="auto"/>
        </w:rPr>
        <w:t xml:space="preserve"> using your control number and typing your question in the designated box in the annual meeting portal.</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help ensure that we have a productive and efficient meeting, and in fairness to all stockholders in attendance, you will also find posted our rules of conduct for the meeting when you log in prior to its start. These rules of conduct will include the following guidelines:</w:t>
      </w:r>
    </w:p>
    <w:p>
      <w:pPr>
        <w:spacing w:after="0" w:line="1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Only stockholders of record as of the record date for the meeting and their proxy holders may submit questions or comments.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Questions and comments may be submitted electronically through the annual meeting portal during the meeting.</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Questions must be directed to Dev Ittycheria, MongoDB’s President and Chief Executive Officer.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 your name and affiliation, if any, when submitting a question or comment.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 your remarks to one brief question or comment that is relevant to the meeting and/or our business.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Questions may be grouped by topic by our management.</w:t>
      </w:r>
    </w:p>
    <w:p>
      <w:pPr>
        <w:spacing w:after="0" w:line="184"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8"/>
        </w:numPr>
        <w:rPr>
          <w:rFonts w:ascii="Arial" w:cs="Arial" w:eastAsia="Arial" w:hAnsi="Arial"/>
          <w:sz w:val="16"/>
          <w:szCs w:val="16"/>
          <w:color w:val="auto"/>
        </w:rPr>
      </w:pPr>
      <w:r>
        <w:rPr>
          <w:rFonts w:ascii="Arial" w:cs="Arial" w:eastAsia="Arial" w:hAnsi="Arial"/>
          <w:sz w:val="16"/>
          <w:szCs w:val="16"/>
          <w:color w:val="auto"/>
        </w:rPr>
        <w:t>Questions may also be ruled as out of order if they are, among other things, irrelevant to our business, related to pending or threatened litigation, disorderly, repetitious of statements already made, or in furtherance of the speaker’s own personal, political or business interests.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319" w:right="3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respectful of your fellow stockholders and meeting participants.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audio or video recording of the meeting is permitted.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have technical difficulties or trouble accessing the virtual meeting?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will have technicians ready to assist you with any technical difficulties you may have accessing the virtual meeting. If you encounter any difficulties accessing the virtual meeting during the check-in or meeting time, please call the technical support number that will be posted at </w:t>
      </w:r>
      <w:r>
        <w:rPr>
          <w:rFonts w:ascii="Arial" w:cs="Arial" w:eastAsia="Arial" w:hAnsi="Arial"/>
          <w:sz w:val="18"/>
          <w:szCs w:val="18"/>
          <w:i w:val="1"/>
          <w:iCs w:val="1"/>
          <w:color w:val="auto"/>
        </w:rPr>
        <w:t xml:space="preserve">www.virtualshareholdermeeting.com/MDB2020 </w:t>
      </w:r>
      <w:r>
        <w:rPr>
          <w:rFonts w:ascii="Arial" w:cs="Arial" w:eastAsia="Arial" w:hAnsi="Arial"/>
          <w:sz w:val="18"/>
          <w:szCs w:val="18"/>
          <w:color w:val="auto"/>
        </w:rPr>
        <w:t>or at</w:t>
      </w:r>
      <w:r>
        <w:rPr>
          <w:rFonts w:ascii="Arial" w:cs="Arial" w:eastAsia="Arial" w:hAnsi="Arial"/>
          <w:sz w:val="18"/>
          <w:szCs w:val="18"/>
          <w:i w:val="1"/>
          <w:iCs w:val="1"/>
          <w:color w:val="auto"/>
        </w:rPr>
        <w:t xml:space="preserve"> www.proxyvote.com</w:t>
      </w:r>
      <w:r>
        <w:rPr>
          <w:rFonts w:ascii="Arial" w:cs="Arial" w:eastAsia="Arial" w:hAnsi="Arial"/>
          <w:sz w:val="18"/>
          <w:szCs w:val="18"/>
          <w:color w:val="auto"/>
        </w:rPr>
        <w:t>. Technical support will be available starting at 9:45 a.m. Eastern Time on July 10,</w:t>
      </w:r>
      <w:r>
        <w:rPr>
          <w:rFonts w:ascii="Arial" w:cs="Arial" w:eastAsia="Arial" w:hAnsi="Arial"/>
          <w:sz w:val="18"/>
          <w:szCs w:val="18"/>
          <w:i w:val="1"/>
          <w:iCs w:val="1"/>
          <w:color w:val="auto"/>
        </w:rPr>
        <w:t xml:space="preserve"> </w:t>
      </w:r>
      <w:r>
        <w:rPr>
          <w:rFonts w:ascii="Arial" w:cs="Arial" w:eastAsia="Arial" w:hAnsi="Arial"/>
          <w:sz w:val="18"/>
          <w:szCs w:val="18"/>
          <w:color w:val="auto"/>
        </w:rPr>
        <w:t>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meeting?</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Only stockholders of record at the close of business on the record date, May 15, 2020, will be entitled to vote at the meeting. On this record date, there were 50,560,765 shares of Class A common stock and 7,526,304 shares of Class B common stock outstanding and entitled to vote.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on May 15, 2020, your shares were registered directly in your name with our transfer agent, American Stock Transfer &amp; Trust Company, LLC, then you are a stockholder of record. As a stockholder of record, you may vote online during the meeting or vote by proxy. Whether or not you plan to attend the meeting, we urge you to vote by proxy to ensure your vote is counted.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on May 15, 2020,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meeting. As a beneficial owner, you have the right to direct your broker or other agent regarding how to vote the shares in your account. You are also invited to attend the virtual annual meeting. Since you are not the stockholder of record, you may vote your shares online during the meeting only by following the instructions from your broker, bank or other agent.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are three matters scheduled for a vote:</w:t>
      </w:r>
    </w:p>
    <w:p>
      <w:pPr>
        <w:spacing w:after="0" w:line="225"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Proposal 1: Election of three Class III directors, each to serve until our annual meeting of stockholders in 2023;</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Proposal 2: Approval, on a non-binding advisory basis, of the compensation of our named executive officers;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Proposal 3: Ratification of the selection of PricewaterhouseCoopers LLP as our independent registered public accounting firm for the fiscal year ending January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Our board of directors knows of no other matters that will be presented for consideration at the meeting. If any other matters are properly brought before the meeting, it is the intention of the persons named in the accompanying proxy to vote on those matters in accordance with their best judgment.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319"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you are a stockholder of record, you may vote (a) online during the meeting, or (b) in advance of the meeting by proxy through the internet, over the telephone, or by using a proxy card that you may request. Whether or not you plan to attend the meeting, we urge you to vote in advance of the meeting by proxy to ensure your vote is counted. Even if you have submitted a proxy before the meeting, you may still attend online and vote during the meeting. In such case, your previously submitted proxy will be disregarded.</w:t>
      </w:r>
    </w:p>
    <w:p>
      <w:pPr>
        <w:spacing w:after="0" w:line="187" w:lineRule="exact"/>
        <w:rPr>
          <w:sz w:val="20"/>
          <w:szCs w:val="20"/>
          <w:color w:val="auto"/>
        </w:rPr>
      </w:pPr>
    </w:p>
    <w:p>
      <w:pPr>
        <w:ind w:left="980" w:hanging="324"/>
        <w:spacing w:after="0" w:line="30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To vote online during the meeting, follow the provided instructions to join the meeting at </w:t>
      </w:r>
      <w:r>
        <w:rPr>
          <w:rFonts w:ascii="Arial" w:cs="Arial" w:eastAsia="Arial" w:hAnsi="Arial"/>
          <w:sz w:val="17"/>
          <w:szCs w:val="17"/>
          <w:i w:val="1"/>
          <w:iCs w:val="1"/>
          <w:color w:val="auto"/>
        </w:rPr>
        <w:t>www.virtualshareholdermeeting.com/MDB2020,</w:t>
      </w:r>
      <w:r>
        <w:rPr>
          <w:rFonts w:ascii="Arial" w:cs="Arial" w:eastAsia="Arial" w:hAnsi="Arial"/>
          <w:sz w:val="17"/>
          <w:szCs w:val="17"/>
          <w:color w:val="auto"/>
        </w:rPr>
        <w:t xml:space="preserve"> starting at 10:00 a.m. Eastern Time on July 10, 2020. The webcast will open 15 minutes before the start of the meeting.</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To vote online before the meeting, go to </w:t>
      </w: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by telephone before the meeting, call 1-800-690-6903.</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vote by mail before the meeting, simply complete, sign and date the proxy card that you may request and return it promptly in the envelope provided.</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receive your vote by internet or phone or your signed proxy card up until 11:59 p.m. Eastern Time on July 9, 2020, the day before the meeting, we will vote your shares as you direct. To vote, you will need the control number in the Notice, on your proxy card or in the instructions that accompanied the proxy materials.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receive a Notice containing voting instructions from that organization rather than from us. Simply follow the voting instructions in the Notice to ensure that your vote is counted. To vote online during the meeting, you must follow the instructions from your broker, bank or other agent.</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Internet voting is provided to allow you to vote your shares online, with procedures designed to ensure the authenticity and correctness of your voting instructions. Please be aware that you must bear any costs associated with your internet access.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Yes. If you are a record holder of shares, you may revoke, subject to the voting deadlines above, your proxy using one of the following ways:</w:t>
      </w:r>
    </w:p>
    <w:p>
      <w:pPr>
        <w:spacing w:after="0" w:line="237"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grant a subsequent proxy by telephone or through the internet.</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our Secretary at 1633 Broadway, 38th Floor, New York, New York 10019, Attention: Secretary.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attend and vote online during the meeting. Simply attending the meeting will not, by itself, revoke your proxy.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your shares are held by your broker, bank or other agent, you should follow the instructions provided by such party.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319"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do not vote?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stockholder of record and do not vote online during the meeting, or in advance of the meeting through the internet, by telephone or by completing your proxy card, your shares will not be voted.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you are a beneficial owner and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“Non-routine” matters are matters that may substantially affect the rights or privileges of stockholders, such as mergers, stockholder proposals, elections of directors (even if not contested), executive compensation and certain corporate governance proposals, even if management-supported. Accordingly, your broker or nominee may not vote your shares on Proposal 1 or 2 without your instructions. Your broker or nominee may only vote your shares on Proposal 3 (Ratification of Auditors) in the absence of your instruction.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instruct your bank, broker or other agent to ensure that your vote will be counted.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discussed above, when a beneficial owner of shares held in “street name” does not give instructions to the broker or nominee holding the shares as to how to vote on matters deemed under stock exchange rules to be “non-routine,” the broker or nominee cannot vote the shares. These unvoted shares are counted as “broker non-votes.”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return a proxy card or otherwise vote but do not make specific choices?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return a signed and dated proxy card or otherwise vote but do not make specific choices, your shares will be voted in accordance with the recommendations of our board of directors as follows:</w:t>
      </w:r>
    </w:p>
    <w:p>
      <w:pPr>
        <w:spacing w:after="0" w:line="16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nominees for Class III director;</w:t>
      </w:r>
    </w:p>
    <w:p>
      <w:pPr>
        <w:spacing w:after="0" w:line="225"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 non-binding advisory basis, of the compensation of our named executive officers, as disclosed in this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and</w:t>
      </w:r>
    </w:p>
    <w:p>
      <w:pPr>
        <w:spacing w:after="0" w:line="161"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PricewaterhouseCoopers LLP as our independent registered public accounting firm for our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ending January 31, 2021.</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any other matter is properly presented at the meeting, your proxyholder (one of the individuals named on your proxy card) will vote your shares using his best judgment.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holder of Class A common stock will have the right to one vote per share of Class A common stock and each holder of Class B common stock will have the right to ten votes per share of Class B common stock. The holders of shares of Class A common stock and Class B common stock will vote together as a single class on all matters submitted to a vote at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5" w:lineRule="exact"/>
        <w:rPr>
          <w:sz w:val="20"/>
          <w:szCs w:val="20"/>
          <w:color w:val="auto"/>
        </w:rPr>
      </w:pPr>
    </w:p>
    <w:p>
      <w:pPr>
        <w:ind w:left="980" w:right="20" w:hanging="324"/>
        <w:spacing w:after="0" w:line="282"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Proposal 1 - Election of Directors</w:t>
      </w:r>
      <w:r>
        <w:rPr>
          <w:rFonts w:ascii="Arial" w:cs="Arial" w:eastAsia="Arial" w:hAnsi="Arial"/>
          <w:sz w:val="18"/>
          <w:szCs w:val="18"/>
          <w:color w:val="auto"/>
        </w:rPr>
        <w:t>: Each director is elected by a plurality of the votes cast. The three nominees for Class III directors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receive the highest number of </w:t>
      </w:r>
      <w:r>
        <w:rPr>
          <w:rFonts w:ascii="Arial" w:cs="Arial" w:eastAsia="Arial" w:hAnsi="Arial"/>
          <w:sz w:val="18"/>
          <w:szCs w:val="18"/>
          <w:b w:val="1"/>
          <w:bCs w:val="1"/>
          <w:color w:val="auto"/>
        </w:rPr>
        <w:t>FOR</w:t>
      </w:r>
      <w:r>
        <w:rPr>
          <w:rFonts w:ascii="Arial" w:cs="Arial" w:eastAsia="Arial" w:hAnsi="Arial"/>
          <w:sz w:val="18"/>
          <w:szCs w:val="18"/>
          <w:color w:val="auto"/>
        </w:rPr>
        <w:t xml:space="preserve"> votes will be elected.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319"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both"/>
        <w:ind w:left="980" w:hanging="324"/>
        <w:spacing w:after="0" w:line="298"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Proposal 2 - Advisory Vote on the Compensation of our Named Executive Officers</w:t>
      </w:r>
      <w:r>
        <w:rPr>
          <w:rFonts w:ascii="Arial" w:cs="Arial" w:eastAsia="Arial" w:hAnsi="Arial"/>
          <w:sz w:val="16"/>
          <w:szCs w:val="16"/>
          <w:color w:val="auto"/>
        </w:rPr>
        <w:t xml:space="preserve">: This proposal, commonly referred to as the “say-on-pay” vote, must receive </w:t>
      </w:r>
      <w:r>
        <w:rPr>
          <w:rFonts w:ascii="Arial" w:cs="Arial" w:eastAsia="Arial" w:hAnsi="Arial"/>
          <w:sz w:val="16"/>
          <w:szCs w:val="16"/>
          <w:b w:val="1"/>
          <w:bCs w:val="1"/>
          <w:color w:val="auto"/>
        </w:rPr>
        <w:t>FOR</w:t>
      </w:r>
      <w:r>
        <w:rPr>
          <w:rFonts w:ascii="Arial" w:cs="Arial" w:eastAsia="Arial" w:hAnsi="Arial"/>
          <w:sz w:val="16"/>
          <w:szCs w:val="16"/>
          <w:color w:val="auto"/>
        </w:rPr>
        <w:t xml:space="preserve"> votes from the holders of a majority in voting power of the shares present at the meeting (by virtual attendance) or represented by proxy and entitled to vote on the proposal. Since this proposal is an advisory vote, the result will not be binding on our board of directors. However, our board of directors values our stockholders’ opinions, and our board of directors and the compensation committee will take into account the outcome of the advisory vote when considering future executive compensation decisions.</w:t>
      </w:r>
    </w:p>
    <w:p>
      <w:pPr>
        <w:spacing w:after="0" w:line="153" w:lineRule="exact"/>
        <w:rPr>
          <w:rFonts w:ascii="Arial" w:cs="Arial" w:eastAsia="Arial" w:hAnsi="Arial"/>
          <w:sz w:val="16"/>
          <w:szCs w:val="16"/>
          <w:color w:val="auto"/>
        </w:rPr>
      </w:pPr>
    </w:p>
    <w:p>
      <w:pPr>
        <w:jc w:val="both"/>
        <w:ind w:left="980" w:hanging="324"/>
        <w:spacing w:after="0" w:line="266"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Proposal 3 - Ratification of Auditors</w:t>
      </w:r>
      <w:r>
        <w:rPr>
          <w:rFonts w:ascii="Arial" w:cs="Arial" w:eastAsia="Arial" w:hAnsi="Arial"/>
          <w:sz w:val="18"/>
          <w:szCs w:val="18"/>
          <w:color w:val="auto"/>
        </w:rPr>
        <w:t>: The ratification of the selection of our independent registered public accounting firm must receive</w:t>
      </w:r>
      <w:r>
        <w:rPr>
          <w:rFonts w:ascii="Arial" w:cs="Arial" w:eastAsia="Arial" w:hAnsi="Arial"/>
          <w:sz w:val="18"/>
          <w:szCs w:val="18"/>
          <w:b w:val="1"/>
          <w:bCs w:val="1"/>
          <w:color w:val="auto"/>
        </w:rPr>
        <w:t xml:space="preserve"> FOR </w:t>
      </w:r>
      <w:r>
        <w:rPr>
          <w:rFonts w:ascii="Arial" w:cs="Arial" w:eastAsia="Arial" w:hAnsi="Arial"/>
          <w:sz w:val="18"/>
          <w:szCs w:val="18"/>
          <w:color w:val="auto"/>
        </w:rPr>
        <w:t>votes from the holders of a majority in voting power of the shares present at the meeting (by virtual attendance) or represented by proxy</w:t>
      </w:r>
      <w:r>
        <w:rPr>
          <w:rFonts w:ascii="Arial" w:cs="Arial" w:eastAsia="Arial" w:hAnsi="Arial"/>
          <w:sz w:val="18"/>
          <w:szCs w:val="18"/>
          <w:b w:val="1"/>
          <w:bCs w:val="1"/>
          <w:color w:val="auto"/>
        </w:rPr>
        <w:t xml:space="preserve"> </w:t>
      </w:r>
      <w:r>
        <w:rPr>
          <w:rFonts w:ascii="Arial" w:cs="Arial" w:eastAsia="Arial" w:hAnsi="Arial"/>
          <w:sz w:val="18"/>
          <w:szCs w:val="18"/>
          <w:color w:val="auto"/>
        </w:rPr>
        <w:t>and entitled to vote on the proposal.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broker non-votes and abstentions treated?</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If your shares of voting common stock are held by a broker on your behalf, and you do not instruct the broker as to how to vote these shares on Proposal 3, the broker may exercise its discretion to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or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that proposal in the absence of your instruction. With respect to Proposals 1 and 2, the broker may not exercise discretion to vote on that proposal. Such event would constitute a “broker non-vote,” and these shares will not be counted as having been voted on the applicable proposal. However, broker non-votes will be considered present and entitled to vote at the meeting and will be counted in determining whether or not a quorum is present. Please instruct your broker so your vote can be counted.</w:t>
      </w:r>
    </w:p>
    <w:p>
      <w:pPr>
        <w:spacing w:after="0" w:line="17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If stockholders abstain from voting, the applicable shares of voting common stock will be considered present and entitled to vote at the meeting and will be counted in determining whether or not a quorum is present. With respect to Proposal 1, abstentions will have no effect in determining whether a nominee for director has received sufficient votes. With respect to Proposals 2 and 3, abstentions are considered in determining the number of votes required to obtain the necessary majority vote for the proposal and will have the same effect as voting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proposal.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counts the votes?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engaged Broadridge Financial Solutions (“Broadridge”) as our independent agent to tabulate stockholder votes. If you are a stockholder of record, and you choose to vote over the internet (either prior to or during the meeting) or by telephone, Broadridge will access and tabulate your vote electronically, and if you choose to sign and mail your proxy card, your executed proxy card is returned directly to Broadridge for tabulation. As noted above, if you hold your shares through a broker, your broker (or its agent for tabulating votes of shares held in street name, as applicable) returns one proxy card to Broadridge on behalf of all its clients.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pay for the cost of soliciting proxies. In addition to these proxy materials, our directors and employees may also solicit proxies in person, by telephone or by other means of communication. Directors and employees will not be paid additional compensation for soliciting proxies. We may reimburse brokers, banks and other agents for the cost of forwarding proxy materials to beneficial owners.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instructions on the Notices to ensure that all your shares are voted.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319"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To be considered for inclusion in next year’s proxy materials, your proposal or nomination must be submitted in writing by January 21, 2021, to our Secretary at 1633 Broadway, 38th Floor, New York, New York 10019, Attention: Secretary; provided that, if the date of next year’s meeting is earlier than June 10, 2021 or later than August 9, 2021, the deadline will be a reasonable time before we begin to print and send our proxy materials for next year’s meeting. If you wish to nominate a director or submit a proposal that you do not desire to be included in next year’s proxy materials, you must do so between March 12, 2021 and April 11, 2021; provided that if the date of that annual meeting of stockholders is earlier than June 10, 2021 or later than August 9, 2021, you must give the required notice not earlier than the 120th day prior to the meeting date and not later than the 90th day prior to the meeting date or, if later, the 10th day following the day on which public disclosure of that meeting date is first made. You are also advised to review our amended and restated bylaws, which contain additional requirements about advance notice of stockholder proposals and director nominations.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quorum of stockholders is necessary to hold a valid meeting. A quorum will be present if stockholders holding a majority of the aggregate voting power of the outstanding shares of common stock entitled to vote at the meeting are present at the meeting (by virtual attendance) or represented by proxy.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Instructions to “withhold” authority to vote in the election of directors, abstentions and broker non-votes will be counted as present for determining whether the quorum requirement has been met. If there is no quorum, the holders of a majority of the aggregate voting power of shares present at the meeting (by virtual attendance) or represented by proxy may adjourn the meeting to another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that preliminary voting results will be announced during the meeting. In addition, final voting results will be published in a current report on Form 8-K that we expect to file within four business days after the meeting.</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What does it mean if multiple members of my household are stockholders but we only received one Notice or full set of proxy materials in the mail?</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 has adopted rules that permit companies and intermediaries, such as brokers, to satisfy the delivery requirements for notices and proxy materials with respect to two or more stockholders sharing the same address by delivering a single Notice or set of proxy materials addressed to those stockholders. In accordance with a prior notice sent to certain brokers, banks, dealers or other agents, we are sending only one Notice or full set of proxy materials to those addresses with multiple stockholders unless we received contrary instructions from any stockholder at that address. This practice, known as “householding,” allows us to satisfy the requirements for delivering Notices or proxy materials with respect to two or more stockholders sharing the same address by delivering a single copy of these documents. Householding helps to reduce our printing and postage costs, reduces the amount of mail you receive and helps to preserve the environment. If you currently receive multiple copies of the Notice or proxy materials at your address and would like to request “householding” of your communications, please contact your broker. Once you have elected “householding” of your communications, “householding” will continue until you are notified otherwise or until you revoke your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319" w:right="3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affairs are managed under the direction of our board of directors. Our board of directors is responsible for advancing the interests of the stockholders by providing advice and oversight of the strategic and operational direction of MongoDB, overseeing the governance of MongoDB and reviewing our business initiatives and budget matters. To do this effectively, we have established clear and specific Corporate Governance Guidelines for our board of directors that, along with committee charters and our Code of Business Conduct and Ethics, provides the framework for the governance of MongoDB.</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Class A common stock is listed on the Nasdaq Global Market (the “Nasdaq”). Under the listing requirements and rules of the Nasdaq, independent directors must comprise a majority of our board of directors.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Our board of directors has determined that Mses. Agrawal and Cochran, and Messrs. Botha, D’Souza, Hazard, Killalea and Porter do not have any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Our board has determined that Messrs. Ittycheria and Horowitz are not independent due to their positions as executive officers of MongoDB and Mr. McMahon is not independent due to the consulting services he has provided to our sales organization and the equity compensation he previously received for these services. Our board of directors has also determined that, upon his election to the board of directors, Mr. Merriman will not be independent because of his prior employment relationship with the company.</w:t>
      </w:r>
    </w:p>
    <w:p>
      <w:pPr>
        <w:spacing w:after="0" w:line="1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Accordingly, a majority of our directors are independent, as required under applicable Nasdaq rules. In making this determination, our board of directors considered the applicable Nasdaq rules and the current and prior relationships that each non-employee director has with our company and all other facts and circumstances our board of directors deemed relevant in determining their independence, including their beneficial ownership of our capital stock.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According to our Corporate Governance Guidelines, it is expected that the roles of Chairperson and Chief Executive Officer are separate and will not be occupied by the same person. Mr. Killalea currently serves as Chairperson of our board of directors. The Chairperson of our board of directors has the following responsibilities:</w:t>
      </w:r>
    </w:p>
    <w:p>
      <w:pPr>
        <w:spacing w:after="0" w:line="184"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work with the President and Chief Executive Officer to develop and approve an appropriate meeting schedule for our board of directors;</w:t>
      </w:r>
    </w:p>
    <w:p>
      <w:pPr>
        <w:spacing w:after="0" w:line="19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 with the President and Chief Executive Officer to develop and approve meeting agendas for our board of directors;</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the President and Chief Executive Officer feedback on the quality, quantity and timeliness of the information provided to our board of directors;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the agenda and moderate executive sessions of the independent members of our board of directors;</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preside over meetings of our board of directors when the President and Chief Executive Officer is not present or when our board of directors’ or President and Chief Executive Officer’s performance is discussed;</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act as principal liaison between the independent members of our board of directors and the President and Chief Executive Officer;</w:t>
      </w:r>
    </w:p>
    <w:p>
      <w:pPr>
        <w:spacing w:after="0" w:line="196"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convene meetings of the independent directors as appropriate;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 available for consultation and direct communication with stockholders as deemed appropriate; 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319" w:right="3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 other duties as our board of directors may determine from time to time.</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believes that the current board leadership structure, coupled with a strong emphasis on board independence, provides effective independent oversight of management while allowing the board of directors and management to benefit from the extensive executive leadership and operational experience of Messrs. Ittycheria and Horowitz. Non-employee directors and management sometimes have different perspectives and roles in strategy development. Our non-employee directors bring experience, oversight and expertise from outside of our company, while Messrs. Ittycheria and Horowitz bring company-specific experience and expertise.</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further promote strong board leadership and corporate governance, we conduct annual self-evaluations of our board of directors and committees, which are overseen by our Chairperson and our nominating and corporate governance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a company faces and what steps management is taking to manage those risks, but also understanding what level of risk is appropriate for a given company. The involvement of our full board of directors in reviewing our business is an integral aspect of its assessment of management’s tolerance for risk and also its determination of what constitutes an appropriate level of risk.</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audit committee has the responsibility to consider and discuss our major financial and security risk exposures and the steps our management has taken to monitor and control these exposures, including guidelines and policies to govern the process by which risk assessment and management is undertaken. Our audit committee also monitors compliance with legal and regulatory requirements. Our audit committee further oversees initiatives related to cybersecurity, including prevention of attacks and monitoring of our systems. The board of directors and audit committee appreciate the rapidly evolving nature of threats presented by cybersecurity incidents and are committed to the prevention, timely detection and mitigation of the effects of such incidents on MongoDB. In addition, among other matters, management provides our audit committee periodic reports on our compliance programs and investment policy and practices.</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compensation committee assesses and monitors whether any of our compensation policies and programs has the potential to encourage excessive risk-taking.</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nominating and corporate governance committee monitors the effectiveness of our Corporate Governance Guidelines, including whether they are successful in preventing illegal or improper liability-creating conduct. The nominating and corporate governance committee also assists the board of directors in monitoring our governance and succession risks.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its reviews of the operations of our business, our full board of directors addresses the primary risks associated with our business including, for example, strategic planning, liquidity risk and operational risk. In addition, our board of directors provides oversight of and monitors management’s response to emerging risks and their potential impact on our business. For example, our board has received regular updates from the management team on the rapidly evolving COVID-19 pandemic and is involved in strategic decisions related to the potential impact of the COVID-19 pandemic on our business and risk mitigation strategies.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periodic meetings of our board of directors and its committees, management reports to and seeks guidance from our board and its committees with respect to the most significant risks that could affect our business, such as competition risks, legal risks, information security and privacy risks, and financial, tax and audit related risks.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319" w:right="3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 Attendance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meets periodically during the year to review significant developments affecting us and to act on matters requiring the approval of our board of directors. Our board of directors met six times during our last fiscal year, of which each director attended at least 75% of the aggregate number of meetings of the board of directors and of the committees on which he or she served, held during the portion of the last fiscal year for which he or she was a director or committee member. We encourage our directors and nominees for director to attend our annual meeting of stockholders. Five of our directors attended our 2019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Our board of directors has established an audit committee, a compensation committee and a nominating and corporate governance committee. Our board of directors may establish other committees to facilitate the management of our business. Copies of the charters of each committee are available in the “Corporate Governance” section of our investor relations website at </w:t>
      </w:r>
      <w:r>
        <w:rPr>
          <w:rFonts w:ascii="Arial" w:cs="Arial" w:eastAsia="Arial" w:hAnsi="Arial"/>
          <w:sz w:val="18"/>
          <w:szCs w:val="18"/>
          <w:i w:val="1"/>
          <w:iCs w:val="1"/>
          <w:color w:val="auto"/>
        </w:rPr>
        <w:t>investors.mongodb.com.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 Membership as of May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240030</wp:posOffset>
            </wp:positionV>
            <wp:extent cx="7115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2400" w:type="dxa"/>
            <w:vAlign w:val="bottom"/>
          </w:tcPr>
          <w:p>
            <w:pPr>
              <w:ind w:left="1020"/>
              <w:spacing w:after="0"/>
              <w:rPr>
                <w:sz w:val="20"/>
                <w:szCs w:val="20"/>
                <w:color w:val="auto"/>
              </w:rPr>
            </w:pPr>
            <w:r>
              <w:rPr>
                <w:rFonts w:ascii="Arial" w:cs="Arial" w:eastAsia="Arial" w:hAnsi="Arial"/>
                <w:sz w:val="18"/>
                <w:szCs w:val="18"/>
                <w:b w:val="1"/>
                <w:bCs w:val="1"/>
                <w:color w:val="auto"/>
              </w:rPr>
              <w:t>Audit</w:t>
            </w:r>
          </w:p>
        </w:tc>
        <w:tc>
          <w:tcPr>
            <w:tcW w:w="2620" w:type="dxa"/>
            <w:vAlign w:val="bottom"/>
          </w:tcPr>
          <w:p>
            <w:pPr>
              <w:jc w:val="center"/>
              <w:ind w:left="330"/>
              <w:spacing w:after="0"/>
              <w:rPr>
                <w:sz w:val="20"/>
                <w:szCs w:val="20"/>
                <w:color w:val="auto"/>
              </w:rPr>
            </w:pPr>
            <w:r>
              <w:rPr>
                <w:rFonts w:ascii="Arial" w:cs="Arial" w:eastAsia="Arial" w:hAnsi="Arial"/>
                <w:sz w:val="18"/>
                <w:szCs w:val="18"/>
                <w:b w:val="1"/>
                <w:bCs w:val="1"/>
                <w:color w:val="auto"/>
                <w:w w:val="89"/>
              </w:rPr>
              <w:t>Compensation</w:t>
            </w:r>
          </w:p>
        </w:tc>
        <w:tc>
          <w:tcPr>
            <w:tcW w:w="2920" w:type="dxa"/>
            <w:vAlign w:val="bottom"/>
          </w:tcPr>
          <w:p>
            <w:pPr>
              <w:jc w:val="center"/>
              <w:ind w:left="146"/>
              <w:spacing w:after="0"/>
              <w:rPr>
                <w:sz w:val="20"/>
                <w:szCs w:val="20"/>
                <w:color w:val="auto"/>
              </w:rPr>
            </w:pPr>
            <w:r>
              <w:rPr>
                <w:rFonts w:ascii="Arial" w:cs="Arial" w:eastAsia="Arial" w:hAnsi="Arial"/>
                <w:sz w:val="18"/>
                <w:szCs w:val="18"/>
                <w:b w:val="1"/>
                <w:bCs w:val="1"/>
                <w:color w:val="auto"/>
                <w:w w:val="91"/>
              </w:rPr>
              <w:t>Nominating and Corporate</w:t>
            </w:r>
          </w:p>
        </w:tc>
      </w:tr>
      <w:tr>
        <w:trPr>
          <w:trHeight w:val="234"/>
        </w:trPr>
        <w:tc>
          <w:tcPr>
            <w:tcW w:w="326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920" w:type="dxa"/>
            <w:vAlign w:val="bottom"/>
          </w:tcPr>
          <w:p>
            <w:pPr>
              <w:jc w:val="center"/>
              <w:ind w:left="146"/>
              <w:spacing w:after="0"/>
              <w:rPr>
                <w:sz w:val="20"/>
                <w:szCs w:val="20"/>
                <w:color w:val="auto"/>
              </w:rPr>
            </w:pPr>
            <w:r>
              <w:rPr>
                <w:rFonts w:ascii="Arial" w:cs="Arial" w:eastAsia="Arial" w:hAnsi="Arial"/>
                <w:sz w:val="18"/>
                <w:szCs w:val="18"/>
                <w:b w:val="1"/>
                <w:bCs w:val="1"/>
                <w:color w:val="auto"/>
                <w:w w:val="88"/>
              </w:rPr>
              <w:t>Governance</w:t>
            </w:r>
          </w:p>
        </w:tc>
      </w:tr>
      <w:tr>
        <w:trPr>
          <w:trHeight w:val="27"/>
        </w:trPr>
        <w:tc>
          <w:tcPr>
            <w:tcW w:w="3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64"/>
        </w:trPr>
        <w:tc>
          <w:tcPr>
            <w:tcW w:w="3260" w:type="dxa"/>
            <w:vAlign w:val="bottom"/>
            <w:tcBorders>
              <w:bottom w:val="single" w:sz="8" w:color="auto"/>
            </w:tcBorders>
            <w:shd w:val="clear" w:color="auto" w:fill="CCEEFF"/>
          </w:tcPr>
          <w:p>
            <w:pPr>
              <w:ind w:left="20"/>
              <w:spacing w:after="0" w:line="263" w:lineRule="exact"/>
              <w:rPr>
                <w:sz w:val="20"/>
                <w:szCs w:val="20"/>
                <w:color w:val="auto"/>
              </w:rPr>
            </w:pPr>
            <w:r>
              <w:rPr>
                <w:rFonts w:ascii="Arial" w:cs="Arial" w:eastAsia="Arial" w:hAnsi="Arial"/>
                <w:sz w:val="18"/>
                <w:szCs w:val="18"/>
                <w:color w:val="auto"/>
              </w:rPr>
              <w:t>Archana Agrawal</w:t>
            </w:r>
            <w:r>
              <w:rPr>
                <w:rFonts w:ascii="Arial" w:cs="Arial" w:eastAsia="Arial" w:hAnsi="Arial"/>
                <w:sz w:val="25"/>
                <w:szCs w:val="25"/>
                <w:color w:val="auto"/>
                <w:vertAlign w:val="superscript"/>
              </w:rPr>
              <w:t>(1)</w:t>
            </w:r>
          </w:p>
        </w:tc>
        <w:tc>
          <w:tcPr>
            <w:tcW w:w="2400" w:type="dxa"/>
            <w:vAlign w:val="bottom"/>
            <w:tcBorders>
              <w:bottom w:val="single" w:sz="8" w:color="auto"/>
            </w:tcBorders>
            <w:shd w:val="clear" w:color="auto" w:fill="CCEEFF"/>
          </w:tcPr>
          <w:p>
            <w:pPr>
              <w:spacing w:after="0"/>
              <w:rPr>
                <w:sz w:val="22"/>
                <w:szCs w:val="22"/>
                <w:color w:val="auto"/>
              </w:rPr>
            </w:pPr>
          </w:p>
        </w:tc>
        <w:tc>
          <w:tcPr>
            <w:tcW w:w="262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79"/>
              </w:rPr>
              <w:t>ü</w:t>
            </w:r>
          </w:p>
        </w:tc>
        <w:tc>
          <w:tcPr>
            <w:tcW w:w="2920" w:type="dxa"/>
            <w:vAlign w:val="bottom"/>
            <w:tcBorders>
              <w:bottom w:val="single" w:sz="8" w:color="auto"/>
            </w:tcBorders>
            <w:shd w:val="clear" w:color="auto" w:fill="CCEEFF"/>
          </w:tcPr>
          <w:p>
            <w:pPr>
              <w:spacing w:after="0"/>
              <w:rPr>
                <w:sz w:val="22"/>
                <w:szCs w:val="22"/>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Roelof Botha</w:t>
            </w:r>
          </w:p>
        </w:tc>
        <w:tc>
          <w:tcPr>
            <w:tcW w:w="2400" w:type="dxa"/>
            <w:vAlign w:val="bottom"/>
          </w:tcPr>
          <w:p>
            <w:pPr>
              <w:ind w:left="1180"/>
              <w:spacing w:after="0"/>
              <w:rPr>
                <w:sz w:val="20"/>
                <w:szCs w:val="20"/>
                <w:color w:val="auto"/>
              </w:rPr>
            </w:pPr>
            <w:r>
              <w:rPr>
                <w:rFonts w:ascii="Arial" w:cs="Arial" w:eastAsia="Arial" w:hAnsi="Arial"/>
                <w:sz w:val="18"/>
                <w:szCs w:val="18"/>
                <w:color w:val="auto"/>
              </w:rPr>
              <w:t>ü</w:t>
            </w:r>
          </w:p>
        </w:tc>
        <w:tc>
          <w:tcPr>
            <w:tcW w:w="26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63"/>
        </w:trPr>
        <w:tc>
          <w:tcPr>
            <w:tcW w:w="3260" w:type="dxa"/>
            <w:vAlign w:val="bottom"/>
            <w:tcBorders>
              <w:bottom w:val="single" w:sz="8" w:color="auto"/>
            </w:tcBorders>
            <w:shd w:val="clear" w:color="auto" w:fill="CCEEFF"/>
          </w:tcPr>
          <w:p>
            <w:pPr>
              <w:ind w:left="20"/>
              <w:spacing w:after="0" w:line="263" w:lineRule="exact"/>
              <w:rPr>
                <w:sz w:val="20"/>
                <w:szCs w:val="20"/>
                <w:color w:val="auto"/>
              </w:rPr>
            </w:pPr>
            <w:r>
              <w:rPr>
                <w:rFonts w:ascii="Arial" w:cs="Arial" w:eastAsia="Arial" w:hAnsi="Arial"/>
                <w:sz w:val="18"/>
                <w:szCs w:val="18"/>
                <w:color w:val="auto"/>
              </w:rPr>
              <w:t>Hope Cochran</w:t>
            </w:r>
            <w:r>
              <w:rPr>
                <w:rFonts w:ascii="Arial" w:cs="Arial" w:eastAsia="Arial" w:hAnsi="Arial"/>
                <w:sz w:val="25"/>
                <w:szCs w:val="25"/>
                <w:color w:val="auto"/>
                <w:vertAlign w:val="superscript"/>
              </w:rPr>
              <w:t>(2)</w:t>
            </w:r>
          </w:p>
        </w:tc>
        <w:tc>
          <w:tcPr>
            <w:tcW w:w="2400" w:type="dxa"/>
            <w:vAlign w:val="bottom"/>
            <w:tcBorders>
              <w:bottom w:val="single" w:sz="8" w:color="auto"/>
            </w:tcBorders>
            <w:shd w:val="clear" w:color="auto" w:fill="CCEEFF"/>
          </w:tcPr>
          <w:p>
            <w:pPr>
              <w:spacing w:after="0"/>
              <w:rPr>
                <w:sz w:val="22"/>
                <w:szCs w:val="22"/>
                <w:color w:val="auto"/>
              </w:rPr>
            </w:pPr>
          </w:p>
        </w:tc>
        <w:tc>
          <w:tcPr>
            <w:tcW w:w="2620" w:type="dxa"/>
            <w:vAlign w:val="bottom"/>
            <w:tcBorders>
              <w:bottom w:val="single" w:sz="8" w:color="auto"/>
            </w:tcBorders>
            <w:shd w:val="clear" w:color="auto" w:fill="CCEEFF"/>
          </w:tcPr>
          <w:p>
            <w:pPr>
              <w:jc w:val="center"/>
              <w:ind w:left="330"/>
              <w:spacing w:after="0"/>
              <w:rPr>
                <w:sz w:val="20"/>
                <w:szCs w:val="20"/>
                <w:color w:val="auto"/>
              </w:rPr>
            </w:pPr>
            <w:r>
              <w:rPr>
                <w:rFonts w:ascii="Arial" w:cs="Arial" w:eastAsia="Arial" w:hAnsi="Arial"/>
                <w:sz w:val="18"/>
                <w:szCs w:val="18"/>
                <w:color w:val="auto"/>
                <w:w w:val="79"/>
              </w:rPr>
              <w:t>ü</w:t>
            </w:r>
          </w:p>
        </w:tc>
        <w:tc>
          <w:tcPr>
            <w:tcW w:w="2920" w:type="dxa"/>
            <w:vAlign w:val="bottom"/>
            <w:tcBorders>
              <w:bottom w:val="single" w:sz="8" w:color="auto"/>
            </w:tcBorders>
            <w:shd w:val="clear" w:color="auto" w:fill="CCEEFF"/>
          </w:tcPr>
          <w:p>
            <w:pPr>
              <w:spacing w:after="0"/>
              <w:rPr>
                <w:sz w:val="22"/>
                <w:szCs w:val="22"/>
                <w:color w:val="auto"/>
              </w:rPr>
            </w:pPr>
          </w:p>
        </w:tc>
      </w:tr>
      <w:tr>
        <w:trPr>
          <w:trHeight w:val="263"/>
        </w:trPr>
        <w:tc>
          <w:tcPr>
            <w:tcW w:w="3260" w:type="dxa"/>
            <w:vAlign w:val="bottom"/>
            <w:tcBorders>
              <w:bottom w:val="single" w:sz="8" w:color="auto"/>
            </w:tcBorders>
          </w:tcPr>
          <w:p>
            <w:pPr>
              <w:ind w:left="20"/>
              <w:spacing w:after="0" w:line="263" w:lineRule="exact"/>
              <w:rPr>
                <w:sz w:val="20"/>
                <w:szCs w:val="20"/>
                <w:color w:val="auto"/>
              </w:rPr>
            </w:pPr>
            <w:r>
              <w:rPr>
                <w:rFonts w:ascii="Arial" w:cs="Arial" w:eastAsia="Arial" w:hAnsi="Arial"/>
                <w:sz w:val="18"/>
                <w:szCs w:val="18"/>
                <w:color w:val="auto"/>
              </w:rPr>
              <w:t>Francisco D’Souza</w:t>
            </w:r>
            <w:r>
              <w:rPr>
                <w:rFonts w:ascii="Arial" w:cs="Arial" w:eastAsia="Arial" w:hAnsi="Arial"/>
                <w:sz w:val="25"/>
                <w:szCs w:val="25"/>
                <w:color w:val="auto"/>
                <w:vertAlign w:val="superscript"/>
              </w:rPr>
              <w:t>(3)</w:t>
            </w:r>
          </w:p>
        </w:tc>
        <w:tc>
          <w:tcPr>
            <w:tcW w:w="240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79"/>
              </w:rPr>
              <w:t>ü</w:t>
            </w:r>
          </w:p>
        </w:tc>
        <w:tc>
          <w:tcPr>
            <w:tcW w:w="2920" w:type="dxa"/>
            <w:vAlign w:val="bottom"/>
            <w:tcBorders>
              <w:bottom w:val="single" w:sz="8" w:color="auto"/>
            </w:tcBorders>
          </w:tcPr>
          <w:p>
            <w:pPr>
              <w:jc w:val="center"/>
              <w:ind w:left="146"/>
              <w:spacing w:after="0"/>
              <w:rPr>
                <w:sz w:val="20"/>
                <w:szCs w:val="20"/>
                <w:color w:val="auto"/>
              </w:rPr>
            </w:pPr>
            <w:r>
              <w:rPr>
                <w:rFonts w:ascii="Arial" w:cs="Arial" w:eastAsia="Arial" w:hAnsi="Arial"/>
                <w:sz w:val="18"/>
                <w:szCs w:val="18"/>
                <w:color w:val="auto"/>
                <w:w w:val="79"/>
              </w:rPr>
              <w:t>ü</w:t>
            </w:r>
          </w:p>
        </w:tc>
      </w:tr>
      <w:tr>
        <w:trPr>
          <w:trHeight w:val="291"/>
        </w:trPr>
        <w:tc>
          <w:tcPr>
            <w:tcW w:w="3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Charles M. Hazard, Jr.</w:t>
            </w:r>
            <w:r>
              <w:rPr>
                <w:rFonts w:ascii="Arial" w:cs="Arial" w:eastAsia="Arial" w:hAnsi="Arial"/>
                <w:sz w:val="25"/>
                <w:szCs w:val="25"/>
                <w:color w:val="auto"/>
                <w:vertAlign w:val="superscript"/>
              </w:rPr>
              <w:t>(4)</w:t>
            </w:r>
          </w:p>
        </w:tc>
        <w:tc>
          <w:tcPr>
            <w:tcW w:w="240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22"/>
                <w:szCs w:val="22"/>
                <w:color w:val="222222"/>
              </w:rPr>
              <w:t>ü</w:t>
            </w:r>
          </w:p>
        </w:tc>
        <w:tc>
          <w:tcPr>
            <w:tcW w:w="2620" w:type="dxa"/>
            <w:vAlign w:val="bottom"/>
            <w:tcBorders>
              <w:bottom w:val="single" w:sz="8" w:color="auto"/>
            </w:tcBorders>
            <w:shd w:val="clear" w:color="auto" w:fill="CCEEFF"/>
          </w:tcPr>
          <w:p>
            <w:pPr>
              <w:spacing w:after="0"/>
              <w:rPr>
                <w:sz w:val="24"/>
                <w:szCs w:val="24"/>
                <w:color w:val="auto"/>
              </w:rPr>
            </w:pPr>
          </w:p>
        </w:tc>
        <w:tc>
          <w:tcPr>
            <w:tcW w:w="2920" w:type="dxa"/>
            <w:vAlign w:val="bottom"/>
            <w:tcBorders>
              <w:bottom w:val="single" w:sz="8" w:color="auto"/>
            </w:tcBorders>
            <w:shd w:val="clear" w:color="auto" w:fill="CCEEFF"/>
          </w:tcPr>
          <w:p>
            <w:pPr>
              <w:spacing w:after="0"/>
              <w:rPr>
                <w:sz w:val="24"/>
                <w:szCs w:val="24"/>
                <w:color w:val="auto"/>
              </w:rPr>
            </w:pPr>
          </w:p>
        </w:tc>
      </w:tr>
      <w:tr>
        <w:trPr>
          <w:trHeight w:val="237"/>
        </w:trPr>
        <w:tc>
          <w:tcPr>
            <w:tcW w:w="3260" w:type="dxa"/>
            <w:vAlign w:val="bottom"/>
          </w:tcPr>
          <w:p>
            <w:pPr>
              <w:ind w:left="20"/>
              <w:spacing w:after="0"/>
              <w:rPr>
                <w:sz w:val="20"/>
                <w:szCs w:val="20"/>
                <w:color w:val="auto"/>
              </w:rPr>
            </w:pPr>
            <w:r>
              <w:rPr>
                <w:rFonts w:ascii="Arial" w:cs="Arial" w:eastAsia="Arial" w:hAnsi="Arial"/>
                <w:sz w:val="18"/>
                <w:szCs w:val="18"/>
                <w:color w:val="auto"/>
              </w:rPr>
              <w:t>Eliot Horowitz</w:t>
            </w:r>
          </w:p>
        </w:tc>
        <w:tc>
          <w:tcPr>
            <w:tcW w:w="24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6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 Ittycheria</w:t>
            </w:r>
          </w:p>
        </w:tc>
        <w:tc>
          <w:tcPr>
            <w:tcW w:w="24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2920" w:type="dxa"/>
            <w:vAlign w:val="bottom"/>
            <w:tcBorders>
              <w:bottom w:val="single" w:sz="8" w:color="CCEEFF"/>
            </w:tcBorders>
            <w:shd w:val="clear" w:color="auto" w:fill="CCEEFF"/>
          </w:tcPr>
          <w:p>
            <w:pPr>
              <w:spacing w:after="0"/>
              <w:rPr>
                <w:sz w:val="22"/>
                <w:szCs w:val="22"/>
                <w:color w:val="auto"/>
              </w:rPr>
            </w:pPr>
          </w:p>
        </w:tc>
      </w:tr>
      <w:tr>
        <w:trPr>
          <w:trHeight w:val="284"/>
        </w:trPr>
        <w:tc>
          <w:tcPr>
            <w:tcW w:w="3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Tom Killalea</w:t>
            </w:r>
          </w:p>
        </w:tc>
        <w:tc>
          <w:tcPr>
            <w:tcW w:w="2400" w:type="dxa"/>
            <w:vAlign w:val="bottom"/>
            <w:tcBorders>
              <w:top w:val="single" w:sz="8" w:color="auto"/>
              <w:bottom w:val="single" w:sz="8" w:color="auto"/>
            </w:tcBorders>
          </w:tcPr>
          <w:p>
            <w:pPr>
              <w:spacing w:after="0"/>
              <w:rPr>
                <w:sz w:val="24"/>
                <w:szCs w:val="24"/>
                <w:color w:val="auto"/>
              </w:rPr>
            </w:pPr>
          </w:p>
        </w:tc>
        <w:tc>
          <w:tcPr>
            <w:tcW w:w="2620" w:type="dxa"/>
            <w:vAlign w:val="bottom"/>
            <w:tcBorders>
              <w:top w:val="single" w:sz="8" w:color="auto"/>
              <w:bottom w:val="single" w:sz="8" w:color="auto"/>
            </w:tcBorders>
          </w:tcPr>
          <w:p>
            <w:pPr>
              <w:spacing w:after="0"/>
              <w:rPr>
                <w:sz w:val="24"/>
                <w:szCs w:val="24"/>
                <w:color w:val="auto"/>
              </w:rPr>
            </w:pPr>
          </w:p>
        </w:tc>
        <w:tc>
          <w:tcPr>
            <w:tcW w:w="2920" w:type="dxa"/>
            <w:vAlign w:val="bottom"/>
            <w:tcBorders>
              <w:top w:val="single" w:sz="8" w:color="auto"/>
              <w:bottom w:val="single" w:sz="8" w:color="auto"/>
            </w:tcBorders>
          </w:tcPr>
          <w:p>
            <w:pPr>
              <w:ind w:left="1560"/>
              <w:spacing w:after="0"/>
              <w:rPr>
                <w:sz w:val="20"/>
                <w:szCs w:val="20"/>
                <w:color w:val="auto"/>
              </w:rPr>
            </w:pPr>
            <w:r>
              <w:rPr>
                <w:rFonts w:ascii="Arial" w:cs="Arial" w:eastAsia="Arial" w:hAnsi="Arial"/>
                <w:sz w:val="22"/>
                <w:szCs w:val="22"/>
                <w:color w:val="222222"/>
              </w:rPr>
              <w:t>ü</w:t>
            </w:r>
          </w:p>
        </w:tc>
      </w:tr>
      <w:tr>
        <w:trPr>
          <w:trHeight w:val="275"/>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John McMahon</w:t>
            </w:r>
          </w:p>
        </w:tc>
        <w:tc>
          <w:tcPr>
            <w:tcW w:w="24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spacing w:after="0"/>
              <w:rPr>
                <w:sz w:val="23"/>
                <w:szCs w:val="23"/>
                <w:color w:val="auto"/>
              </w:rPr>
            </w:pPr>
          </w:p>
        </w:tc>
        <w:tc>
          <w:tcPr>
            <w:tcW w:w="2920" w:type="dxa"/>
            <w:vAlign w:val="bottom"/>
            <w:tcBorders>
              <w:bottom w:val="single" w:sz="8" w:color="CCEEFF"/>
            </w:tcBorders>
            <w:shd w:val="clear" w:color="auto" w:fill="CCEEFF"/>
          </w:tcPr>
          <w:p>
            <w:pPr>
              <w:spacing w:after="0"/>
              <w:rPr>
                <w:sz w:val="23"/>
                <w:szCs w:val="23"/>
                <w:color w:val="auto"/>
              </w:rPr>
            </w:pPr>
          </w:p>
        </w:tc>
      </w:tr>
      <w:tr>
        <w:trPr>
          <w:trHeight w:val="236"/>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Mark Porter</w:t>
            </w:r>
          </w:p>
        </w:tc>
        <w:tc>
          <w:tcPr>
            <w:tcW w:w="2400" w:type="dxa"/>
            <w:vAlign w:val="bottom"/>
            <w:tcBorders>
              <w:top w:val="single" w:sz="8" w:color="auto"/>
            </w:tcBorders>
          </w:tcPr>
          <w:p>
            <w:pPr>
              <w:spacing w:after="0"/>
              <w:rPr>
                <w:sz w:val="20"/>
                <w:szCs w:val="20"/>
                <w:color w:val="auto"/>
              </w:rPr>
            </w:pPr>
          </w:p>
        </w:tc>
        <w:tc>
          <w:tcPr>
            <w:tcW w:w="2620" w:type="dxa"/>
            <w:vAlign w:val="bottom"/>
            <w:tcBorders>
              <w:top w:val="single" w:sz="8" w:color="auto"/>
            </w:tcBorders>
          </w:tcPr>
          <w:p>
            <w:pPr>
              <w:spacing w:after="0"/>
              <w:rPr>
                <w:sz w:val="20"/>
                <w:szCs w:val="20"/>
                <w:color w:val="auto"/>
              </w:rPr>
            </w:pPr>
          </w:p>
        </w:tc>
        <w:tc>
          <w:tcPr>
            <w:tcW w:w="2920" w:type="dxa"/>
            <w:vAlign w:val="bottom"/>
            <w:tcBorders>
              <w:top w:val="single" w:sz="8" w:color="auto"/>
            </w:tcBorders>
          </w:tcPr>
          <w:p>
            <w:pPr>
              <w:spacing w:after="0"/>
              <w:rPr>
                <w:sz w:val="20"/>
                <w:szCs w:val="20"/>
                <w:color w:val="auto"/>
              </w:rPr>
            </w:pPr>
          </w:p>
        </w:tc>
      </w:tr>
      <w:tr>
        <w:trPr>
          <w:trHeight w:val="27"/>
        </w:trPr>
        <w:tc>
          <w:tcPr>
            <w:tcW w:w="32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r>
      <w:tr>
        <w:trPr>
          <w:trHeight w:val="243"/>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Number of FY2020 Meetings</w:t>
            </w:r>
          </w:p>
        </w:tc>
        <w:tc>
          <w:tcPr>
            <w:tcW w:w="24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b w:val="1"/>
                <w:bCs w:val="1"/>
                <w:color w:val="auto"/>
              </w:rPr>
              <w:t>7</w:t>
            </w:r>
          </w:p>
        </w:tc>
        <w:tc>
          <w:tcPr>
            <w:tcW w:w="2620" w:type="dxa"/>
            <w:vAlign w:val="bottom"/>
            <w:tcBorders>
              <w:bottom w:val="single" w:sz="8" w:color="CCEEFF"/>
            </w:tcBorders>
            <w:shd w:val="clear" w:color="auto" w:fill="CCEEFF"/>
          </w:tcPr>
          <w:p>
            <w:pPr>
              <w:jc w:val="center"/>
              <w:ind w:left="330"/>
              <w:spacing w:after="0"/>
              <w:rPr>
                <w:sz w:val="20"/>
                <w:szCs w:val="20"/>
                <w:color w:val="auto"/>
              </w:rPr>
            </w:pPr>
            <w:r>
              <w:rPr>
                <w:rFonts w:ascii="Arial" w:cs="Arial" w:eastAsia="Arial" w:hAnsi="Arial"/>
                <w:sz w:val="18"/>
                <w:szCs w:val="18"/>
                <w:b w:val="1"/>
                <w:bCs w:val="1"/>
                <w:color w:val="auto"/>
                <w:w w:val="79"/>
              </w:rPr>
              <w:t>6</w:t>
            </w:r>
          </w:p>
        </w:tc>
        <w:tc>
          <w:tcPr>
            <w:tcW w:w="2920" w:type="dxa"/>
            <w:vAlign w:val="bottom"/>
            <w:tcBorders>
              <w:bottom w:val="single" w:sz="8" w:color="CCEEFF"/>
            </w:tcBorders>
            <w:shd w:val="clear" w:color="auto" w:fill="CCEEFF"/>
          </w:tcPr>
          <w:p>
            <w:pPr>
              <w:jc w:val="center"/>
              <w:ind w:left="146"/>
              <w:spacing w:after="0"/>
              <w:rPr>
                <w:sz w:val="20"/>
                <w:szCs w:val="20"/>
                <w:color w:val="auto"/>
              </w:rPr>
            </w:pPr>
            <w:r>
              <w:rPr>
                <w:rFonts w:ascii="Arial" w:cs="Arial" w:eastAsia="Arial" w:hAnsi="Arial"/>
                <w:sz w:val="18"/>
                <w:szCs w:val="18"/>
                <w:b w:val="1"/>
                <w:bCs w:val="1"/>
                <w:color w:val="auto"/>
                <w:w w:val="79"/>
              </w:rPr>
              <w:t>4</w:t>
            </w:r>
          </w:p>
        </w:tc>
      </w:tr>
      <w:tr>
        <w:trPr>
          <w:trHeight w:val="20"/>
        </w:trPr>
        <w:tc>
          <w:tcPr>
            <w:tcW w:w="326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-1637030</wp:posOffset>
            </wp:positionV>
            <wp:extent cx="11112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137160"/>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-1259840</wp:posOffset>
            </wp:positionV>
            <wp:extent cx="1117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13716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-702310</wp:posOffset>
            </wp:positionV>
            <wp:extent cx="1117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760" cy="137160"/>
                    </a:xfrm>
                    <a:prstGeom prst="rect">
                      <a:avLst/>
                    </a:prstGeom>
                    <a:noFill/>
                  </pic:spPr>
                </pic:pic>
              </a:graphicData>
            </a:graphic>
          </wp:anchor>
        </w:drawing>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-121920</wp:posOffset>
            </wp:positionV>
            <wp:extent cx="10287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43" w:lineRule="exact"/>
        <w:rPr>
          <w:sz w:val="20"/>
          <w:szCs w:val="20"/>
          <w:color w:val="auto"/>
        </w:rPr>
      </w:pPr>
    </w:p>
    <w:p>
      <w:pPr>
        <w:ind w:left="600" w:hanging="565"/>
        <w:spacing w:after="0"/>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w:t>
      </w:r>
    </w:p>
    <w:p>
      <w:pPr>
        <w:spacing w:after="0" w:line="6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4"/>
          <w:szCs w:val="14"/>
          <w:color w:val="auto"/>
        </w:rPr>
        <w:t>Ms. Agrawal was appointed to our compensation committee as of August 29, 2019.</w:t>
      </w:r>
    </w:p>
    <w:p>
      <w:pPr>
        <w:spacing w:after="0" w:line="123" w:lineRule="exact"/>
        <w:rPr>
          <w:rFonts w:ascii="Arial" w:cs="Arial" w:eastAsia="Arial" w:hAnsi="Arial"/>
          <w:sz w:val="25"/>
          <w:szCs w:val="25"/>
          <w:color w:val="auto"/>
          <w:vertAlign w:val="superscript"/>
        </w:rPr>
      </w:pPr>
    </w:p>
    <w:p>
      <w:pPr>
        <w:ind w:left="340" w:hanging="332"/>
        <w:spacing w:after="0" w:line="181" w:lineRule="auto"/>
        <w:tabs>
          <w:tab w:leader="none" w:pos="340" w:val="left"/>
        </w:tabs>
        <w:numPr>
          <w:ilvl w:val="0"/>
          <w:numId w:val="19"/>
        </w:numPr>
        <w:rPr>
          <w:rFonts w:ascii="Arial" w:cs="Arial" w:eastAsia="Arial" w:hAnsi="Arial"/>
          <w:sz w:val="23"/>
          <w:szCs w:val="23"/>
          <w:color w:val="auto"/>
          <w:vertAlign w:val="superscript"/>
        </w:rPr>
      </w:pPr>
      <w:r>
        <w:rPr>
          <w:rFonts w:ascii="Arial" w:cs="Arial" w:eastAsia="Arial" w:hAnsi="Arial"/>
          <w:sz w:val="13"/>
          <w:szCs w:val="13"/>
          <w:color w:val="auto"/>
        </w:rPr>
        <w:t>Ms. Cochran was appointed to our compensation committee as of March 7, 2019.</w:t>
      </w:r>
    </w:p>
    <w:p>
      <w:pPr>
        <w:spacing w:after="0" w:line="142" w:lineRule="exact"/>
        <w:rPr>
          <w:rFonts w:ascii="Arial" w:cs="Arial" w:eastAsia="Arial" w:hAnsi="Arial"/>
          <w:sz w:val="23"/>
          <w:szCs w:val="23"/>
          <w:color w:val="auto"/>
          <w:vertAlign w:val="superscript"/>
        </w:rPr>
      </w:pPr>
    </w:p>
    <w:p>
      <w:pPr>
        <w:ind w:left="340" w:right="560" w:hanging="332"/>
        <w:spacing w:after="0" w:line="213"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4"/>
          <w:szCs w:val="14"/>
          <w:color w:val="auto"/>
        </w:rPr>
        <w:t>Mr. D’Souza was appointed to our compensation committee and our nominating and corporate governance committee as of November 20, 2019, and will become the compensation committee chairperson immediately after the 2020 annual meeting of stockholders.</w:t>
      </w:r>
    </w:p>
    <w:p>
      <w:pPr>
        <w:spacing w:after="0" w:line="3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4"/>
          <w:szCs w:val="14"/>
          <w:color w:val="auto"/>
        </w:rPr>
        <w:t>Mr. Hazard was appointed to our nominating and corporate governance committee as of May 23, 2019 and as chairperson of the committee as of July 10,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319" w:right="3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audit committee consists of Ms. Cochran and Messrs. Botha and Hazard. The chair of our audit committee is Ms. Cochran. Our board of directors has determined that Ms. Cochran and Messrs. Botha and Hazard are independent under Nasdaq listing standards and Rule 10A-3(b)(1) of the Exchange Act. Our board of directors has determined that each of Ms. Cochran and Messrs. Botha and Hazard is an “audit committee financial expert” within the meaning of SEC regulations. Our board of directors has also determined that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 The audit committee meets at least quarterly and with greater frequency as necessary. The audit committee also acts periodically by unanimous written consent in lieu of a formal meeting. The agenda for each meeting is usually developed by the chairperson of the audit committee, in consultation with management.</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accounting firm. Specific responsibilities of our audit committee include:</w:t>
      </w:r>
    </w:p>
    <w:p>
      <w:pPr>
        <w:spacing w:after="0" w:line="184" w:lineRule="exact"/>
        <w:rPr>
          <w:sz w:val="20"/>
          <w:szCs w:val="20"/>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 systems of internal control and financial statement audits;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managing the selection, engagement terms, fees, qualifications, independence and performance of a qualified firm to serve as the independent registered public accounting firm to audit our financial statements;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the organization and performance of our internal audit function;</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225"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 and</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services, other than de minimis non-audit services, to be performed by the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compensation committee consists of Mses. Agrawal and Cochran and Messrs. D’Souza and Killalea. The current chair of our compensation committee is Mr. Killalea. Mr. D’Souza will become the new compensation committee chair immediately after the 2020 annual meeting of stockholders. Our board of directors has determined that Mses. Agrawal and Cochran and Messrs. D’Souza and Killalea are independent under Nasdaq listing standards, are “non-employee directors” as defined in Rule 16b-3 promulgated under the Exchange Act and are “outside directors” as that term is defined in Section 162(m).</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purpose of the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the compensation committee include: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319" w:right="3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evaluating our Chief Executive Officer’s performance in achieving corporate performance goals and objectives, taking into account the policies of the compensation committee;</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our practices and policies of employee compensation as they relate to risk management and risk-taking incentives, to determine if such compensation policies and practices are reasonably likely to have a material adverse effect on us;</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discussing with management our compensation disclosures in the section titled “Compensation Discussion and Analysis” of this proxy statement;</w:t>
      </w:r>
    </w:p>
    <w:p>
      <w:pPr>
        <w:spacing w:after="0" w:line="12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compensatory arrangements of our executive officers and other senior management;</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adopting, amending, terminating and administering incentive compensation and stock and equity incentive plans and other benefit programs; and</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 reviewing our overall compensation philosophy.</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its charter, the compensation committee may form, and delegate authority to, subcommittees as appropriate.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Processes and Procedures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compensation committee meets at least quarterly and with greater frequency as necessary. The compensation committee also acts periodically by unanimous written consent in lieu of a formal meeting. The agenda for each meeting is usually developed by the chairperson of the compensation committee, in consultation with management. The compensation committee may also meet in executive session on an ad hoc basis.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Our President and Chief Executive Officer may not participate in, or be present during, any deliberations or determinations of the compensation committee regarding his compensation.</w:t>
      </w:r>
    </w:p>
    <w:p>
      <w:pPr>
        <w:spacing w:after="0" w:line="19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charter of the compensation committee grants the compensation committee full access to all books, records, facilities and personnel of MongoDB. In addition, under the charter, the compensation committee has the authority to obtain, at the expense of MongoDB, advice and assistance from compensation consultants and internal and external legal, accounting or other advisors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certain factors prescribed by the SEC and Nasdaq, that bear upon the adviser’s independence; however, there is no requirement that any adviser be independent.</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the compensation committee has determined most bonus awards and established performance metrics at one or more meetings held during the first quarter of the year and has made adjustments to annual equity and non-equity compensation periodically, as events warrant. The compensation committee also considers matters related to individual compensation, such as compensation for new executive hires, as well as high-level strategic issues, such as the efficacy of MongoDB’s compensation strategy, potential modifications to that strategy and new trends, plans or approaches to compensation, periodically throughout the year.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319" w:right="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None of Mses. Agrawal and Cochran or Messrs. D’Souza or Killalea, the members of the compensation committee, is currently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nominating and corporate governance committee consists of Messrs. D’Souza, Hazard and Killalea. The chair of our nominating and corporate governance committee is Mr. Hazard. Each member of the nominating and corporate governance committee is independent, is a non-employee director and is free from any relationship that would interfere with the exercise of his independent judgment, as determined by the board of directors in accordance with the applicable Nasdaq listing standards. The nominating and corporate governance committee meets at least quarterly and with greater frequency as necessary. The nominating and corporate governance committee also acts periodically by unanimous written consent in lieu of a formal meeting. The agenda for each meeting is usually developed by the chairperson of the nominating and corporate governance committee, in consultation with management.</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225" w:lineRule="exact"/>
        <w:rPr>
          <w:sz w:val="20"/>
          <w:szCs w:val="20"/>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reviewing the performance of our board of directors, including committees of the board of directors;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207" w:lineRule="exact"/>
        <w:rPr>
          <w:rFonts w:ascii="Arial" w:cs="Arial" w:eastAsia="Arial" w:hAnsi="Arial"/>
          <w:sz w:val="16"/>
          <w:szCs w:val="16"/>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instituting plans or programs for the continuing education of directors and orientation of new directors;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nominating and corporate governance committee believes that candidates for director should have certain minimum qualifications, including the highest personal integrity and ethics and the ability to read and understand basic financial statements. Our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MongoDB’s stockholders. These minimum qualifications may be modified from time to time.</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committee typically considers diversity, age, skills and such other factors as it deems appropriate, given the current needs of our board of directors and the company, to maintain a balance of knowledge, experience and capability. In fiscal year 2020, we affirmed our commitment to gender equality through the ParityPledge by interviewing and considering at least one qualified female candidate for every additional directorship resulting from an increase in the number of directors and every open role at the vice president level and above, including all C-suite positions.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319"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considering potential director nominations, the committee takes into account the current composition of our board of directors, the operating requirements of the company and the long-term interests of stockholders. In the case of incumbent directors whose terms of office are set to expire, our nominating and corporate governance committee will review directors’ prior service to MongoDB, including the number of meetings attended, level of participation, quality of performance and any relationships and transactions that might impair the directors’ independence. In the case of new director candidates, our nominating and corporate governance committee also evaluates whether the nominee is independent for Nasdaq purposes, based upon applicable Nasdaq listing standards, applicable SEC rules and regulations and the advice of counsel, if necessary. Our nominating and corporate governance committee conducts any appropriate and necessary inquiries into the backgrounds and qualifications of possible candidates after considering the function and needs of our board of directors. Our nominating and corporate governance committee meets to discuss and consider the candidates’ qualifications and then selects a nominee for recommendation to our board of directors.</w:t>
      </w:r>
    </w:p>
    <w:p>
      <w:pPr>
        <w:spacing w:after="0" w:line="18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nominating and corporate governance committee may use any methods it deems appropriate for identifying candidates for board membership, including recommendations from current board members, outside search firms and stockholders. Where outside search firms are utilized, they assist the committee in both identifying and evaluating potential nominees. Based on external searches performed by outside firms under the direction of our nominating and corporate governance committee, in fiscal year 2020, Ms. Agrawal and Mr. D’Souza were identified as director candidates and were appointed to the board of directors effective August 29, 2019 and November 20, 2019, respectively.</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nominating and corporate governance committee will consider stockholder recommendations of director candidates, so long as they comply with applicable law and our amended and restated bylaws, which procedures are summarized below, and will review the qualifications of any such candidate in accordance with the criteria described in the preceding paragraphs. Stockholders who wish to recommend individuals for consideration by our nominating and corporate governance committee to become nominees for election to our board of directors should do so by delivering a written recommendation to our Secretary at 1633 Broadway, 38th Floor, New York, New York 10019 at least 120 days prior to the anniversary date of the mailing of our proxy statement for the last annual meeting of stockholders.</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Each submission must include, among other things, the name, age, business address and residence address of the proposed candidate, the principal occupation or employment of the proposed candidate, details of the proposed candidate’s ownership of MongoDB’s capital stock, a description of the proposed candidate’s business experience for at least the last five years, and a description of the proposed candidate’s qualifications as a director. Any such submission must be accompanied by the written consent of the proposed candidate to be named as a nominee and to serve as a director if elected.</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rather than submitting a candidate to the nominating and corporate governance committee for consideration, you wish to formally nominate a director at next year’s meeting pursuant to proxy materials that you will prepare and file with the SEC, please see the deadline described in “When are stockholder proposals and director nominations due for next year’s annual meeting?” above. You should refer to our amended and restated bylaws for a complete description of the required procedures for nominating a candidate to our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is a summary of transactions, since the beginning of our last fiscal year, to which we have been a participant, in which the amount involved exceeded or will exceed $120,000 and in which any of our directors, executive officers or holders of more than five percent (5%) of our capital stock, or any member of the immediate family of the foregoing persons, had or will have a direct or indirect material interest.</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Investor Rights Agreement. </w:t>
      </w:r>
      <w:r>
        <w:rPr>
          <w:rFonts w:ascii="Arial" w:cs="Arial" w:eastAsia="Arial" w:hAnsi="Arial"/>
          <w:sz w:val="18"/>
          <w:szCs w:val="18"/>
          <w:color w:val="auto"/>
        </w:rPr>
        <w:t>We are a party to an investor rights agreement with certain holders of our common stock, including Eliot Horowitz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 member of our board of directors), Dwight Merriman (a current nominee to our board of directors), Kevin P. Ryan, Future Fund Investment Company No. 4 Pty Ltd., Union Square Ventures 2008, L.P. and entities affiliated with Sequoia Capital, Flybridge Capital and New Enterprise Associates, with certain registration rights, including the right to demand that we file a registration statement or request that their shares be covered by a registration statement that we are otherwise filing subject to certain limitations. Roelof Botha and Charles M. Hazard, Jr., members of our board of directors, are affiliated with Sequoia Capital and Flybridge Capital, respectively.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319" w:right="3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b w:val="1"/>
          <w:bCs w:val="1"/>
          <w:i w:val="1"/>
          <w:iCs w:val="1"/>
          <w:color w:val="auto"/>
        </w:rPr>
        <w:t xml:space="preserve">Employment Arrangements and Equity Grants. </w:t>
      </w:r>
      <w:r>
        <w:rPr>
          <w:rFonts w:ascii="Arial" w:cs="Arial" w:eastAsia="Arial" w:hAnsi="Arial"/>
          <w:sz w:val="17"/>
          <w:szCs w:val="17"/>
          <w:color w:val="auto"/>
        </w:rPr>
        <w:t>We have entered into offer letters or employment agreements with our executive officers.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information regarding these arrangements, see the section titled “Employment, Severance and Change in Control Agreements.”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granted equity awards to our executive officers and members of our board of directors. For a description of these equity awards, see the sections titled “Executive Compensation” and “Board of Directors and Corporate Governance - Director Compensation.”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Indemnification Agreements. </w:t>
      </w:r>
      <w:r>
        <w:rPr>
          <w:rFonts w:ascii="Arial" w:cs="Arial" w:eastAsia="Arial" w:hAnsi="Arial"/>
          <w:sz w:val="18"/>
          <w:szCs w:val="18"/>
          <w:color w:val="auto"/>
        </w:rPr>
        <w:t>Our amended and restated certificate of incorporation contains provisions limiting the liability of directors,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bylaws provide that we will indemnify each of our directors and officers to the fullest extent permitted under Delaware law. Our amended and restated certificate of incorporation and bylaws also provide our board of directors with discretion to indemnify our employees and other agents when determined appropriate by the board of directors. In addition, we have entered into an indemnification agreement with each of our directors and executive officers, which requires us to indemnify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adopted a policy that our executive officers, directors, holders of more than five percent (5%) of any class of our voting securities, any member of the immediate family and any entity affiliated with any of the foregoing persons, will not be permitted to enter into a related-person transaction with us without the consent of our audit committee, or other independent members of our board of directors in the event it is inappropriate for our audit committee to review such transaction due to a conflict of interest. Any request for us to enter into a transaction, arrangement, relationship or series of similar transactions, arrangements or relationships, in which the aggregate amount involved exceeds or is expected to exceed $120,000 and any related person had, has or will have a direct or indirect material interest must be presented to our audit committee for review, consideration and approval or ratification. In approving or rejecting any such proposal, our audit committee will consider the relevant facts and circumstances available and deemed relevant to our audit committee, including, but not limited to, (a) the risks, costs and benefits to MongoDB,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 and Corporate Governance Guidelines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We plan to disclose any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Our board of directors has also adopted Corporate Governance Guidelines that establish the corporate governance policies pursuant to which our board of directors conducts its oversight of the business of MongoDB in accordance with its fiduciary responsibilities. Our Code of Business Conduct and Ethics, applicable waivers thereof, and our Corporate Governance Guidelines are available in the “Corporate Governance” section of our investor relations website at </w:t>
      </w:r>
      <w:r>
        <w:rPr>
          <w:rFonts w:ascii="Arial" w:cs="Arial" w:eastAsia="Arial" w:hAnsi="Arial"/>
          <w:sz w:val="18"/>
          <w:szCs w:val="18"/>
          <w:i w:val="1"/>
          <w:iCs w:val="1"/>
          <w:color w:val="auto"/>
        </w:rPr>
        <w:t>investors.mongodb.com.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our Board of Directors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Stockholders or interested parties who wish to communicate with our board of directors or with an individual director may do so by mail to our board of directors or the individual director, care of our Secretary at 1633 Broadway, 38th Floor, New York, New York 10019, Attention: Secretary. The communication should indicate that it contains a stockholder or interested party communication. All such communications, if appropriate, will be forwarded to the director or directors to whom the communications are addressed. For example, we will generally not forward a communication that is primarily commercial in nature, is improper or irrelevant, or is a request for general information about MongoDB.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319" w:right="3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is divided into three classes. At each annual meeting of stockholders, the successors to directors whose terms then expire will be elected to serve from the time of the election until the third annual meeting following the election. Any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MongoDB.</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currently consists of ten members divided into the three classes as follows:</w:t>
      </w:r>
    </w:p>
    <w:p>
      <w:pPr>
        <w:spacing w:after="0" w:line="225" w:lineRule="exact"/>
        <w:rPr>
          <w:sz w:val="20"/>
          <w:szCs w:val="20"/>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Class III directors: Archana Agrawal, Hope Cochran and Eliot Horowitz whose terms will expire at the upcoming annual meeting of stockholders;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Class I directors: Roelof Botha, Dev Ittycheria, John McMahon and Mark Porter, whose terms will expire at the annual meeting of stockholders to be held in 2021;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Class II directors: Francisco D’Souza, Charles M. Hazard, Jr. and Tom Killalea, whose terms will expire at the annual meeting of stockholders to be held in 2022.</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Mses. Agrawal and Cochran and Mr. Horowitz are current directors whose terms expire at the upcoming annual meeting of stockholder. Mses. Agrawal and Cochran are each nominated for re-election as a Class III director, with a term ending in 2023. Mr. Horowitz’ term as a Class III director will expire at the annual meeting, and he will not stand for re-election. Dwight Merriman, who is our co-founder and a current advisor to the company, was nominated by the board of directors for election at the upcoming annual meeting of stockholders to fill the resulting vacancy.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Ms. Cochran was elected to our board of directors by our stockholders prior to our initial public offering. Ms. Agrawal was identified as a director candidate based on an external search performed by an outside firm, and appointed to our board of directors effective August 29, 2019, pursuant to the recommendation of our nominating and corporate governance committee. Mr. Merriman was identified as a director candidate based on recommendations from current board members and executive officers and nominated for election by our board of directors following the recommendation of our nominating and corporate governance committee.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of our nominees have agreed to stand for election. Our management has no reason to believe that any nominee will be unable to serve. If elected at the meeting, each of these nominees would serve until the annual meeting of stockholders to be held in 2023 and until his or her successor has been duly elected, or if sooner, until the director’s death, resignation or removal.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Directors are elected by a plurality of the votes of the holders of shares of common stock present at the meeting (by virtual attendance) or represented by proxy and entitled to vote generally on the election of directors. Accordingly, the three nominees receiving the highest number of affirmative votes will be elected. Shares represented by executed proxies will be voted, if authority to do so is not withheld, for the election of the three nominees named above. If any nominee becomes unavailable for election as a result of an unexpected occurrence, shares that would have been voted for that nominee will instead be voted for the election of a substitute nominee proposed by us.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319" w:right="3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nominating and corporate governance committee seeks to assemble a board of directors that, as a whole, possesses the appropriate balance of professional and industry knowledge, financial expertise and high-level management experience necessary to oversee and direct our business. To that end, the committee has identified and evaluated nominees in the broader context of our board’s overall composition, with the goal of recruiting members who complement and strengthen the skills of other members and who also exhibit integrity, collegiality, sound business judgment and other qualities deemed critical to effective functioning of the board of directors. In addition, the committee and the full board of directors feel that candidates representing varied age, gender, cultural and ethnic backgrounds add to the overall diversity and viewpoints of the board of directors and that the current board of directors embodies the breadth of backgrounds and experience necessary for a balanced and effective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207645</wp:posOffset>
            </wp:positionV>
            <wp:extent cx="706374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63740" cy="205740"/>
                    </a:xfrm>
                    <a:prstGeom prst="rect">
                      <a:avLst/>
                    </a:prstGeom>
                    <a:noFill/>
                  </pic:spPr>
                </pic:pic>
              </a:graphicData>
            </a:graphic>
          </wp:anchor>
        </w:drawing>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xml:space="preserve">Our board of directors recommends a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each Class III director nominee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319"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INFORMATION REGARDING DIRECTOR NOMINEES AND CURRENT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for the current nominees and our other directors who will continue in office after the meeting, their ages and position/office held with us as of the date of this proxy statement:</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920" w:type="dxa"/>
            <w:vAlign w:val="bottom"/>
          </w:tcPr>
          <w:p>
            <w:pPr>
              <w:ind w:left="1240"/>
              <w:spacing w:after="0"/>
              <w:rPr>
                <w:sz w:val="20"/>
                <w:szCs w:val="20"/>
                <w:color w:val="auto"/>
              </w:rPr>
            </w:pPr>
            <w:r>
              <w:rPr>
                <w:rFonts w:ascii="Arial" w:cs="Arial" w:eastAsia="Arial" w:hAnsi="Arial"/>
                <w:sz w:val="18"/>
                <w:szCs w:val="18"/>
                <w:b w:val="1"/>
                <w:bCs w:val="1"/>
                <w:color w:val="auto"/>
              </w:rPr>
              <w:t>Name</w:t>
            </w:r>
          </w:p>
        </w:tc>
        <w:tc>
          <w:tcPr>
            <w:tcW w:w="3040" w:type="dxa"/>
            <w:vAlign w:val="bottom"/>
          </w:tcPr>
          <w:p>
            <w:pPr>
              <w:jc w:val="center"/>
              <w:ind w:right="1570"/>
              <w:spacing w:after="0"/>
              <w:rPr>
                <w:sz w:val="20"/>
                <w:szCs w:val="20"/>
                <w:color w:val="auto"/>
              </w:rPr>
            </w:pPr>
            <w:r>
              <w:rPr>
                <w:rFonts w:ascii="Arial" w:cs="Arial" w:eastAsia="Arial" w:hAnsi="Arial"/>
                <w:sz w:val="18"/>
                <w:szCs w:val="18"/>
                <w:b w:val="1"/>
                <w:bCs w:val="1"/>
                <w:color w:val="auto"/>
                <w:w w:val="88"/>
              </w:rPr>
              <w:t>Age</w:t>
            </w:r>
          </w:p>
        </w:tc>
        <w:tc>
          <w:tcPr>
            <w:tcW w:w="5220" w:type="dxa"/>
            <w:vAlign w:val="bottom"/>
          </w:tcPr>
          <w:p>
            <w:pPr>
              <w:jc w:val="center"/>
              <w:ind w:right="1630"/>
              <w:spacing w:after="0"/>
              <w:rPr>
                <w:sz w:val="20"/>
                <w:szCs w:val="20"/>
                <w:color w:val="auto"/>
              </w:rPr>
            </w:pPr>
            <w:r>
              <w:rPr>
                <w:rFonts w:ascii="Arial" w:cs="Arial" w:eastAsia="Arial" w:hAnsi="Arial"/>
                <w:sz w:val="18"/>
                <w:szCs w:val="18"/>
                <w:b w:val="1"/>
                <w:bCs w:val="1"/>
                <w:color w:val="auto"/>
                <w:w w:val="92"/>
              </w:rPr>
              <w:t>Position/Office Held With MongoDB</w:t>
            </w:r>
          </w:p>
        </w:tc>
      </w:tr>
      <w:tr>
        <w:trPr>
          <w:trHeight w:val="27"/>
        </w:trPr>
        <w:tc>
          <w:tcPr>
            <w:tcW w:w="5960" w:type="dxa"/>
            <w:vAlign w:val="bottom"/>
            <w:tcBorders>
              <w:bottom w:val="single" w:sz="8" w:color="auto"/>
            </w:tcBorders>
            <w:gridSpan w:val="2"/>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1118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Class III directors, nominees for election at the 2020 Annual Meeting of Stockholders</w:t>
            </w:r>
          </w:p>
        </w:tc>
      </w:tr>
      <w:tr>
        <w:trPr>
          <w:trHeight w:val="297"/>
        </w:trPr>
        <w:tc>
          <w:tcPr>
            <w:tcW w:w="2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Archana Agrawal</w:t>
            </w:r>
            <w:r>
              <w:rPr>
                <w:rFonts w:ascii="Arial" w:cs="Arial" w:eastAsia="Arial" w:hAnsi="Arial"/>
                <w:sz w:val="25"/>
                <w:szCs w:val="25"/>
                <w:color w:val="auto"/>
                <w:vertAlign w:val="superscript"/>
              </w:rPr>
              <w:t>(1)</w:t>
            </w:r>
          </w:p>
        </w:tc>
        <w:tc>
          <w:tcPr>
            <w:tcW w:w="3040" w:type="dxa"/>
            <w:vAlign w:val="bottom"/>
            <w:shd w:val="clear" w:color="auto" w:fill="CCEEFF"/>
          </w:tcPr>
          <w:p>
            <w:pPr>
              <w:jc w:val="center"/>
              <w:ind w:right="1570"/>
              <w:spacing w:after="0"/>
              <w:rPr>
                <w:sz w:val="20"/>
                <w:szCs w:val="20"/>
                <w:color w:val="auto"/>
              </w:rPr>
            </w:pPr>
            <w:r>
              <w:rPr>
                <w:rFonts w:ascii="Arial" w:cs="Arial" w:eastAsia="Arial" w:hAnsi="Arial"/>
                <w:sz w:val="18"/>
                <w:szCs w:val="18"/>
                <w:color w:val="auto"/>
                <w:w w:val="89"/>
              </w:rPr>
              <w:t>42</w:t>
            </w:r>
          </w:p>
        </w:tc>
        <w:tc>
          <w:tcPr>
            <w:tcW w:w="5220" w:type="dxa"/>
            <w:vAlign w:val="bottom"/>
            <w:shd w:val="clear" w:color="auto" w:fill="CCEEFF"/>
          </w:tcPr>
          <w:p>
            <w:pPr>
              <w:jc w:val="center"/>
              <w:ind w:right="1610"/>
              <w:spacing w:after="0"/>
              <w:rPr>
                <w:sz w:val="20"/>
                <w:szCs w:val="20"/>
                <w:color w:val="auto"/>
              </w:rPr>
            </w:pPr>
            <w:r>
              <w:rPr>
                <w:rFonts w:ascii="Arial" w:cs="Arial" w:eastAsia="Arial" w:hAnsi="Arial"/>
                <w:sz w:val="18"/>
                <w:szCs w:val="18"/>
                <w:color w:val="auto"/>
                <w:w w:val="95"/>
              </w:rPr>
              <w:t>Director</w:t>
            </w:r>
          </w:p>
        </w:tc>
      </w:tr>
      <w:tr>
        <w:trPr>
          <w:trHeight w:val="270"/>
        </w:trPr>
        <w:tc>
          <w:tcPr>
            <w:tcW w:w="29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Hope Cochran</w:t>
            </w:r>
            <w:r>
              <w:rPr>
                <w:rFonts w:ascii="Arial" w:cs="Arial" w:eastAsia="Arial" w:hAnsi="Arial"/>
                <w:sz w:val="25"/>
                <w:szCs w:val="25"/>
                <w:color w:val="auto"/>
                <w:vertAlign w:val="superscript"/>
              </w:rPr>
              <w:t>(1)(2)</w:t>
            </w:r>
          </w:p>
        </w:tc>
        <w:tc>
          <w:tcPr>
            <w:tcW w:w="3040" w:type="dxa"/>
            <w:vAlign w:val="bottom"/>
            <w:shd w:val="clear" w:color="auto" w:fill="CCEEFF"/>
          </w:tcPr>
          <w:p>
            <w:pPr>
              <w:jc w:val="center"/>
              <w:ind w:right="1570"/>
              <w:spacing w:after="0"/>
              <w:rPr>
                <w:sz w:val="20"/>
                <w:szCs w:val="20"/>
                <w:color w:val="auto"/>
              </w:rPr>
            </w:pPr>
            <w:r>
              <w:rPr>
                <w:rFonts w:ascii="Arial" w:cs="Arial" w:eastAsia="Arial" w:hAnsi="Arial"/>
                <w:sz w:val="18"/>
                <w:szCs w:val="18"/>
                <w:color w:val="auto"/>
                <w:w w:val="89"/>
              </w:rPr>
              <w:t>48</w:t>
            </w:r>
          </w:p>
        </w:tc>
        <w:tc>
          <w:tcPr>
            <w:tcW w:w="5220" w:type="dxa"/>
            <w:vAlign w:val="bottom"/>
            <w:shd w:val="clear" w:color="auto" w:fill="CCEEFF"/>
          </w:tcPr>
          <w:p>
            <w:pPr>
              <w:jc w:val="center"/>
              <w:ind w:right="1610"/>
              <w:spacing w:after="0"/>
              <w:rPr>
                <w:sz w:val="20"/>
                <w:szCs w:val="20"/>
                <w:color w:val="auto"/>
              </w:rPr>
            </w:pPr>
            <w:r>
              <w:rPr>
                <w:rFonts w:ascii="Arial" w:cs="Arial" w:eastAsia="Arial" w:hAnsi="Arial"/>
                <w:sz w:val="18"/>
                <w:szCs w:val="18"/>
                <w:color w:val="auto"/>
                <w:w w:val="95"/>
              </w:rPr>
              <w:t>Director</w:t>
            </w:r>
          </w:p>
        </w:tc>
      </w:tr>
      <w:tr>
        <w:trPr>
          <w:trHeight w:val="250"/>
        </w:trPr>
        <w:tc>
          <w:tcPr>
            <w:tcW w:w="29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Dwight Merriman</w:t>
            </w:r>
          </w:p>
        </w:tc>
        <w:tc>
          <w:tcPr>
            <w:tcW w:w="3040" w:type="dxa"/>
            <w:vAlign w:val="bottom"/>
            <w:tcBorders>
              <w:bottom w:val="single" w:sz="8" w:color="CCEEFF"/>
            </w:tcBorders>
            <w:shd w:val="clear" w:color="auto" w:fill="CCEEFF"/>
          </w:tcPr>
          <w:p>
            <w:pPr>
              <w:jc w:val="center"/>
              <w:ind w:right="1570"/>
              <w:spacing w:after="0"/>
              <w:rPr>
                <w:sz w:val="20"/>
                <w:szCs w:val="20"/>
                <w:color w:val="auto"/>
              </w:rPr>
            </w:pPr>
            <w:r>
              <w:rPr>
                <w:rFonts w:ascii="Arial" w:cs="Arial" w:eastAsia="Arial" w:hAnsi="Arial"/>
                <w:sz w:val="18"/>
                <w:szCs w:val="18"/>
                <w:color w:val="auto"/>
                <w:w w:val="89"/>
              </w:rPr>
              <w:t>51</w:t>
            </w:r>
          </w:p>
        </w:tc>
        <w:tc>
          <w:tcPr>
            <w:tcW w:w="5220" w:type="dxa"/>
            <w:vAlign w:val="bottom"/>
            <w:tcBorders>
              <w:bottom w:val="single" w:sz="8" w:color="CCEEFF"/>
            </w:tcBorders>
            <w:shd w:val="clear" w:color="auto" w:fill="CCEEFF"/>
          </w:tcPr>
          <w:p>
            <w:pPr>
              <w:jc w:val="center"/>
              <w:ind w:right="1630"/>
              <w:spacing w:after="0"/>
              <w:rPr>
                <w:sz w:val="20"/>
                <w:szCs w:val="20"/>
                <w:color w:val="auto"/>
              </w:rPr>
            </w:pPr>
            <w:r>
              <w:rPr>
                <w:rFonts w:ascii="Arial" w:cs="Arial" w:eastAsia="Arial" w:hAnsi="Arial"/>
                <w:sz w:val="18"/>
                <w:szCs w:val="18"/>
                <w:color w:val="auto"/>
                <w:w w:val="91"/>
              </w:rPr>
              <w:t>Co-Founder, Advisor and Director Nominee</w:t>
            </w:r>
          </w:p>
        </w:tc>
      </w:tr>
      <w:tr>
        <w:trPr>
          <w:trHeight w:val="243"/>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w w:val="92"/>
              </w:rPr>
              <w:t>Class I directors whose terms expire at the 2021 Annual Meeting of Stockholders</w:t>
            </w:r>
          </w:p>
        </w:tc>
        <w:tc>
          <w:tcPr>
            <w:tcW w:w="5220" w:type="dxa"/>
            <w:vAlign w:val="bottom"/>
          </w:tcPr>
          <w:p>
            <w:pPr>
              <w:spacing w:after="0"/>
              <w:rPr>
                <w:sz w:val="21"/>
                <w:szCs w:val="21"/>
                <w:color w:val="auto"/>
              </w:rPr>
            </w:pPr>
          </w:p>
        </w:tc>
      </w:tr>
      <w:tr>
        <w:trPr>
          <w:trHeight w:val="310"/>
        </w:trPr>
        <w:tc>
          <w:tcPr>
            <w:tcW w:w="2920" w:type="dxa"/>
            <w:vAlign w:val="bottom"/>
          </w:tcPr>
          <w:p>
            <w:pPr>
              <w:ind w:left="400"/>
              <w:spacing w:after="0"/>
              <w:rPr>
                <w:sz w:val="20"/>
                <w:szCs w:val="20"/>
                <w:color w:val="auto"/>
              </w:rPr>
            </w:pPr>
            <w:r>
              <w:rPr>
                <w:rFonts w:ascii="Arial" w:cs="Arial" w:eastAsia="Arial" w:hAnsi="Arial"/>
                <w:sz w:val="18"/>
                <w:szCs w:val="18"/>
                <w:color w:val="auto"/>
              </w:rPr>
              <w:t>Roelof Botha</w:t>
            </w:r>
            <w:r>
              <w:rPr>
                <w:rFonts w:ascii="Arial" w:cs="Arial" w:eastAsia="Arial" w:hAnsi="Arial"/>
                <w:sz w:val="25"/>
                <w:szCs w:val="25"/>
                <w:color w:val="auto"/>
                <w:vertAlign w:val="superscript"/>
              </w:rPr>
              <w:t>(2)</w:t>
            </w:r>
          </w:p>
        </w:tc>
        <w:tc>
          <w:tcPr>
            <w:tcW w:w="3040" w:type="dxa"/>
            <w:vAlign w:val="bottom"/>
          </w:tcPr>
          <w:p>
            <w:pPr>
              <w:jc w:val="center"/>
              <w:ind w:right="1570"/>
              <w:spacing w:after="0"/>
              <w:rPr>
                <w:sz w:val="20"/>
                <w:szCs w:val="20"/>
                <w:color w:val="auto"/>
              </w:rPr>
            </w:pPr>
            <w:r>
              <w:rPr>
                <w:rFonts w:ascii="Arial" w:cs="Arial" w:eastAsia="Arial" w:hAnsi="Arial"/>
                <w:sz w:val="18"/>
                <w:szCs w:val="18"/>
                <w:color w:val="auto"/>
                <w:w w:val="89"/>
              </w:rPr>
              <w:t>46</w:t>
            </w:r>
          </w:p>
        </w:tc>
        <w:tc>
          <w:tcPr>
            <w:tcW w:w="5220" w:type="dxa"/>
            <w:vAlign w:val="bottom"/>
          </w:tcPr>
          <w:p>
            <w:pPr>
              <w:jc w:val="center"/>
              <w:ind w:right="1610"/>
              <w:spacing w:after="0"/>
              <w:rPr>
                <w:sz w:val="20"/>
                <w:szCs w:val="20"/>
                <w:color w:val="auto"/>
              </w:rPr>
            </w:pPr>
            <w:r>
              <w:rPr>
                <w:rFonts w:ascii="Arial" w:cs="Arial" w:eastAsia="Arial" w:hAnsi="Arial"/>
                <w:sz w:val="18"/>
                <w:szCs w:val="18"/>
                <w:color w:val="auto"/>
                <w:w w:val="95"/>
              </w:rPr>
              <w:t>Director</w:t>
            </w:r>
          </w:p>
        </w:tc>
      </w:tr>
      <w:tr>
        <w:trPr>
          <w:trHeight w:val="230"/>
        </w:trPr>
        <w:tc>
          <w:tcPr>
            <w:tcW w:w="2920" w:type="dxa"/>
            <w:vAlign w:val="bottom"/>
          </w:tcPr>
          <w:p>
            <w:pPr>
              <w:ind w:left="400"/>
              <w:spacing w:after="0"/>
              <w:rPr>
                <w:sz w:val="20"/>
                <w:szCs w:val="20"/>
                <w:color w:val="auto"/>
              </w:rPr>
            </w:pPr>
            <w:r>
              <w:rPr>
                <w:rFonts w:ascii="Arial" w:cs="Arial" w:eastAsia="Arial" w:hAnsi="Arial"/>
                <w:sz w:val="18"/>
                <w:szCs w:val="18"/>
                <w:color w:val="auto"/>
              </w:rPr>
              <w:t>Dev Ittycheria</w:t>
            </w:r>
          </w:p>
        </w:tc>
        <w:tc>
          <w:tcPr>
            <w:tcW w:w="3040" w:type="dxa"/>
            <w:vAlign w:val="bottom"/>
          </w:tcPr>
          <w:p>
            <w:pPr>
              <w:jc w:val="center"/>
              <w:ind w:right="1570"/>
              <w:spacing w:after="0"/>
              <w:rPr>
                <w:sz w:val="20"/>
                <w:szCs w:val="20"/>
                <w:color w:val="auto"/>
              </w:rPr>
            </w:pPr>
            <w:r>
              <w:rPr>
                <w:rFonts w:ascii="Arial" w:cs="Arial" w:eastAsia="Arial" w:hAnsi="Arial"/>
                <w:sz w:val="18"/>
                <w:szCs w:val="18"/>
                <w:color w:val="auto"/>
                <w:w w:val="89"/>
              </w:rPr>
              <w:t>53</w:t>
            </w:r>
          </w:p>
        </w:tc>
        <w:tc>
          <w:tcPr>
            <w:tcW w:w="5220" w:type="dxa"/>
            <w:vAlign w:val="bottom"/>
          </w:tcPr>
          <w:p>
            <w:pPr>
              <w:jc w:val="center"/>
              <w:ind w:right="1610"/>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70"/>
        </w:trPr>
        <w:tc>
          <w:tcPr>
            <w:tcW w:w="2920" w:type="dxa"/>
            <w:vAlign w:val="bottom"/>
          </w:tcPr>
          <w:p>
            <w:pPr>
              <w:ind w:left="400"/>
              <w:spacing w:after="0"/>
              <w:rPr>
                <w:sz w:val="20"/>
                <w:szCs w:val="20"/>
                <w:color w:val="auto"/>
              </w:rPr>
            </w:pPr>
            <w:r>
              <w:rPr>
                <w:rFonts w:ascii="Arial" w:cs="Arial" w:eastAsia="Arial" w:hAnsi="Arial"/>
                <w:sz w:val="18"/>
                <w:szCs w:val="18"/>
                <w:color w:val="auto"/>
              </w:rPr>
              <w:t>John McMahon</w:t>
            </w:r>
          </w:p>
        </w:tc>
        <w:tc>
          <w:tcPr>
            <w:tcW w:w="3040" w:type="dxa"/>
            <w:vAlign w:val="bottom"/>
          </w:tcPr>
          <w:p>
            <w:pPr>
              <w:jc w:val="center"/>
              <w:ind w:right="1570"/>
              <w:spacing w:after="0"/>
              <w:rPr>
                <w:sz w:val="20"/>
                <w:szCs w:val="20"/>
                <w:color w:val="auto"/>
              </w:rPr>
            </w:pPr>
            <w:r>
              <w:rPr>
                <w:rFonts w:ascii="Arial" w:cs="Arial" w:eastAsia="Arial" w:hAnsi="Arial"/>
                <w:sz w:val="18"/>
                <w:szCs w:val="18"/>
                <w:color w:val="auto"/>
                <w:w w:val="89"/>
              </w:rPr>
              <w:t>64</w:t>
            </w:r>
          </w:p>
        </w:tc>
        <w:tc>
          <w:tcPr>
            <w:tcW w:w="5220" w:type="dxa"/>
            <w:vAlign w:val="bottom"/>
          </w:tcPr>
          <w:p>
            <w:pPr>
              <w:jc w:val="center"/>
              <w:ind w:right="1610"/>
              <w:spacing w:after="0"/>
              <w:rPr>
                <w:sz w:val="20"/>
                <w:szCs w:val="20"/>
                <w:color w:val="auto"/>
              </w:rPr>
            </w:pPr>
            <w:r>
              <w:rPr>
                <w:rFonts w:ascii="Arial" w:cs="Arial" w:eastAsia="Arial" w:hAnsi="Arial"/>
                <w:sz w:val="18"/>
                <w:szCs w:val="18"/>
                <w:color w:val="auto"/>
                <w:w w:val="95"/>
              </w:rPr>
              <w:t>Director</w:t>
            </w:r>
          </w:p>
        </w:tc>
      </w:tr>
      <w:tr>
        <w:trPr>
          <w:trHeight w:val="270"/>
        </w:trPr>
        <w:tc>
          <w:tcPr>
            <w:tcW w:w="2920" w:type="dxa"/>
            <w:vAlign w:val="bottom"/>
          </w:tcPr>
          <w:p>
            <w:pPr>
              <w:ind w:left="400"/>
              <w:spacing w:after="0"/>
              <w:rPr>
                <w:sz w:val="20"/>
                <w:szCs w:val="20"/>
                <w:color w:val="auto"/>
              </w:rPr>
            </w:pPr>
            <w:r>
              <w:rPr>
                <w:rFonts w:ascii="Arial" w:cs="Arial" w:eastAsia="Arial" w:hAnsi="Arial"/>
                <w:sz w:val="18"/>
                <w:szCs w:val="18"/>
                <w:color w:val="auto"/>
              </w:rPr>
              <w:t>Mark Porter</w:t>
            </w:r>
          </w:p>
        </w:tc>
        <w:tc>
          <w:tcPr>
            <w:tcW w:w="3040" w:type="dxa"/>
            <w:vAlign w:val="bottom"/>
          </w:tcPr>
          <w:p>
            <w:pPr>
              <w:jc w:val="center"/>
              <w:ind w:right="1570"/>
              <w:spacing w:after="0"/>
              <w:rPr>
                <w:sz w:val="20"/>
                <w:szCs w:val="20"/>
                <w:color w:val="auto"/>
              </w:rPr>
            </w:pPr>
            <w:r>
              <w:rPr>
                <w:rFonts w:ascii="Arial" w:cs="Arial" w:eastAsia="Arial" w:hAnsi="Arial"/>
                <w:sz w:val="18"/>
                <w:szCs w:val="18"/>
                <w:color w:val="auto"/>
                <w:w w:val="89"/>
              </w:rPr>
              <w:t>54</w:t>
            </w:r>
          </w:p>
        </w:tc>
        <w:tc>
          <w:tcPr>
            <w:tcW w:w="5220" w:type="dxa"/>
            <w:vAlign w:val="bottom"/>
          </w:tcPr>
          <w:p>
            <w:pPr>
              <w:jc w:val="center"/>
              <w:ind w:right="1610"/>
              <w:spacing w:after="0"/>
              <w:rPr>
                <w:sz w:val="20"/>
                <w:szCs w:val="20"/>
                <w:color w:val="auto"/>
              </w:rPr>
            </w:pPr>
            <w:r>
              <w:rPr>
                <w:rFonts w:ascii="Arial" w:cs="Arial" w:eastAsia="Arial" w:hAnsi="Arial"/>
                <w:sz w:val="18"/>
                <w:szCs w:val="18"/>
                <w:color w:val="auto"/>
                <w:w w:val="95"/>
              </w:rPr>
              <w:t>Director</w:t>
            </w:r>
          </w:p>
        </w:tc>
      </w:tr>
      <w:tr>
        <w:trPr>
          <w:trHeight w:val="270"/>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w w:val="91"/>
              </w:rPr>
              <w:t>Class II directors whose terms expire at the 2022 Annual Meeting of Stockholders</w:t>
            </w:r>
          </w:p>
        </w:tc>
        <w:tc>
          <w:tcPr>
            <w:tcW w:w="5220" w:type="dxa"/>
            <w:vAlign w:val="bottom"/>
          </w:tcPr>
          <w:p>
            <w:pPr>
              <w:spacing w:after="0"/>
              <w:rPr>
                <w:sz w:val="23"/>
                <w:szCs w:val="23"/>
                <w:color w:val="auto"/>
              </w:rPr>
            </w:pPr>
          </w:p>
        </w:tc>
      </w:tr>
      <w:tr>
        <w:trPr>
          <w:trHeight w:val="27"/>
        </w:trPr>
        <w:tc>
          <w:tcPr>
            <w:tcW w:w="29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5220" w:type="dxa"/>
            <w:vAlign w:val="bottom"/>
          </w:tcPr>
          <w:p>
            <w:pPr>
              <w:spacing w:after="0"/>
              <w:rPr>
                <w:sz w:val="2"/>
                <w:szCs w:val="2"/>
                <w:color w:val="auto"/>
              </w:rPr>
            </w:pPr>
          </w:p>
        </w:tc>
      </w:tr>
      <w:tr>
        <w:trPr>
          <w:trHeight w:val="270"/>
        </w:trPr>
        <w:tc>
          <w:tcPr>
            <w:tcW w:w="29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Francisco D'Souza</w:t>
            </w:r>
            <w:r>
              <w:rPr>
                <w:rFonts w:ascii="Arial" w:cs="Arial" w:eastAsia="Arial" w:hAnsi="Arial"/>
                <w:sz w:val="25"/>
                <w:szCs w:val="25"/>
                <w:color w:val="auto"/>
                <w:vertAlign w:val="superscript"/>
              </w:rPr>
              <w:t>(1)(3)</w:t>
            </w:r>
          </w:p>
        </w:tc>
        <w:tc>
          <w:tcPr>
            <w:tcW w:w="3040" w:type="dxa"/>
            <w:vAlign w:val="bottom"/>
            <w:shd w:val="clear" w:color="auto" w:fill="CCEEFF"/>
          </w:tcPr>
          <w:p>
            <w:pPr>
              <w:jc w:val="center"/>
              <w:ind w:right="1570"/>
              <w:spacing w:after="0"/>
              <w:rPr>
                <w:sz w:val="20"/>
                <w:szCs w:val="20"/>
                <w:color w:val="auto"/>
              </w:rPr>
            </w:pPr>
            <w:r>
              <w:rPr>
                <w:rFonts w:ascii="Arial" w:cs="Arial" w:eastAsia="Arial" w:hAnsi="Arial"/>
                <w:sz w:val="18"/>
                <w:szCs w:val="18"/>
                <w:color w:val="auto"/>
                <w:w w:val="89"/>
              </w:rPr>
              <w:t>51</w:t>
            </w:r>
          </w:p>
        </w:tc>
        <w:tc>
          <w:tcPr>
            <w:tcW w:w="5220" w:type="dxa"/>
            <w:vAlign w:val="bottom"/>
            <w:shd w:val="clear" w:color="auto" w:fill="CCEEFF"/>
          </w:tcPr>
          <w:p>
            <w:pPr>
              <w:jc w:val="center"/>
              <w:ind w:right="1610"/>
              <w:spacing w:after="0"/>
              <w:rPr>
                <w:sz w:val="20"/>
                <w:szCs w:val="20"/>
                <w:color w:val="auto"/>
              </w:rPr>
            </w:pPr>
            <w:r>
              <w:rPr>
                <w:rFonts w:ascii="Arial" w:cs="Arial" w:eastAsia="Arial" w:hAnsi="Arial"/>
                <w:sz w:val="18"/>
                <w:szCs w:val="18"/>
                <w:color w:val="auto"/>
                <w:w w:val="95"/>
              </w:rPr>
              <w:t>Director</w:t>
            </w:r>
          </w:p>
        </w:tc>
      </w:tr>
      <w:tr>
        <w:trPr>
          <w:trHeight w:val="270"/>
        </w:trPr>
        <w:tc>
          <w:tcPr>
            <w:tcW w:w="29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Charles M. Hazard, Jr.</w:t>
            </w:r>
            <w:r>
              <w:rPr>
                <w:rFonts w:ascii="Arial" w:cs="Arial" w:eastAsia="Arial" w:hAnsi="Arial"/>
                <w:sz w:val="25"/>
                <w:szCs w:val="25"/>
                <w:color w:val="auto"/>
                <w:vertAlign w:val="superscript"/>
              </w:rPr>
              <w:t>(2)(3)</w:t>
            </w:r>
          </w:p>
        </w:tc>
        <w:tc>
          <w:tcPr>
            <w:tcW w:w="3040" w:type="dxa"/>
            <w:vAlign w:val="bottom"/>
            <w:shd w:val="clear" w:color="auto" w:fill="CCEEFF"/>
          </w:tcPr>
          <w:p>
            <w:pPr>
              <w:jc w:val="center"/>
              <w:ind w:right="1570"/>
              <w:spacing w:after="0"/>
              <w:rPr>
                <w:sz w:val="20"/>
                <w:szCs w:val="20"/>
                <w:color w:val="auto"/>
              </w:rPr>
            </w:pPr>
            <w:r>
              <w:rPr>
                <w:rFonts w:ascii="Arial" w:cs="Arial" w:eastAsia="Arial" w:hAnsi="Arial"/>
                <w:sz w:val="18"/>
                <w:szCs w:val="18"/>
                <w:color w:val="auto"/>
                <w:w w:val="89"/>
              </w:rPr>
              <w:t>52</w:t>
            </w:r>
          </w:p>
        </w:tc>
        <w:tc>
          <w:tcPr>
            <w:tcW w:w="5220" w:type="dxa"/>
            <w:vAlign w:val="bottom"/>
            <w:shd w:val="clear" w:color="auto" w:fill="CCEEFF"/>
          </w:tcPr>
          <w:p>
            <w:pPr>
              <w:jc w:val="center"/>
              <w:ind w:right="1610"/>
              <w:spacing w:after="0"/>
              <w:rPr>
                <w:sz w:val="20"/>
                <w:szCs w:val="20"/>
                <w:color w:val="auto"/>
              </w:rPr>
            </w:pPr>
            <w:r>
              <w:rPr>
                <w:rFonts w:ascii="Arial" w:cs="Arial" w:eastAsia="Arial" w:hAnsi="Arial"/>
                <w:sz w:val="18"/>
                <w:szCs w:val="18"/>
                <w:color w:val="auto"/>
                <w:w w:val="95"/>
              </w:rPr>
              <w:t>Director</w:t>
            </w:r>
          </w:p>
        </w:tc>
      </w:tr>
      <w:tr>
        <w:trPr>
          <w:trHeight w:val="270"/>
        </w:trPr>
        <w:tc>
          <w:tcPr>
            <w:tcW w:w="2920" w:type="dxa"/>
            <w:vAlign w:val="bottom"/>
            <w:shd w:val="clear" w:color="auto" w:fill="CCEEFF"/>
          </w:tcPr>
          <w:p>
            <w:pPr>
              <w:ind w:left="400"/>
              <w:spacing w:after="0" w:line="270" w:lineRule="exact"/>
              <w:rPr>
                <w:sz w:val="20"/>
                <w:szCs w:val="20"/>
                <w:color w:val="auto"/>
              </w:rPr>
            </w:pPr>
            <w:r>
              <w:rPr>
                <w:rFonts w:ascii="Arial" w:cs="Arial" w:eastAsia="Arial" w:hAnsi="Arial"/>
                <w:sz w:val="18"/>
                <w:szCs w:val="18"/>
                <w:color w:val="auto"/>
              </w:rPr>
              <w:t>Tom Killalea</w:t>
            </w:r>
            <w:r>
              <w:rPr>
                <w:rFonts w:ascii="Arial" w:cs="Arial" w:eastAsia="Arial" w:hAnsi="Arial"/>
                <w:sz w:val="25"/>
                <w:szCs w:val="25"/>
                <w:color w:val="auto"/>
                <w:vertAlign w:val="superscript"/>
              </w:rPr>
              <w:t>(1)(3)</w:t>
            </w:r>
          </w:p>
        </w:tc>
        <w:tc>
          <w:tcPr>
            <w:tcW w:w="3040" w:type="dxa"/>
            <w:vAlign w:val="bottom"/>
            <w:shd w:val="clear" w:color="auto" w:fill="CCEEFF"/>
          </w:tcPr>
          <w:p>
            <w:pPr>
              <w:jc w:val="center"/>
              <w:ind w:right="1570"/>
              <w:spacing w:after="0"/>
              <w:rPr>
                <w:sz w:val="20"/>
                <w:szCs w:val="20"/>
                <w:color w:val="auto"/>
              </w:rPr>
            </w:pPr>
            <w:r>
              <w:rPr>
                <w:rFonts w:ascii="Arial" w:cs="Arial" w:eastAsia="Arial" w:hAnsi="Arial"/>
                <w:sz w:val="18"/>
                <w:szCs w:val="18"/>
                <w:color w:val="auto"/>
                <w:w w:val="89"/>
              </w:rPr>
              <w:t>52</w:t>
            </w:r>
          </w:p>
        </w:tc>
        <w:tc>
          <w:tcPr>
            <w:tcW w:w="5220" w:type="dxa"/>
            <w:vAlign w:val="bottom"/>
            <w:shd w:val="clear" w:color="auto" w:fill="CCEEFF"/>
          </w:tcPr>
          <w:p>
            <w:pPr>
              <w:jc w:val="center"/>
              <w:ind w:right="1610"/>
              <w:spacing w:after="0"/>
              <w:rPr>
                <w:sz w:val="20"/>
                <w:szCs w:val="20"/>
                <w:color w:val="auto"/>
              </w:rPr>
            </w:pPr>
            <w:r>
              <w:rPr>
                <w:rFonts w:ascii="Arial" w:cs="Arial" w:eastAsia="Arial" w:hAnsi="Arial"/>
                <w:sz w:val="18"/>
                <w:szCs w:val="18"/>
                <w:color w:val="auto"/>
                <w:w w:val="90"/>
              </w:rPr>
              <w:t>Chairman of the Board</w:t>
            </w:r>
          </w:p>
        </w:tc>
      </w:tr>
    </w:tbl>
    <w:p>
      <w:pPr>
        <w:spacing w:after="0" w:line="11"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4"/>
          <w:szCs w:val="14"/>
          <w:color w:val="auto"/>
        </w:rPr>
        <w:t>Member of the compensation committee.</w:t>
      </w:r>
    </w:p>
    <w:p>
      <w:pPr>
        <w:spacing w:after="0" w:line="123" w:lineRule="exact"/>
        <w:rPr>
          <w:rFonts w:ascii="Arial" w:cs="Arial" w:eastAsia="Arial" w:hAnsi="Arial"/>
          <w:sz w:val="25"/>
          <w:szCs w:val="25"/>
          <w:color w:val="auto"/>
          <w:vertAlign w:val="superscript"/>
        </w:rPr>
      </w:pPr>
    </w:p>
    <w:p>
      <w:pPr>
        <w:ind w:left="340" w:hanging="332"/>
        <w:spacing w:after="0" w:line="181" w:lineRule="auto"/>
        <w:tabs>
          <w:tab w:leader="none" w:pos="340" w:val="left"/>
        </w:tabs>
        <w:numPr>
          <w:ilvl w:val="0"/>
          <w:numId w:val="24"/>
        </w:numPr>
        <w:rPr>
          <w:rFonts w:ascii="Arial" w:cs="Arial" w:eastAsia="Arial" w:hAnsi="Arial"/>
          <w:sz w:val="23"/>
          <w:szCs w:val="23"/>
          <w:color w:val="auto"/>
          <w:vertAlign w:val="superscript"/>
        </w:rPr>
      </w:pPr>
      <w:r>
        <w:rPr>
          <w:rFonts w:ascii="Arial" w:cs="Arial" w:eastAsia="Arial" w:hAnsi="Arial"/>
          <w:sz w:val="13"/>
          <w:szCs w:val="13"/>
          <w:color w:val="auto"/>
        </w:rPr>
        <w:t>Member of the audit committee.</w:t>
      </w:r>
    </w:p>
    <w:p>
      <w:pPr>
        <w:spacing w:after="0" w:line="124" w:lineRule="exact"/>
        <w:rPr>
          <w:rFonts w:ascii="Arial" w:cs="Arial" w:eastAsia="Arial" w:hAnsi="Arial"/>
          <w:sz w:val="23"/>
          <w:szCs w:val="23"/>
          <w:color w:val="auto"/>
          <w:vertAlign w:val="superscript"/>
        </w:rPr>
      </w:pPr>
    </w:p>
    <w:p>
      <w:pPr>
        <w:ind w:left="340" w:hanging="332"/>
        <w:spacing w:after="0" w:line="181" w:lineRule="auto"/>
        <w:tabs>
          <w:tab w:leader="none" w:pos="340" w:val="left"/>
        </w:tabs>
        <w:numPr>
          <w:ilvl w:val="0"/>
          <w:numId w:val="24"/>
        </w:numPr>
        <w:rPr>
          <w:rFonts w:ascii="Arial" w:cs="Arial" w:eastAsia="Arial" w:hAnsi="Arial"/>
          <w:sz w:val="23"/>
          <w:szCs w:val="23"/>
          <w:color w:val="auto"/>
          <w:vertAlign w:val="superscript"/>
        </w:rPr>
      </w:pPr>
      <w:r>
        <w:rPr>
          <w:rFonts w:ascii="Arial" w:cs="Arial" w:eastAsia="Arial" w:hAnsi="Arial"/>
          <w:sz w:val="13"/>
          <w:szCs w:val="13"/>
          <w:color w:val="auto"/>
        </w:rPr>
        <w:t>Member of the nominating and corporate governance committee.</w:t>
      </w:r>
    </w:p>
    <w:p>
      <w:pPr>
        <w:spacing w:after="0" w:line="2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Set forth below is biographical information for the nominees and each person whose term of office as a director will continue after the meeting. This includes information regarding each director’s experience, qualifications, attributes or skills that led our board of directors to recommend them for board service.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at the 2020 Annual Meeting of Stockholders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Archana Agrawal </w:t>
      </w:r>
      <w:r>
        <w:rPr>
          <w:rFonts w:ascii="Arial" w:cs="Arial" w:eastAsia="Arial" w:hAnsi="Arial"/>
          <w:sz w:val="18"/>
          <w:szCs w:val="18"/>
          <w:color w:val="auto"/>
        </w:rPr>
        <w:t>has served as a member of our board of directors since August 2019. Ms. Agrawal is currently the Chief Marketing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Airtable, a cloud collaboration company, and has served in this capacity since March 2020. Previously, she was at Atlassian, a software business, from December 2013 to March 2020, in various roles, including Head of Enterprise and Cloud Marketing. Prior to that, Ms. Agrawal was at Ladders, Inc. from 2007 until 2013, where she led corporate-wide analytics. She began her career at the IBM Almaden Research Center. Archana has a combined sixteen years of experience in the software industry. She holds an M.B.A. from Harvard Business School and received her M.S. in computer science from the University of Illinois at Urbana-Champaign. We believe that Ms. Agrawal is qualified to serve on our board of directors based on her leadership experience and understanding of the software industry.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319"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Hope Cochran </w:t>
      </w:r>
      <w:r>
        <w:rPr>
          <w:rFonts w:ascii="Arial" w:cs="Arial" w:eastAsia="Arial" w:hAnsi="Arial"/>
          <w:sz w:val="16"/>
          <w:szCs w:val="16"/>
          <w:color w:val="auto"/>
        </w:rPr>
        <w:t>has served as a member of our board of directors since December 2016. Ms. Cochran is currently a Managing Director at Madrona</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Group, where she has served as a venture partner since January 2017. From September 2013 to June 2016, Ms. Cochran served as the Chief Financial Officer of the public gaming company King Digital Entertainment plc, which was acquired by Activision Blizzard, Inc. in February 2016. Prior to King Digital, she served as the Chief Financial Officer of Clearwire Corporation, a telecommunications operator, from February 2011 until its acquisition by Sprint, Inc. in July 2013. Previously, she has held several roles in the software industry, including at PeopleSoft, Inc., Evant Inc. and SkillsVillage Inc., a human resources company that she founded. Ms. Cochran has served on the board of directors of Hasbro, Inc., a public toy and board game company, since June 2016, and is chairperson of Hasbro’s audit committee and a member of its finance committee. She has also served on the board of directors and the audit committee of New Relic, Inc., a public software analytics company, since May 2018. Ms. Cochran received her B.A. in Economics and Music from Stanford University. We believe that Ms. Cochran is qualified to serve on our board of directors based on her financial and operating background in the technology sector and her experience serving on the board of directors of public companies.</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Dwight Merriman, </w:t>
      </w:r>
      <w:r>
        <w:rPr>
          <w:rFonts w:ascii="Arial" w:cs="Arial" w:eastAsia="Arial" w:hAnsi="Arial"/>
          <w:sz w:val="18"/>
          <w:szCs w:val="18"/>
          <w:color w:val="auto"/>
        </w:rPr>
        <w:t>one of our co-founders, will serve as a member of our board of directors effective following the conclusion of the upcoming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annual meeting of stockholders. He is currently employed as an advisor to MongoDB and will serve in such capacity until his election to the board of directors. Mr. Merriman also serves as an advisor to AlleyCorp, </w:t>
      </w:r>
      <w:r>
        <w:rPr>
          <w:rFonts w:ascii="Arial" w:cs="Arial" w:eastAsia="Arial" w:hAnsi="Arial"/>
          <w:sz w:val="18"/>
          <w:szCs w:val="18"/>
          <w:color w:val="auto"/>
          <w:highlight w:val="white"/>
        </w:rPr>
        <w:t>a firm dedicated to founding and funding companies in New York City.</w:t>
      </w:r>
      <w:r>
        <w:rPr>
          <w:rFonts w:ascii="Arial" w:cs="Arial" w:eastAsia="Arial" w:hAnsi="Arial"/>
          <w:sz w:val="18"/>
          <w:szCs w:val="18"/>
          <w:color w:val="auto"/>
        </w:rPr>
        <w:t xml:space="preserve"> In 1995, he co-founded DoubleClick (subsequently acquired by Google for $3.1 billion) and served as its Chief Technology Officer for ten years. Mr. Merriman was the architect of the DoubleClick ad serving infrastructure, DART, which serves tens of billions of ads per day. Earlier he was co-founder, Chairman, and the original architect of Panther Express (merged with CDNetworks), a content distribution network (CDN) technology. He is also a co-founder of, and investor in, Business Insider and Gilt Groupe. Mr. Merriman received his B.S. in Systems Analysis and Computer Science from Miami University. We believe that Mr. Merriman is qualified to serve on our board of directors based on his intimate knowledge of our business and his deep experience in our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2021 Annual Meeting of Stockholders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Roelof Botha </w:t>
      </w:r>
      <w:r>
        <w:rPr>
          <w:rFonts w:ascii="Arial" w:cs="Arial" w:eastAsia="Arial" w:hAnsi="Arial"/>
          <w:sz w:val="16"/>
          <w:szCs w:val="16"/>
          <w:color w:val="auto"/>
        </w:rPr>
        <w:t>has served as a member of our board of directors since December 2013. Since January 2003, Mr. Botha has served in various</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at Sequoia Capital, a venture capital firm, including as a Managing Member of Sequoia Capital Operations, LLC since 2007. From March 2000 to January 2003, Mr. Botha served in various positions at PayPal, Inc., a public online payments company, including as Chief Financial Officer. Mr. Botha has served on the board of directors of Eventbrite, a global platform for live experiences, since 2009, and on the board of directors of Natera, Inc., a public genetic testing company, since 2007. He has also served on the board of directors of Square, Inc., a public provider of payments, financial and marketing services, since 2011, and is a member of its audit and risk committee. He also currently serves on the board of directors of a number of privately-held companies. Mr. Botha previously served on the board of directors of Xoom Corporation, a payment processing company, from May 2005 until its acquisition by PayPal, Inc. in November 2015. Mr. Botha received his B.S. in Actuarial Science, Economics and Statistics from the University of Cape Town and his M.B.A. from the Stanford Graduate School of Business. We believe that Mr. Botha is qualified to serve on our board of directors due to his knowledge of the technology industry and his experience serving on the boards of directors of public companies.</w:t>
      </w:r>
    </w:p>
    <w:p>
      <w:pPr>
        <w:spacing w:after="0" w:line="16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Dev Ittycheria </w:t>
      </w:r>
      <w:r>
        <w:rPr>
          <w:rFonts w:ascii="Arial" w:cs="Arial" w:eastAsia="Arial" w:hAnsi="Arial"/>
          <w:sz w:val="16"/>
          <w:szCs w:val="16"/>
          <w:color w:val="auto"/>
        </w:rPr>
        <w:t>has served as our President and Chief Executive Officer and as a member of our board of directors since September 2014.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joining us, Mr. Ittycheria served as a Managing Director at OpenView Venture Partners, a venture capital firm, from October 2013 to September 2014. From February 2012 to June 2013, Mr. Ittycheria served as Venture Partner at Greylock Partners, a venture capital firm. From April 2008 to February 2010, Mr. Ittycheria served as President-Enterprise Management at BMC Software, Inc., a computer software company, which he joined in connection with its acquisition of BladeLogic, Inc., a computer software company that Mr. Ittycheria co-founded and for which he served as Chief Executive Officer. Mr. Ittycheria currently serves as lead independent director of the board of directors of Datadog, Inc., a public software company. Mr. Ittycheria previously served on the boards of directors of Bazaarvoice, Inc., a public software company (January 2010 to August 2014); athenahealth, Inc., a public cloud-based services company (June 2010 to February 2019); and AppDynamics, Inc., a private software company (March 2011 until its acquisition by Cisco Systems, Inc. in March 2017). Mr. Ittycheria received his B.S. in Electrical Engineering from Rutgers University. We believe that Mr. Ittycheria is qualified to serve on our board of directors because of his experience building and leading high growth businesses, his service on the boards of multiple public companies and his expertise and insight into corporate matters as our President and Chief Executive Officer.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319"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John McMahon </w:t>
      </w:r>
      <w:r>
        <w:rPr>
          <w:rFonts w:ascii="Arial" w:cs="Arial" w:eastAsia="Arial" w:hAnsi="Arial"/>
          <w:sz w:val="16"/>
          <w:szCs w:val="16"/>
          <w:color w:val="auto"/>
        </w:rPr>
        <w:t>has served as a member of our board of directors since October 2016. From April 2008 to September 2011, Mr. McMahon</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Senior Vice President, Worldwide Sales and Services at BMC Software, Inc. He joined BMC Software, Inc. in connection with its acquisition of BladeLogic, Inc., where he served as Chief Operating Officer. Prior to BladeLogic, Inc., Mr. McMahon served as CEO of High Roads from June 2002 to July 2005. Prior to High Roads, Mr. McMahon was VP of Worldwide Sales at Ariba from April 2000 to January 2002, and as VP-Worldwide Sales from October 1998 to April 2000 at GeoTel Communications, LLC through its acquisition by Cisco Systems, Inc. Prior to GeoTel, Mr. McMahon served as Executive Vice President of Worldwide Sales at Parametric Technology Corporation from 1989 to 1998. Currently, Mr. McMahon serves on the board of directors of several enterprise software private companies, including Snowflake Computing, Inc., Sigma Computing, Lacework and Cybereason Inc. In the past, Mr. McMahon has served on the board of directors of Sprinklr Inc. and Sumo Logic, Inc. and as an executive consultant for AppDynamics, Inc., Glassdoor, Inc. and HubSpot, Inc. Mr. McMahon received his B.S.E.E. in Electrical Engineering from New Jersey Institute of Technology. We believe that Mr. McMahon is qualified to serve on our board of directors due to his deep software sales experience.</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Mark Porter </w:t>
      </w:r>
      <w:r>
        <w:rPr>
          <w:rFonts w:ascii="Arial" w:cs="Arial" w:eastAsia="Arial" w:hAnsi="Arial"/>
          <w:sz w:val="17"/>
          <w:szCs w:val="17"/>
          <w:color w:val="auto"/>
        </w:rPr>
        <w:t>has served as a member of our board of directors since February 2020. Since October 2018, Mr. Porter has served as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Officer (CTO) of Mobility and Core Technology at Grab, an on-demand transportation, food, package delivery, digital payments and financial services company. Previously, Mr. Porter was a General Manager at Amazon Web Services, from May 2013 until October 2018, where he led the Relational Database Service (RDS), Amazon Aurora and RDS for PostgreSQL, the AWS Database Migration Service and the AWS Schema Conversion Tool. Prior to Amazon, Mr. Porter held various roles including CTO of the Shared Learning Initiative at NewsCorp and Vice President of Engineering at Oracle Corporation, as well as working at NASA/JPL and being an early member of the Oracle Database Kernel group. He has been professionally coding since he was 16 years old and founded and ran his own electronics services integration company. Mr. Porter currently serves on the board of directors of Splyt, a private global mobility company. He previously served, from March 2018 until January 2020, as a Board Advisor to MariaDB, a database company. He holds a B.S. in Engineering and Applied Science from Caltech. We believe that Mr. Porter is qualified to serve on our board of directors based on his deep experience in the database industry.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2022 Annual Meeting of Stockholders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Francisco D’Souza </w:t>
      </w:r>
      <w:r>
        <w:rPr>
          <w:rFonts w:ascii="Arial" w:cs="Arial" w:eastAsia="Arial" w:hAnsi="Arial"/>
          <w:sz w:val="18"/>
          <w:szCs w:val="18"/>
          <w:color w:val="auto"/>
        </w:rPr>
        <w:t>has served as a member of our board of directors since November 2019. Mr. D’Souza co-founded Cognizant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(“Cognizant”) in 1994 and served as its Chief Executive Officer from January 2007 to March 2019, where he oversaw a period of sustained growth and transformation that included: 10x increase in revenue from $1.4 billion in 2006 to $16.1 billion in 2018, a 7x increase in headcount from 39,000 in 2006 to 282,000 in 2018 and Cognizant’s inclusion in the Fortune 200. Mr. D’Souza also served on the board of directors of Cognizant from January 2007 to March 2020 and as its Vice Chairman from June 2018 to March 2020. Mr. D’Souza serves on the board of directors of General Electric Company and on the tech-focused international advisory board of Banco Santander. He holds a B.B.A from the University of Macau and an M.B.A. from Carnegie Mellon University. We believe that Mr. D’Souza is qualified to serve on our board of directors based on his various executive leadership roles and technology industry expertise.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Charles M. Hazard, Jr. </w:t>
      </w:r>
      <w:r>
        <w:rPr>
          <w:rFonts w:ascii="Arial" w:cs="Arial" w:eastAsia="Arial" w:hAnsi="Arial"/>
          <w:sz w:val="17"/>
          <w:szCs w:val="17"/>
          <w:color w:val="auto"/>
        </w:rPr>
        <w:t>has served as a member of our board of directors since October 2009. Mr. Hazard is a co-founder and has served as a</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Partner of Flybridge Capital Partners, a venture capital firm, since May 2002. He currently represents Flybridge Capital Partners on the boards of directors of a number of privately-held companies. Prior to co-founding Flybridge, Mr. Hazard served as a General Partner at Greylock Partners. Prior to that, he was with Company Assistance Limited, an investment and consulting firm, and Bain and Company, an international management-consulting firm. Mr. Hazard received his B.A. in Economics and Political Science from Stanford University and his M.B.A. from Harvard Business School. We believe that Mr. Hazard is qualified to serve on our board of directors because of his significant knowledge of and history with our company, his knowledge of the industry in which we operate and his extensive investment and board of directors’ experience.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319" w:right="3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Tom Killalea </w:t>
      </w:r>
      <w:r>
        <w:rPr>
          <w:rFonts w:ascii="Arial" w:cs="Arial" w:eastAsia="Arial" w:hAnsi="Arial"/>
          <w:sz w:val="16"/>
          <w:szCs w:val="16"/>
          <w:color w:val="auto"/>
        </w:rPr>
        <w:t>has served as a member of our board of directors since December 2015 and as the chairperson of the board of directors since July</w:t>
      </w:r>
      <w:r>
        <w:rPr>
          <w:rFonts w:ascii="Arial" w:cs="Arial" w:eastAsia="Arial" w:hAnsi="Arial"/>
          <w:sz w:val="16"/>
          <w:szCs w:val="16"/>
          <w:b w:val="1"/>
          <w:bCs w:val="1"/>
          <w:color w:val="auto"/>
        </w:rPr>
        <w:t xml:space="preserve"> </w:t>
      </w:r>
      <w:r>
        <w:rPr>
          <w:rFonts w:ascii="Arial" w:cs="Arial" w:eastAsia="Arial" w:hAnsi="Arial"/>
          <w:sz w:val="16"/>
          <w:szCs w:val="16"/>
          <w:color w:val="auto"/>
        </w:rPr>
        <w:t>2019. He currently serves on the board of directors of Akamai Technologies, Inc., a public technology company that provides cloud services for delivering content and business applications over the internet, and Capital One Financial Corp., a public bank holding company. Mr. Killalea has been an advisor to technology-driven companies since November 2014 and is the owner and President of Aoinle, LLC, a consulting firm. From May 1998 to November 2014, Mr. Killalea served in various leadership roles at Amazon.com, Inc., an electronic commerce and cloud computing company, most recently as its Vice President of Technology for the Kindle Content Ecosystem from January 2008 to November 2014. He led Amazon’s Infrastructure and Distributed Systems team, which later became a key part of the Amazon Web Services platform. Prior to that he served as Amazon’s first Chief Information Security Officer and Vice President of Security. Mr. Killalea previously served on the board of directors of Xoom Corporation from March 2015 until its acquisition by PayPal, Inc. in November 2015, and Carbon Black, Inc., from April 2017 until its acquisition by VMware, Inc. in October 2019. Mr. Killalea received his B.Ed. in Education from the National University of Ireland, and his B.S. in Computer Science from Trinity College Dublin. We believe that Mr. Killalea is qualified to serve on our board of directors based on his deep expertise in product development, digital innovation, customer experience and security.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319"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a combination of cash and equity compensation is appropriate to attract and retain the individuals we desire to serve on our board of directors and that this approach is comparable to the policies of our peers. We feel that it is appropriate to provide cash compensation to our non-employee directors to compensate them for their time and effort and to provide equity compensation to our non-employee directors to align their long-term interests with those of MongoDB and our stockholders. We review our director compensation program annually with input from our compensation consultants.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Compensation</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our non-employee director compensation program, our non-employee directors receive annual cash retainers for their service on our board of directors and its committees. These cash retainers may be paid in cash or in fully vested shares of our Class A common stock at the election of the director.</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fiscal year 2020, our non-employee directors were eligible to receive the following cash fees for service on our board of directors and its committees. These fees did not change from fiscal year 2019 to fiscal year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Compensation Element</w:t>
            </w:r>
          </w:p>
        </w:tc>
        <w:tc>
          <w:tcPr>
            <w:tcW w:w="4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Annual Cash Retainer ($)</w:t>
            </w:r>
            <w:r>
              <w:rPr>
                <w:rFonts w:ascii="Arial" w:cs="Arial" w:eastAsia="Arial" w:hAnsi="Arial"/>
                <w:sz w:val="25"/>
                <w:szCs w:val="25"/>
                <w:color w:val="auto"/>
                <w:vertAlign w:val="superscript"/>
              </w:rPr>
              <w:t>(1)</w:t>
            </w: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Annual Retainer</w:t>
            </w:r>
          </w:p>
        </w:tc>
        <w:tc>
          <w:tcPr>
            <w:tcW w:w="426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30,000</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Non-Executive Chairperson Retainer</w:t>
            </w:r>
          </w:p>
        </w:tc>
        <w:tc>
          <w:tcPr>
            <w:tcW w:w="426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87"/>
              </w:rPr>
              <w:t>20,000</w:t>
            </w:r>
          </w:p>
        </w:tc>
      </w:tr>
      <w:tr>
        <w:trPr>
          <w:trHeight w:val="27"/>
        </w:trPr>
        <w:tc>
          <w:tcPr>
            <w:tcW w:w="37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43"/>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Committee Chair Retainer</w:t>
            </w: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20,000</w:t>
            </w:r>
          </w:p>
        </w:tc>
      </w:tr>
      <w:tr>
        <w:trPr>
          <w:trHeight w:val="270"/>
        </w:trPr>
        <w:tc>
          <w:tcPr>
            <w:tcW w:w="3720" w:type="dxa"/>
            <w:vAlign w:val="bottom"/>
            <w:shd w:val="clear" w:color="auto" w:fill="CCEEFF"/>
          </w:tcPr>
          <w:p>
            <w:pPr>
              <w:spacing w:after="0"/>
              <w:rPr>
                <w:sz w:val="23"/>
                <w:szCs w:val="23"/>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3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12,000</w:t>
            </w:r>
          </w:p>
        </w:tc>
      </w:tr>
      <w:tr>
        <w:trPr>
          <w:trHeight w:val="277"/>
        </w:trPr>
        <w:tc>
          <w:tcPr>
            <w:tcW w:w="3720" w:type="dxa"/>
            <w:vAlign w:val="bottom"/>
            <w:tcBorders>
              <w:bottom w:val="single" w:sz="8" w:color="CCEEFF"/>
            </w:tcBorders>
            <w:shd w:val="clear" w:color="auto" w:fill="CCEEFF"/>
          </w:tcPr>
          <w:p>
            <w:pPr>
              <w:spacing w:after="0"/>
              <w:rPr>
                <w:sz w:val="24"/>
                <w:szCs w:val="24"/>
                <w:color w:val="auto"/>
              </w:rPr>
            </w:pPr>
          </w:p>
        </w:tc>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Nominating and Corporate Governance</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7,500</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Non-Chair Committee Retainer</w:t>
            </w:r>
          </w:p>
        </w:tc>
        <w:tc>
          <w:tcPr>
            <w:tcW w:w="4260" w:type="dxa"/>
            <w:vAlign w:val="bottom"/>
          </w:tcPr>
          <w:p>
            <w:pPr>
              <w:ind w:left="20"/>
              <w:spacing w:after="0"/>
              <w:rPr>
                <w:sz w:val="20"/>
                <w:szCs w:val="20"/>
                <w:color w:val="auto"/>
              </w:rPr>
            </w:pPr>
            <w:r>
              <w:rPr>
                <w:rFonts w:ascii="Arial" w:cs="Arial" w:eastAsia="Arial" w:hAnsi="Arial"/>
                <w:sz w:val="18"/>
                <w:szCs w:val="18"/>
                <w:color w:val="auto"/>
              </w:rPr>
              <w:t>Audit</w:t>
            </w:r>
          </w:p>
        </w:tc>
        <w:tc>
          <w:tcPr>
            <w:tcW w:w="3260" w:type="dxa"/>
            <w:vAlign w:val="bottom"/>
          </w:tcPr>
          <w:p>
            <w:pPr>
              <w:jc w:val="center"/>
              <w:spacing w:after="0"/>
              <w:rPr>
                <w:sz w:val="20"/>
                <w:szCs w:val="20"/>
                <w:color w:val="auto"/>
              </w:rPr>
            </w:pPr>
            <w:r>
              <w:rPr>
                <w:rFonts w:ascii="Arial" w:cs="Arial" w:eastAsia="Arial" w:hAnsi="Arial"/>
                <w:sz w:val="18"/>
                <w:szCs w:val="18"/>
                <w:color w:val="auto"/>
                <w:w w:val="88"/>
              </w:rPr>
              <w:t>8,000</w:t>
            </w:r>
          </w:p>
        </w:tc>
      </w:tr>
      <w:tr>
        <w:trPr>
          <w:trHeight w:val="270"/>
        </w:trPr>
        <w:tc>
          <w:tcPr>
            <w:tcW w:w="37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3260" w:type="dxa"/>
            <w:vAlign w:val="bottom"/>
          </w:tcPr>
          <w:p>
            <w:pPr>
              <w:jc w:val="center"/>
              <w:spacing w:after="0"/>
              <w:rPr>
                <w:sz w:val="20"/>
                <w:szCs w:val="20"/>
                <w:color w:val="auto"/>
              </w:rPr>
            </w:pPr>
            <w:r>
              <w:rPr>
                <w:rFonts w:ascii="Arial" w:cs="Arial" w:eastAsia="Arial" w:hAnsi="Arial"/>
                <w:sz w:val="18"/>
                <w:szCs w:val="18"/>
                <w:color w:val="auto"/>
                <w:w w:val="88"/>
              </w:rPr>
              <w:t>5,000</w:t>
            </w:r>
          </w:p>
        </w:tc>
      </w:tr>
      <w:tr>
        <w:trPr>
          <w:trHeight w:val="270"/>
        </w:trPr>
        <w:tc>
          <w:tcPr>
            <w:tcW w:w="3720" w:type="dxa"/>
            <w:vAlign w:val="bottom"/>
          </w:tcPr>
          <w:p>
            <w:pPr>
              <w:spacing w:after="0"/>
              <w:rPr>
                <w:sz w:val="23"/>
                <w:szCs w:val="23"/>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Nominating and Corporate Governance</w:t>
            </w:r>
          </w:p>
        </w:tc>
        <w:tc>
          <w:tcPr>
            <w:tcW w:w="3260" w:type="dxa"/>
            <w:vAlign w:val="bottom"/>
          </w:tcPr>
          <w:p>
            <w:pPr>
              <w:jc w:val="center"/>
              <w:spacing w:after="0"/>
              <w:rPr>
                <w:sz w:val="20"/>
                <w:szCs w:val="20"/>
                <w:color w:val="auto"/>
              </w:rPr>
            </w:pPr>
            <w:r>
              <w:rPr>
                <w:rFonts w:ascii="Arial" w:cs="Arial" w:eastAsia="Arial" w:hAnsi="Arial"/>
                <w:sz w:val="18"/>
                <w:szCs w:val="18"/>
                <w:color w:val="auto"/>
                <w:w w:val="88"/>
              </w:rPr>
              <w:t>4,000</w:t>
            </w:r>
          </w:p>
        </w:tc>
      </w:tr>
    </w:tbl>
    <w:p>
      <w:pPr>
        <w:spacing w:after="0" w:line="35" w:lineRule="exact"/>
        <w:rPr>
          <w:sz w:val="20"/>
          <w:szCs w:val="20"/>
          <w:color w:val="auto"/>
        </w:rPr>
      </w:pPr>
    </w:p>
    <w:p>
      <w:pPr>
        <w:ind w:left="340" w:hanging="332"/>
        <w:spacing w:after="0" w:line="213"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4"/>
          <w:szCs w:val="14"/>
          <w:color w:val="auto"/>
        </w:rPr>
        <w:t>If the relevant director elects to be paid in fully vested shares of Class A common stock, the number of shares of Class A common stock granted to each such director will be based on the average closing price of our Class A common stock on the Nasdaq for the 30 trading days immediately prior to the grant date.</w:t>
      </w:r>
    </w:p>
    <w:p>
      <w:pPr>
        <w:spacing w:after="0" w:line="1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also reimburse our non-employee directors for their reasonable expenses incurred in connection with attending board of directors and committee meetings.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Compensation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our non-employee director compensation program, our non-employee directors are eligible to receive restricted stock unit (“RSU”)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awards for their service on our board of directors as follows:</w:t>
      </w:r>
    </w:p>
    <w:p>
      <w:pPr>
        <w:spacing w:after="0" w:line="207" w:lineRule="exact"/>
        <w:rPr>
          <w:sz w:val="20"/>
          <w:szCs w:val="20"/>
          <w:color w:val="auto"/>
        </w:rPr>
      </w:pPr>
    </w:p>
    <w:p>
      <w:pPr>
        <w:jc w:val="both"/>
        <w:ind w:left="980" w:hanging="324"/>
        <w:spacing w:after="0" w:line="272" w:lineRule="auto"/>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Initial Equity Grant</w:t>
      </w:r>
      <w:r>
        <w:rPr>
          <w:rFonts w:ascii="Arial" w:cs="Arial" w:eastAsia="Arial" w:hAnsi="Arial"/>
          <w:sz w:val="17"/>
          <w:szCs w:val="17"/>
          <w:color w:val="auto"/>
        </w:rPr>
        <w:t>. Each newly elected non-employee director is eligible to receive an RSU award (the “Initial Grant”). In fiscal year</w:t>
      </w:r>
      <w:r>
        <w:rPr>
          <w:rFonts w:ascii="Arial" w:cs="Arial" w:eastAsia="Arial" w:hAnsi="Arial"/>
          <w:sz w:val="17"/>
          <w:szCs w:val="17"/>
          <w:b w:val="1"/>
          <w:bCs w:val="1"/>
          <w:color w:val="auto"/>
        </w:rPr>
        <w:t xml:space="preserve"> </w:t>
      </w:r>
      <w:r>
        <w:rPr>
          <w:rFonts w:ascii="Arial" w:cs="Arial" w:eastAsia="Arial" w:hAnsi="Arial"/>
          <w:sz w:val="17"/>
          <w:szCs w:val="17"/>
          <w:color w:val="auto"/>
        </w:rPr>
        <w:t>2020, newly elected non-employee directors were eligible to receive a number of shares equal in value to $330,000 (which did not change from fiscal year 2019). The number of shares underlying the RSU award granted to each director on such date is based on the average closing price of our Class A common stock on the Nasdaq for the 30 trading days immediately prior to the grant date. The shares underlying the Initial Grant vest in a series of three equal annual installments on each anniversary of the grant date, subject to the director’s continued service through each vesting date. In the event of the termination of a director’s service on our board of directors in connection with a change in control (as defined in our 2016 Equity Incentive Plan (the “2016 Plan”)), any unvested shares underlying the Initial Grant will fully vest and become exercisable as of the effective date of such termination.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40"/>
          </w:cols>
          <w:pgMar w:left="320" w:top="319"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jc w:val="both"/>
        <w:ind w:left="980" w:hanging="324"/>
        <w:spacing w:after="0" w:line="271"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Annual Equity Grant</w:t>
      </w:r>
      <w:r>
        <w:rPr>
          <w:rFonts w:ascii="Arial" w:cs="Arial" w:eastAsia="Arial" w:hAnsi="Arial"/>
          <w:sz w:val="17"/>
          <w:szCs w:val="17"/>
          <w:color w:val="auto"/>
        </w:rPr>
        <w:t>. On the date of our annual stockholder meeting, each then-current, non-employee director is eligible to receive an RSU</w:t>
      </w:r>
      <w:r>
        <w:rPr>
          <w:rFonts w:ascii="Arial" w:cs="Arial" w:eastAsia="Arial" w:hAnsi="Arial"/>
          <w:sz w:val="17"/>
          <w:szCs w:val="17"/>
          <w:b w:val="1"/>
          <w:bCs w:val="1"/>
          <w:color w:val="auto"/>
        </w:rPr>
        <w:t xml:space="preserve"> </w:t>
      </w:r>
      <w:r>
        <w:rPr>
          <w:rFonts w:ascii="Arial" w:cs="Arial" w:eastAsia="Arial" w:hAnsi="Arial"/>
          <w:sz w:val="17"/>
          <w:szCs w:val="17"/>
          <w:color w:val="auto"/>
        </w:rPr>
        <w:t>award (the “Annual Grant”). In fiscal year 2020, then-current non-employee directors were eligible to receive a number of shares equal in value to $165,000 (which did not change from fiscal year 2019). The number of shares underlying the RSU award granted to each director on such date is based on the average closing price of our Class A common stock on the Nasdaq for the 30 trading days immediately prior to the grant date. The shares underlying each Annual Grant vest on the earlier of (a) the first anniversary of the grant date and (b) our next annual stockholder meeting, subject to the director’s continued service through such date. In the event of the termination of a director’s service on our board of directors in connection with a change in control (as defined in the 2016 Plan), any unvested shares underlying the Annual Grant will fully vest and become exercisable as of the effective date of such termination. Newly elected directors will not be granted an Annual Grant during their first year of service.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Fiscal Year 2020 Director Compensation Table</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regarding the total compensation of our non-employee directors for the fiscal year ended January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760" w:type="dxa"/>
            <w:vAlign w:val="bottom"/>
          </w:tcPr>
          <w:p>
            <w:pPr>
              <w:jc w:val="center"/>
              <w:ind w:right="370"/>
              <w:spacing w:after="0"/>
              <w:rPr>
                <w:sz w:val="20"/>
                <w:szCs w:val="20"/>
                <w:color w:val="auto"/>
              </w:rPr>
            </w:pPr>
            <w:r>
              <w:rPr>
                <w:rFonts w:ascii="Arial" w:cs="Arial" w:eastAsia="Arial" w:hAnsi="Arial"/>
                <w:sz w:val="18"/>
                <w:szCs w:val="18"/>
                <w:b w:val="1"/>
                <w:bCs w:val="1"/>
                <w:color w:val="auto"/>
                <w:w w:val="89"/>
              </w:rPr>
              <w:t>Stock Awards</w:t>
            </w:r>
          </w:p>
        </w:tc>
        <w:tc>
          <w:tcPr>
            <w:tcW w:w="290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r>
      <w:tr>
        <w:trPr>
          <w:trHeight w:val="261"/>
        </w:trPr>
        <w:tc>
          <w:tcPr>
            <w:tcW w:w="2020" w:type="dxa"/>
            <w:vAlign w:val="bottom"/>
            <w:tcBorders>
              <w:bottom w:val="single" w:sz="8" w:color="auto"/>
            </w:tcBorders>
          </w:tcPr>
          <w:p>
            <w:pPr>
              <w:ind w:left="60"/>
              <w:spacing w:after="0" w:line="262" w:lineRule="exact"/>
              <w:rPr>
                <w:sz w:val="20"/>
                <w:szCs w:val="20"/>
                <w:color w:val="auto"/>
              </w:rPr>
            </w:pPr>
            <w:r>
              <w:rPr>
                <w:rFonts w:ascii="Arial" w:cs="Arial" w:eastAsia="Arial" w:hAnsi="Arial"/>
                <w:sz w:val="18"/>
                <w:szCs w:val="18"/>
                <w:b w:val="1"/>
                <w:bCs w:val="1"/>
                <w:color w:val="auto"/>
              </w:rPr>
              <w:t>Name</w:t>
            </w:r>
            <w:r>
              <w:rPr>
                <w:rFonts w:ascii="Arial" w:cs="Arial" w:eastAsia="Arial" w:hAnsi="Arial"/>
                <w:sz w:val="25"/>
                <w:szCs w:val="25"/>
                <w:b w:val="1"/>
                <w:bCs w:val="1"/>
                <w:color w:val="auto"/>
                <w:vertAlign w:val="superscript"/>
              </w:rPr>
              <w:t>(1)</w:t>
            </w:r>
          </w:p>
        </w:tc>
        <w:tc>
          <w:tcPr>
            <w:tcW w:w="3540" w:type="dxa"/>
            <w:vAlign w:val="bottom"/>
            <w:tcBorders>
              <w:bottom w:val="single" w:sz="8" w:color="auto"/>
            </w:tcBorders>
          </w:tcPr>
          <w:p>
            <w:pPr>
              <w:ind w:left="360"/>
              <w:spacing w:after="0" w:line="262" w:lineRule="exact"/>
              <w:rPr>
                <w:sz w:val="20"/>
                <w:szCs w:val="20"/>
                <w:color w:val="auto"/>
              </w:rPr>
            </w:pPr>
            <w:r>
              <w:rPr>
                <w:rFonts w:ascii="Arial" w:cs="Arial" w:eastAsia="Arial" w:hAnsi="Arial"/>
                <w:sz w:val="18"/>
                <w:szCs w:val="18"/>
                <w:b w:val="1"/>
                <w:bCs w:val="1"/>
                <w:color w:val="auto"/>
              </w:rPr>
              <w:t>Fees Earned or Paid in Cash</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760" w:type="dxa"/>
            <w:vAlign w:val="bottom"/>
            <w:tcBorders>
              <w:bottom w:val="single" w:sz="8" w:color="auto"/>
            </w:tcBorders>
          </w:tcPr>
          <w:p>
            <w:pPr>
              <w:jc w:val="right"/>
              <w:ind w:right="1430"/>
              <w:spacing w:after="0"/>
              <w:rPr>
                <w:sz w:val="20"/>
                <w:szCs w:val="20"/>
                <w:color w:val="auto"/>
              </w:rPr>
            </w:pPr>
            <w:r>
              <w:rPr>
                <w:rFonts w:ascii="Arial" w:cs="Arial" w:eastAsia="Arial" w:hAnsi="Arial"/>
                <w:sz w:val="18"/>
                <w:szCs w:val="18"/>
                <w:b w:val="1"/>
                <w:bCs w:val="1"/>
                <w:color w:val="auto"/>
              </w:rPr>
              <w:t>($)</w:t>
            </w:r>
          </w:p>
        </w:tc>
        <w:tc>
          <w:tcPr>
            <w:tcW w:w="29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w:t>
            </w:r>
          </w:p>
        </w:tc>
      </w:tr>
      <w:tr>
        <w:trPr>
          <w:trHeight w:val="263"/>
        </w:trPr>
        <w:tc>
          <w:tcPr>
            <w:tcW w:w="2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Archana Agrawal</w:t>
            </w:r>
          </w:p>
        </w:tc>
        <w:tc>
          <w:tcPr>
            <w:tcW w:w="354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0"/>
              </w:rPr>
              <w:t>14,887</w:t>
            </w:r>
          </w:p>
        </w:tc>
        <w:tc>
          <w:tcPr>
            <w:tcW w:w="2760" w:type="dxa"/>
            <w:vAlign w:val="bottom"/>
            <w:shd w:val="clear" w:color="auto" w:fill="CCEEFF"/>
          </w:tcPr>
          <w:p>
            <w:pPr>
              <w:jc w:val="center"/>
              <w:ind w:right="430"/>
              <w:spacing w:after="0" w:line="263" w:lineRule="exact"/>
              <w:rPr>
                <w:sz w:val="20"/>
                <w:szCs w:val="20"/>
                <w:color w:val="auto"/>
              </w:rPr>
            </w:pPr>
            <w:r>
              <w:rPr>
                <w:rFonts w:ascii="Arial" w:cs="Arial" w:eastAsia="Arial" w:hAnsi="Arial"/>
                <w:sz w:val="18"/>
                <w:szCs w:val="18"/>
                <w:color w:val="auto"/>
                <w:w w:val="84"/>
              </w:rPr>
              <w:t>345,921</w:t>
            </w:r>
            <w:r>
              <w:rPr>
                <w:rFonts w:ascii="Arial" w:cs="Arial" w:eastAsia="Arial" w:hAnsi="Arial"/>
                <w:sz w:val="25"/>
                <w:szCs w:val="25"/>
                <w:color w:val="auto"/>
                <w:w w:val="84"/>
                <w:vertAlign w:val="superscript"/>
              </w:rPr>
              <w:t>(3)</w:t>
            </w:r>
          </w:p>
        </w:tc>
        <w:tc>
          <w:tcPr>
            <w:tcW w:w="29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360,808</w:t>
            </w: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Roelof Botha</w:t>
            </w:r>
          </w:p>
        </w:tc>
        <w:tc>
          <w:tcPr>
            <w:tcW w:w="3540" w:type="dxa"/>
            <w:vAlign w:val="bottom"/>
          </w:tcPr>
          <w:p>
            <w:pPr>
              <w:jc w:val="center"/>
              <w:ind w:right="190"/>
              <w:spacing w:after="0"/>
              <w:rPr>
                <w:sz w:val="20"/>
                <w:szCs w:val="20"/>
                <w:color w:val="auto"/>
              </w:rPr>
            </w:pPr>
            <w:r>
              <w:rPr>
                <w:rFonts w:ascii="Arial" w:cs="Arial" w:eastAsia="Arial" w:hAnsi="Arial"/>
                <w:sz w:val="18"/>
                <w:szCs w:val="18"/>
                <w:color w:val="auto"/>
                <w:w w:val="90"/>
              </w:rPr>
              <w:t>38,000</w:t>
            </w:r>
          </w:p>
        </w:tc>
        <w:tc>
          <w:tcPr>
            <w:tcW w:w="2760" w:type="dxa"/>
            <w:vAlign w:val="bottom"/>
          </w:tcPr>
          <w:p>
            <w:pPr>
              <w:jc w:val="center"/>
              <w:ind w:right="430"/>
              <w:spacing w:after="0" w:line="270" w:lineRule="exact"/>
              <w:rPr>
                <w:sz w:val="20"/>
                <w:szCs w:val="20"/>
                <w:color w:val="auto"/>
              </w:rPr>
            </w:pPr>
            <w:r>
              <w:rPr>
                <w:rFonts w:ascii="Arial" w:cs="Arial" w:eastAsia="Arial" w:hAnsi="Arial"/>
                <w:sz w:val="18"/>
                <w:szCs w:val="18"/>
                <w:color w:val="auto"/>
                <w:w w:val="84"/>
              </w:rPr>
              <w:t>166,192</w:t>
            </w:r>
            <w:r>
              <w:rPr>
                <w:rFonts w:ascii="Arial" w:cs="Arial" w:eastAsia="Arial" w:hAnsi="Arial"/>
                <w:sz w:val="25"/>
                <w:szCs w:val="25"/>
                <w:color w:val="auto"/>
                <w:w w:val="84"/>
                <w:vertAlign w:val="superscript"/>
              </w:rPr>
              <w:t>(4)</w:t>
            </w:r>
          </w:p>
        </w:tc>
        <w:tc>
          <w:tcPr>
            <w:tcW w:w="2900" w:type="dxa"/>
            <w:vAlign w:val="bottom"/>
          </w:tcPr>
          <w:p>
            <w:pPr>
              <w:jc w:val="center"/>
              <w:ind w:right="50"/>
              <w:spacing w:after="0"/>
              <w:rPr>
                <w:sz w:val="20"/>
                <w:szCs w:val="20"/>
                <w:color w:val="auto"/>
              </w:rPr>
            </w:pPr>
            <w:r>
              <w:rPr>
                <w:rFonts w:ascii="Arial" w:cs="Arial" w:eastAsia="Arial" w:hAnsi="Arial"/>
                <w:sz w:val="18"/>
                <w:szCs w:val="18"/>
                <w:color w:val="auto"/>
                <w:w w:val="92"/>
              </w:rPr>
              <w:t>204,192</w:t>
            </w: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Hope Cochran</w:t>
            </w:r>
          </w:p>
        </w:tc>
        <w:tc>
          <w:tcPr>
            <w:tcW w:w="354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0"/>
              </w:rPr>
              <w:t>54,503</w:t>
            </w:r>
          </w:p>
        </w:tc>
        <w:tc>
          <w:tcPr>
            <w:tcW w:w="2760" w:type="dxa"/>
            <w:vAlign w:val="bottom"/>
            <w:shd w:val="clear" w:color="auto" w:fill="CCEEFF"/>
          </w:tcPr>
          <w:p>
            <w:pPr>
              <w:jc w:val="center"/>
              <w:ind w:right="430"/>
              <w:spacing w:after="0" w:line="270" w:lineRule="exact"/>
              <w:rPr>
                <w:sz w:val="20"/>
                <w:szCs w:val="20"/>
                <w:color w:val="auto"/>
              </w:rPr>
            </w:pPr>
            <w:r>
              <w:rPr>
                <w:rFonts w:ascii="Arial" w:cs="Arial" w:eastAsia="Arial" w:hAnsi="Arial"/>
                <w:sz w:val="18"/>
                <w:szCs w:val="18"/>
                <w:color w:val="auto"/>
                <w:w w:val="84"/>
              </w:rPr>
              <w:t>166,192</w:t>
            </w:r>
            <w:r>
              <w:rPr>
                <w:rFonts w:ascii="Arial" w:cs="Arial" w:eastAsia="Arial" w:hAnsi="Arial"/>
                <w:sz w:val="25"/>
                <w:szCs w:val="25"/>
                <w:color w:val="auto"/>
                <w:w w:val="84"/>
                <w:vertAlign w:val="superscript"/>
              </w:rPr>
              <w:t>(4)</w:t>
            </w:r>
          </w:p>
        </w:tc>
        <w:tc>
          <w:tcPr>
            <w:tcW w:w="29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220,695</w:t>
            </w: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Francisco D’Souza</w:t>
            </w:r>
          </w:p>
        </w:tc>
        <w:tc>
          <w:tcPr>
            <w:tcW w:w="3540" w:type="dxa"/>
            <w:vAlign w:val="bottom"/>
          </w:tcPr>
          <w:p>
            <w:pPr>
              <w:jc w:val="center"/>
              <w:ind w:right="170"/>
              <w:spacing w:after="0"/>
              <w:rPr>
                <w:sz w:val="20"/>
                <w:szCs w:val="20"/>
                <w:color w:val="auto"/>
              </w:rPr>
            </w:pPr>
            <w:r>
              <w:rPr>
                <w:rFonts w:ascii="Arial" w:cs="Arial" w:eastAsia="Arial" w:hAnsi="Arial"/>
                <w:sz w:val="18"/>
                <w:szCs w:val="18"/>
                <w:color w:val="auto"/>
                <w:w w:val="88"/>
              </w:rPr>
              <w:t>7,800</w:t>
            </w:r>
          </w:p>
        </w:tc>
        <w:tc>
          <w:tcPr>
            <w:tcW w:w="2760" w:type="dxa"/>
            <w:vAlign w:val="bottom"/>
          </w:tcPr>
          <w:p>
            <w:pPr>
              <w:jc w:val="center"/>
              <w:ind w:right="430"/>
              <w:spacing w:after="0" w:line="270" w:lineRule="exact"/>
              <w:rPr>
                <w:sz w:val="20"/>
                <w:szCs w:val="20"/>
                <w:color w:val="auto"/>
              </w:rPr>
            </w:pPr>
            <w:r>
              <w:rPr>
                <w:rFonts w:ascii="Arial" w:cs="Arial" w:eastAsia="Arial" w:hAnsi="Arial"/>
                <w:sz w:val="18"/>
                <w:szCs w:val="18"/>
                <w:color w:val="auto"/>
                <w:w w:val="84"/>
              </w:rPr>
              <w:t>381,638</w:t>
            </w:r>
            <w:r>
              <w:rPr>
                <w:rFonts w:ascii="Arial" w:cs="Arial" w:eastAsia="Arial" w:hAnsi="Arial"/>
                <w:sz w:val="25"/>
                <w:szCs w:val="25"/>
                <w:color w:val="auto"/>
                <w:w w:val="84"/>
                <w:vertAlign w:val="superscript"/>
              </w:rPr>
              <w:t>(3)</w:t>
            </w:r>
          </w:p>
        </w:tc>
        <w:tc>
          <w:tcPr>
            <w:tcW w:w="2900" w:type="dxa"/>
            <w:vAlign w:val="bottom"/>
          </w:tcPr>
          <w:p>
            <w:pPr>
              <w:jc w:val="center"/>
              <w:ind w:right="50"/>
              <w:spacing w:after="0"/>
              <w:rPr>
                <w:sz w:val="20"/>
                <w:szCs w:val="20"/>
                <w:color w:val="auto"/>
              </w:rPr>
            </w:pPr>
            <w:r>
              <w:rPr>
                <w:rFonts w:ascii="Arial" w:cs="Arial" w:eastAsia="Arial" w:hAnsi="Arial"/>
                <w:sz w:val="18"/>
                <w:szCs w:val="18"/>
                <w:color w:val="auto"/>
                <w:w w:val="92"/>
              </w:rPr>
              <w:t>389,438</w:t>
            </w: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Charles M. Hazard, Jr.</w:t>
            </w:r>
          </w:p>
        </w:tc>
        <w:tc>
          <w:tcPr>
            <w:tcW w:w="354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0"/>
              </w:rPr>
              <w:t>42,739</w:t>
            </w:r>
          </w:p>
        </w:tc>
        <w:tc>
          <w:tcPr>
            <w:tcW w:w="2760" w:type="dxa"/>
            <w:vAlign w:val="bottom"/>
            <w:shd w:val="clear" w:color="auto" w:fill="CCEEFF"/>
          </w:tcPr>
          <w:p>
            <w:pPr>
              <w:jc w:val="center"/>
              <w:ind w:right="430"/>
              <w:spacing w:after="0" w:line="270" w:lineRule="exact"/>
              <w:rPr>
                <w:sz w:val="20"/>
                <w:szCs w:val="20"/>
                <w:color w:val="auto"/>
              </w:rPr>
            </w:pPr>
            <w:r>
              <w:rPr>
                <w:rFonts w:ascii="Arial" w:cs="Arial" w:eastAsia="Arial" w:hAnsi="Arial"/>
                <w:sz w:val="18"/>
                <w:szCs w:val="18"/>
                <w:color w:val="auto"/>
                <w:w w:val="84"/>
              </w:rPr>
              <w:t>166,192</w:t>
            </w:r>
            <w:r>
              <w:rPr>
                <w:rFonts w:ascii="Arial" w:cs="Arial" w:eastAsia="Arial" w:hAnsi="Arial"/>
                <w:sz w:val="25"/>
                <w:szCs w:val="25"/>
                <w:color w:val="auto"/>
                <w:w w:val="84"/>
                <w:vertAlign w:val="superscript"/>
              </w:rPr>
              <w:t>(4)</w:t>
            </w:r>
          </w:p>
        </w:tc>
        <w:tc>
          <w:tcPr>
            <w:tcW w:w="29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208,931</w:t>
            </w:r>
          </w:p>
        </w:tc>
      </w:tr>
      <w:tr>
        <w:trPr>
          <w:trHeight w:val="270"/>
        </w:trPr>
        <w:tc>
          <w:tcPr>
            <w:tcW w:w="2020" w:type="dxa"/>
            <w:vAlign w:val="bottom"/>
          </w:tcPr>
          <w:p>
            <w:pPr>
              <w:ind w:left="40"/>
              <w:spacing w:after="0"/>
              <w:rPr>
                <w:sz w:val="20"/>
                <w:szCs w:val="20"/>
                <w:color w:val="auto"/>
              </w:rPr>
            </w:pPr>
            <w:r>
              <w:rPr>
                <w:rFonts w:ascii="Arial" w:cs="Arial" w:eastAsia="Arial" w:hAnsi="Arial"/>
                <w:sz w:val="18"/>
                <w:szCs w:val="18"/>
                <w:color w:val="auto"/>
              </w:rPr>
              <w:t>Tom Killalea</w:t>
            </w:r>
          </w:p>
        </w:tc>
        <w:tc>
          <w:tcPr>
            <w:tcW w:w="3540" w:type="dxa"/>
            <w:vAlign w:val="bottom"/>
          </w:tcPr>
          <w:p>
            <w:pPr>
              <w:jc w:val="center"/>
              <w:ind w:right="190"/>
              <w:spacing w:after="0"/>
              <w:rPr>
                <w:sz w:val="20"/>
                <w:szCs w:val="20"/>
                <w:color w:val="auto"/>
              </w:rPr>
            </w:pPr>
            <w:r>
              <w:rPr>
                <w:rFonts w:ascii="Arial" w:cs="Arial" w:eastAsia="Arial" w:hAnsi="Arial"/>
                <w:sz w:val="18"/>
                <w:szCs w:val="18"/>
                <w:color w:val="auto"/>
                <w:w w:val="90"/>
              </w:rPr>
              <w:t>53,476</w:t>
            </w:r>
          </w:p>
        </w:tc>
        <w:tc>
          <w:tcPr>
            <w:tcW w:w="2760" w:type="dxa"/>
            <w:vAlign w:val="bottom"/>
          </w:tcPr>
          <w:p>
            <w:pPr>
              <w:jc w:val="center"/>
              <w:ind w:right="430"/>
              <w:spacing w:after="0" w:line="270" w:lineRule="exact"/>
              <w:rPr>
                <w:sz w:val="20"/>
                <w:szCs w:val="20"/>
                <w:color w:val="auto"/>
              </w:rPr>
            </w:pPr>
            <w:r>
              <w:rPr>
                <w:rFonts w:ascii="Arial" w:cs="Arial" w:eastAsia="Arial" w:hAnsi="Arial"/>
                <w:sz w:val="18"/>
                <w:szCs w:val="18"/>
                <w:color w:val="auto"/>
                <w:w w:val="84"/>
              </w:rPr>
              <w:t>166,192</w:t>
            </w:r>
            <w:r>
              <w:rPr>
                <w:rFonts w:ascii="Arial" w:cs="Arial" w:eastAsia="Arial" w:hAnsi="Arial"/>
                <w:sz w:val="25"/>
                <w:szCs w:val="25"/>
                <w:color w:val="auto"/>
                <w:w w:val="84"/>
                <w:vertAlign w:val="superscript"/>
              </w:rPr>
              <w:t>(4)</w:t>
            </w:r>
          </w:p>
        </w:tc>
        <w:tc>
          <w:tcPr>
            <w:tcW w:w="2900" w:type="dxa"/>
            <w:vAlign w:val="bottom"/>
          </w:tcPr>
          <w:p>
            <w:pPr>
              <w:jc w:val="center"/>
              <w:ind w:right="50"/>
              <w:spacing w:after="0"/>
              <w:rPr>
                <w:sz w:val="20"/>
                <w:szCs w:val="20"/>
                <w:color w:val="auto"/>
              </w:rPr>
            </w:pPr>
            <w:r>
              <w:rPr>
                <w:rFonts w:ascii="Arial" w:cs="Arial" w:eastAsia="Arial" w:hAnsi="Arial"/>
                <w:sz w:val="18"/>
                <w:szCs w:val="18"/>
                <w:color w:val="auto"/>
                <w:w w:val="92"/>
              </w:rPr>
              <w:t>219,668</w:t>
            </w: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John McMahon</w:t>
            </w:r>
          </w:p>
        </w:tc>
        <w:tc>
          <w:tcPr>
            <w:tcW w:w="354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0"/>
              </w:rPr>
              <w:t>30,000</w:t>
            </w:r>
          </w:p>
        </w:tc>
        <w:tc>
          <w:tcPr>
            <w:tcW w:w="2760" w:type="dxa"/>
            <w:vAlign w:val="bottom"/>
            <w:shd w:val="clear" w:color="auto" w:fill="CCEEFF"/>
          </w:tcPr>
          <w:p>
            <w:pPr>
              <w:jc w:val="center"/>
              <w:ind w:right="430"/>
              <w:spacing w:after="0" w:line="270" w:lineRule="exact"/>
              <w:rPr>
                <w:sz w:val="20"/>
                <w:szCs w:val="20"/>
                <w:color w:val="auto"/>
              </w:rPr>
            </w:pPr>
            <w:r>
              <w:rPr>
                <w:rFonts w:ascii="Arial" w:cs="Arial" w:eastAsia="Arial" w:hAnsi="Arial"/>
                <w:sz w:val="18"/>
                <w:szCs w:val="18"/>
                <w:color w:val="auto"/>
                <w:w w:val="84"/>
              </w:rPr>
              <w:t>166,192</w:t>
            </w:r>
            <w:r>
              <w:rPr>
                <w:rFonts w:ascii="Arial" w:cs="Arial" w:eastAsia="Arial" w:hAnsi="Arial"/>
                <w:sz w:val="25"/>
                <w:szCs w:val="25"/>
                <w:color w:val="auto"/>
                <w:w w:val="84"/>
                <w:vertAlign w:val="superscript"/>
              </w:rPr>
              <w:t>(4)</w:t>
            </w:r>
          </w:p>
        </w:tc>
        <w:tc>
          <w:tcPr>
            <w:tcW w:w="290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196,192</w:t>
            </w:r>
          </w:p>
        </w:tc>
      </w:tr>
      <w:tr>
        <w:trPr>
          <w:trHeight w:val="266"/>
        </w:trPr>
        <w:tc>
          <w:tcPr>
            <w:tcW w:w="2020" w:type="dxa"/>
            <w:vAlign w:val="bottom"/>
          </w:tcPr>
          <w:p>
            <w:pPr>
              <w:ind w:left="40"/>
              <w:spacing w:after="0" w:line="265" w:lineRule="exact"/>
              <w:rPr>
                <w:sz w:val="20"/>
                <w:szCs w:val="20"/>
                <w:color w:val="auto"/>
              </w:rPr>
            </w:pPr>
            <w:r>
              <w:rPr>
                <w:rFonts w:ascii="Arial" w:cs="Arial" w:eastAsia="Arial" w:hAnsi="Arial"/>
                <w:sz w:val="18"/>
                <w:szCs w:val="18"/>
                <w:color w:val="auto"/>
              </w:rPr>
              <w:t>Kevin P. Ryan</w:t>
            </w:r>
            <w:r>
              <w:rPr>
                <w:rFonts w:ascii="Arial" w:cs="Arial" w:eastAsia="Arial" w:hAnsi="Arial"/>
                <w:sz w:val="25"/>
                <w:szCs w:val="25"/>
                <w:color w:val="auto"/>
                <w:vertAlign w:val="superscript"/>
              </w:rPr>
              <w:t>(5)</w:t>
            </w:r>
          </w:p>
        </w:tc>
        <w:tc>
          <w:tcPr>
            <w:tcW w:w="3540" w:type="dxa"/>
            <w:vAlign w:val="bottom"/>
          </w:tcPr>
          <w:p>
            <w:pPr>
              <w:jc w:val="center"/>
              <w:ind w:right="190"/>
              <w:spacing w:after="0"/>
              <w:rPr>
                <w:sz w:val="20"/>
                <w:szCs w:val="20"/>
                <w:color w:val="auto"/>
              </w:rPr>
            </w:pPr>
            <w:r>
              <w:rPr>
                <w:rFonts w:ascii="Arial" w:cs="Arial" w:eastAsia="Arial" w:hAnsi="Arial"/>
                <w:sz w:val="18"/>
                <w:szCs w:val="18"/>
                <w:color w:val="auto"/>
                <w:w w:val="90"/>
              </w:rPr>
              <w:t>29,338</w:t>
            </w:r>
          </w:p>
        </w:tc>
        <w:tc>
          <w:tcPr>
            <w:tcW w:w="2760" w:type="dxa"/>
            <w:vAlign w:val="bottom"/>
          </w:tcPr>
          <w:p>
            <w:pPr>
              <w:jc w:val="center"/>
              <w:ind w:right="410"/>
              <w:spacing w:after="0"/>
              <w:rPr>
                <w:sz w:val="20"/>
                <w:szCs w:val="20"/>
                <w:color w:val="auto"/>
              </w:rPr>
            </w:pPr>
            <w:r>
              <w:rPr>
                <w:rFonts w:ascii="Arial" w:cs="Arial" w:eastAsia="Arial" w:hAnsi="Arial"/>
                <w:sz w:val="18"/>
                <w:szCs w:val="18"/>
                <w:color w:val="auto"/>
                <w:w w:val="99"/>
              </w:rPr>
              <w:t>—</w:t>
            </w:r>
          </w:p>
        </w:tc>
        <w:tc>
          <w:tcPr>
            <w:tcW w:w="2900" w:type="dxa"/>
            <w:vAlign w:val="bottom"/>
          </w:tcPr>
          <w:p>
            <w:pPr>
              <w:jc w:val="center"/>
              <w:ind w:right="50"/>
              <w:spacing w:after="0"/>
              <w:rPr>
                <w:sz w:val="20"/>
                <w:szCs w:val="20"/>
                <w:color w:val="auto"/>
              </w:rPr>
            </w:pPr>
            <w:r>
              <w:rPr>
                <w:rFonts w:ascii="Arial" w:cs="Arial" w:eastAsia="Arial" w:hAnsi="Arial"/>
                <w:sz w:val="18"/>
                <w:szCs w:val="18"/>
                <w:color w:val="auto"/>
                <w:w w:val="87"/>
              </w:rPr>
              <w:t>29,338</w:t>
            </w:r>
          </w:p>
        </w:tc>
      </w:tr>
    </w:tbl>
    <w:p>
      <w:pPr>
        <w:ind w:left="340" w:hanging="332"/>
        <w:spacing w:after="0" w:line="184" w:lineRule="auto"/>
        <w:tabs>
          <w:tab w:leader="none" w:pos="340" w:val="left"/>
        </w:tabs>
        <w:numPr>
          <w:ilvl w:val="0"/>
          <w:numId w:val="28"/>
        </w:numPr>
        <w:rPr>
          <w:rFonts w:ascii="Arial" w:cs="Arial" w:eastAsia="Arial" w:hAnsi="Arial"/>
          <w:sz w:val="22"/>
          <w:szCs w:val="22"/>
          <w:color w:val="auto"/>
          <w:vertAlign w:val="superscript"/>
        </w:rPr>
      </w:pPr>
      <w:r>
        <w:rPr>
          <w:rFonts w:ascii="Arial" w:cs="Arial" w:eastAsia="Arial" w:hAnsi="Arial"/>
          <w:sz w:val="13"/>
          <w:szCs w:val="13"/>
          <w:color w:val="auto"/>
        </w:rPr>
        <w:t>Mr. Porter joined our board of directors in fiscal year 2021 and, therefore, he is not listed in the table above and did not receive any compensation for fiscal year 2020.</w:t>
      </w:r>
    </w:p>
    <w:p>
      <w:pPr>
        <w:spacing w:after="0" w:line="142" w:lineRule="exact"/>
        <w:rPr>
          <w:rFonts w:ascii="Arial" w:cs="Arial" w:eastAsia="Arial" w:hAnsi="Arial"/>
          <w:sz w:val="22"/>
          <w:szCs w:val="22"/>
          <w:color w:val="auto"/>
          <w:vertAlign w:val="superscript"/>
        </w:rPr>
      </w:pPr>
    </w:p>
    <w:p>
      <w:pPr>
        <w:jc w:val="both"/>
        <w:ind w:left="340" w:hanging="332"/>
        <w:spacing w:after="0" w:line="293"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4"/>
          <w:szCs w:val="14"/>
          <w:color w:val="auto"/>
        </w:rPr>
        <w:t>The amounts in this column reflect the annual cash fees to which each non-employee director was entitled under our non-employee director compensation program for the fiscal year ended January 31, 2020. Our board of directors has determined that each of our non-employee directors has the option to have such cash fees be paid in the form of cash or in fully vested shares of our Class A common stock. The fees earned during the first half of the fiscal year were paid in cash or, at the election of the non-employee director, shares of Class A common stock on July 10, 2019. Each of Messrs. Botha and McMahon elected to be paid in shares of Class A common stock. The grant date fair value was calculated in accordance with FASB Accounting Standards Codification Topic 718 (“ASC 718”) based on the closing stock price at the grant date. The fees earned during the second half of the fiscal year will be paid in cash or shares of Class A common stock, at the non-employee director’s election, on July 10, 2020, the date of our 2020 annual meeting of stockholders. If a director elects to be paid in shares, the number of shares of Class A common stock granted to each director will be based on the average closing price of our Class A common stock on the Nasdaq for the 30 trading days immediately prior to the grant date.</w:t>
      </w:r>
    </w:p>
    <w:p>
      <w:pPr>
        <w:spacing w:after="0" w:line="109" w:lineRule="exact"/>
        <w:rPr>
          <w:rFonts w:ascii="Arial" w:cs="Arial" w:eastAsia="Arial" w:hAnsi="Arial"/>
          <w:sz w:val="25"/>
          <w:szCs w:val="25"/>
          <w:color w:val="auto"/>
          <w:vertAlign w:val="superscript"/>
        </w:rPr>
      </w:pPr>
    </w:p>
    <w:p>
      <w:pPr>
        <w:ind w:left="340" w:hanging="332"/>
        <w:spacing w:after="0" w:line="213"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4"/>
          <w:szCs w:val="14"/>
          <w:color w:val="auto"/>
        </w:rPr>
        <w:t>Represents the aggregate grant date fair value of RSUs granted to newly elected non-employee directors under the terms of our non-employee director compensation program for the fiscal year ended January 31, 2020 and the 2016 Plan, and calculated in accordance with ASC 718 based on the closing stock price at the grant date.</w:t>
      </w:r>
    </w:p>
    <w:p>
      <w:pPr>
        <w:spacing w:after="0" w:line="141" w:lineRule="exact"/>
        <w:rPr>
          <w:rFonts w:ascii="Arial" w:cs="Arial" w:eastAsia="Arial" w:hAnsi="Arial"/>
          <w:sz w:val="25"/>
          <w:szCs w:val="25"/>
          <w:color w:val="auto"/>
          <w:vertAlign w:val="superscript"/>
        </w:rPr>
      </w:pPr>
    </w:p>
    <w:p>
      <w:pPr>
        <w:ind w:left="340" w:hanging="332"/>
        <w:spacing w:after="0" w:line="230" w:lineRule="auto"/>
        <w:tabs>
          <w:tab w:leader="none" w:pos="340" w:val="left"/>
        </w:tabs>
        <w:numPr>
          <w:ilvl w:val="0"/>
          <w:numId w:val="28"/>
        </w:numPr>
        <w:rPr>
          <w:rFonts w:ascii="Arial" w:cs="Arial" w:eastAsia="Arial" w:hAnsi="Arial"/>
          <w:sz w:val="23"/>
          <w:szCs w:val="23"/>
          <w:color w:val="auto"/>
          <w:vertAlign w:val="superscript"/>
        </w:rPr>
      </w:pPr>
      <w:r>
        <w:rPr>
          <w:rFonts w:ascii="Arial" w:cs="Arial" w:eastAsia="Arial" w:hAnsi="Arial"/>
          <w:sz w:val="13"/>
          <w:szCs w:val="13"/>
          <w:color w:val="auto"/>
        </w:rPr>
        <w:t>Represents the aggregate grant date fair value of RSUs granted to each incumbent non-employee director on July 10, 2019 under the terms of our non-employee compensation program for the fiscal year ended January 31, 2020 and the 2016 Plan, and calculated in accordance with ASC 718 based on the closing stock price at the grant date.</w:t>
      </w:r>
    </w:p>
    <w:p>
      <w:pPr>
        <w:spacing w:after="0" w:line="38" w:lineRule="exact"/>
        <w:rPr>
          <w:rFonts w:ascii="Arial" w:cs="Arial" w:eastAsia="Arial" w:hAnsi="Arial"/>
          <w:sz w:val="23"/>
          <w:szCs w:val="23"/>
          <w:color w:val="auto"/>
          <w:vertAlign w:val="superscript"/>
        </w:rPr>
      </w:pPr>
    </w:p>
    <w:p>
      <w:pPr>
        <w:ind w:left="340" w:hanging="332"/>
        <w:spacing w:after="0"/>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4"/>
          <w:szCs w:val="14"/>
          <w:color w:val="auto"/>
        </w:rPr>
        <w:t>Mr. Ryan’s service on our board of directors ended on July 10, 2019, the date of our 2019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40"/>
          </w:cols>
          <w:pgMar w:left="320" w:top="319"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sets forth (a) the aggregate number of RSUs held by each non-employee director as of January 31, 2020 and (b) the aggregate number of options held by each non-employee director as of January 31,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4160" w:type="dxa"/>
            <w:vAlign w:val="bottom"/>
          </w:tcPr>
          <w:p>
            <w:pPr>
              <w:ind w:left="1700"/>
              <w:spacing w:after="0"/>
              <w:rPr>
                <w:sz w:val="20"/>
                <w:szCs w:val="20"/>
                <w:color w:val="auto"/>
              </w:rPr>
            </w:pPr>
            <w:r>
              <w:rPr>
                <w:rFonts w:ascii="Arial" w:cs="Arial" w:eastAsia="Arial" w:hAnsi="Arial"/>
                <w:sz w:val="18"/>
                <w:szCs w:val="18"/>
                <w:b w:val="1"/>
                <w:bCs w:val="1"/>
                <w:color w:val="auto"/>
              </w:rPr>
              <w:t>Total RSUs Held</w:t>
            </w:r>
          </w:p>
        </w:tc>
        <w:tc>
          <w:tcPr>
            <w:tcW w:w="3740" w:type="dxa"/>
            <w:vAlign w:val="bottom"/>
          </w:tcPr>
          <w:p>
            <w:pPr>
              <w:ind w:left="1180"/>
              <w:spacing w:after="0"/>
              <w:rPr>
                <w:sz w:val="20"/>
                <w:szCs w:val="20"/>
                <w:color w:val="auto"/>
              </w:rPr>
            </w:pPr>
            <w:r>
              <w:rPr>
                <w:rFonts w:ascii="Arial" w:cs="Arial" w:eastAsia="Arial" w:hAnsi="Arial"/>
                <w:sz w:val="18"/>
                <w:szCs w:val="18"/>
                <w:b w:val="1"/>
                <w:bCs w:val="1"/>
                <w:color w:val="auto"/>
              </w:rPr>
              <w:t>Total Options Held</w:t>
            </w:r>
          </w:p>
        </w:tc>
      </w:tr>
      <w:tr>
        <w:trPr>
          <w:trHeight w:val="27"/>
        </w:trPr>
        <w:tc>
          <w:tcPr>
            <w:tcW w:w="3340" w:type="dxa"/>
            <w:vAlign w:val="bottom"/>
            <w:tcBorders>
              <w:bottom w:val="single" w:sz="8" w:color="auto"/>
            </w:tcBorders>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43"/>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Archana Agrawal</w:t>
            </w:r>
          </w:p>
        </w:tc>
        <w:tc>
          <w:tcPr>
            <w:tcW w:w="416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8"/>
              </w:rPr>
              <w:t>2,241</w:t>
            </w:r>
          </w:p>
        </w:tc>
        <w:tc>
          <w:tcPr>
            <w:tcW w:w="3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Roelof Botha</w:t>
            </w:r>
          </w:p>
        </w:tc>
        <w:tc>
          <w:tcPr>
            <w:tcW w:w="4160" w:type="dxa"/>
            <w:vAlign w:val="bottom"/>
          </w:tcPr>
          <w:p>
            <w:pPr>
              <w:jc w:val="center"/>
              <w:ind w:left="430"/>
              <w:spacing w:after="0"/>
              <w:rPr>
                <w:sz w:val="20"/>
                <w:szCs w:val="20"/>
                <w:color w:val="auto"/>
              </w:rPr>
            </w:pPr>
            <w:r>
              <w:rPr>
                <w:rFonts w:ascii="Arial" w:cs="Arial" w:eastAsia="Arial" w:hAnsi="Arial"/>
                <w:sz w:val="18"/>
                <w:szCs w:val="18"/>
                <w:color w:val="auto"/>
                <w:w w:val="88"/>
              </w:rPr>
              <w:t>1,057</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3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Hope Cochran</w:t>
            </w:r>
          </w:p>
        </w:tc>
        <w:tc>
          <w:tcPr>
            <w:tcW w:w="41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8"/>
              </w:rPr>
              <w:t>1,057</w:t>
            </w:r>
          </w:p>
        </w:tc>
        <w:tc>
          <w:tcPr>
            <w:tcW w:w="374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4"/>
              </w:rPr>
              <w:t>50,000</w:t>
            </w:r>
            <w:r>
              <w:rPr>
                <w:rFonts w:ascii="Arial" w:cs="Arial" w:eastAsia="Arial" w:hAnsi="Arial"/>
                <w:sz w:val="25"/>
                <w:szCs w:val="25"/>
                <w:color w:val="auto"/>
                <w:w w:val="84"/>
                <w:vertAlign w:val="superscript"/>
              </w:rPr>
              <w:t>(1)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Francisco D'Souza</w:t>
            </w:r>
          </w:p>
        </w:tc>
        <w:tc>
          <w:tcPr>
            <w:tcW w:w="4160" w:type="dxa"/>
            <w:vAlign w:val="bottom"/>
          </w:tcPr>
          <w:p>
            <w:pPr>
              <w:jc w:val="center"/>
              <w:ind w:left="430"/>
              <w:spacing w:after="0"/>
              <w:rPr>
                <w:sz w:val="20"/>
                <w:szCs w:val="20"/>
                <w:color w:val="auto"/>
              </w:rPr>
            </w:pPr>
            <w:r>
              <w:rPr>
                <w:rFonts w:ascii="Arial" w:cs="Arial" w:eastAsia="Arial" w:hAnsi="Arial"/>
                <w:sz w:val="18"/>
                <w:szCs w:val="18"/>
                <w:color w:val="auto"/>
                <w:w w:val="88"/>
              </w:rPr>
              <w:t>2,583</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340" w:type="dxa"/>
            <w:vAlign w:val="bottom"/>
          </w:tcPr>
          <w:p>
            <w:pPr>
              <w:spacing w:after="0"/>
              <w:rPr>
                <w:sz w:val="2"/>
                <w:szCs w:val="2"/>
                <w:color w:val="auto"/>
              </w:rPr>
            </w:pPr>
          </w:p>
        </w:tc>
        <w:tc>
          <w:tcPr>
            <w:tcW w:w="416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Charles M. Hazard, Jr.</w:t>
            </w:r>
          </w:p>
        </w:tc>
        <w:tc>
          <w:tcPr>
            <w:tcW w:w="416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88"/>
              </w:rPr>
              <w:t>1,057</w:t>
            </w:r>
          </w:p>
        </w:tc>
        <w:tc>
          <w:tcPr>
            <w:tcW w:w="3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3340" w:type="dxa"/>
            <w:vAlign w:val="bottom"/>
          </w:tcPr>
          <w:p>
            <w:pPr>
              <w:ind w:left="40"/>
              <w:spacing w:after="0"/>
              <w:rPr>
                <w:sz w:val="20"/>
                <w:szCs w:val="20"/>
                <w:color w:val="auto"/>
              </w:rPr>
            </w:pPr>
            <w:r>
              <w:rPr>
                <w:rFonts w:ascii="Arial" w:cs="Arial" w:eastAsia="Arial" w:hAnsi="Arial"/>
                <w:sz w:val="18"/>
                <w:szCs w:val="18"/>
                <w:color w:val="auto"/>
              </w:rPr>
              <w:t>Tom Killalea</w:t>
            </w:r>
          </w:p>
        </w:tc>
        <w:tc>
          <w:tcPr>
            <w:tcW w:w="4160" w:type="dxa"/>
            <w:vAlign w:val="bottom"/>
          </w:tcPr>
          <w:p>
            <w:pPr>
              <w:jc w:val="center"/>
              <w:ind w:left="430"/>
              <w:spacing w:after="0"/>
              <w:rPr>
                <w:sz w:val="20"/>
                <w:szCs w:val="20"/>
                <w:color w:val="auto"/>
              </w:rPr>
            </w:pPr>
            <w:r>
              <w:rPr>
                <w:rFonts w:ascii="Arial" w:cs="Arial" w:eastAsia="Arial" w:hAnsi="Arial"/>
                <w:sz w:val="18"/>
                <w:szCs w:val="18"/>
                <w:color w:val="auto"/>
                <w:w w:val="88"/>
              </w:rPr>
              <w:t>1,057</w:t>
            </w:r>
          </w:p>
        </w:tc>
        <w:tc>
          <w:tcPr>
            <w:tcW w:w="3740" w:type="dxa"/>
            <w:vAlign w:val="bottom"/>
          </w:tcPr>
          <w:p>
            <w:pPr>
              <w:jc w:val="center"/>
              <w:spacing w:after="0" w:line="270" w:lineRule="exact"/>
              <w:rPr>
                <w:sz w:val="20"/>
                <w:szCs w:val="20"/>
                <w:color w:val="auto"/>
              </w:rPr>
            </w:pPr>
            <w:r>
              <w:rPr>
                <w:rFonts w:ascii="Arial" w:cs="Arial" w:eastAsia="Arial" w:hAnsi="Arial"/>
                <w:sz w:val="18"/>
                <w:szCs w:val="18"/>
                <w:color w:val="auto"/>
                <w:w w:val="84"/>
              </w:rPr>
              <w:t>50,000</w:t>
            </w:r>
            <w:r>
              <w:rPr>
                <w:rFonts w:ascii="Arial" w:cs="Arial" w:eastAsia="Arial" w:hAnsi="Arial"/>
                <w:sz w:val="25"/>
                <w:szCs w:val="25"/>
                <w:color w:val="auto"/>
                <w:w w:val="84"/>
                <w:vertAlign w:val="superscript"/>
              </w:rPr>
              <w:t>(2)</w:t>
            </w: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John McMahon</w:t>
            </w:r>
          </w:p>
        </w:tc>
        <w:tc>
          <w:tcPr>
            <w:tcW w:w="41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8"/>
              </w:rPr>
              <w:t>1,057</w:t>
            </w:r>
          </w:p>
        </w:tc>
        <w:tc>
          <w:tcPr>
            <w:tcW w:w="374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4"/>
              </w:rPr>
              <w:t>50,000</w:t>
            </w:r>
            <w:r>
              <w:rPr>
                <w:rFonts w:ascii="Arial" w:cs="Arial" w:eastAsia="Arial" w:hAnsi="Arial"/>
                <w:sz w:val="25"/>
                <w:szCs w:val="25"/>
                <w:color w:val="auto"/>
                <w:w w:val="84"/>
                <w:vertAlign w:val="superscript"/>
              </w:rPr>
              <w:t>(2)</w:t>
            </w:r>
          </w:p>
        </w:tc>
      </w:tr>
      <w:tr>
        <w:trPr>
          <w:trHeight w:val="341"/>
        </w:trPr>
        <w:tc>
          <w:tcPr>
            <w:tcW w:w="3340" w:type="dxa"/>
            <w:vAlign w:val="bottom"/>
          </w:tcPr>
          <w:p>
            <w:pPr>
              <w:ind w:left="40"/>
              <w:spacing w:after="0"/>
              <w:rPr>
                <w:sz w:val="20"/>
                <w:szCs w:val="20"/>
                <w:color w:val="auto"/>
              </w:rPr>
            </w:pPr>
            <w:r>
              <w:rPr>
                <w:rFonts w:ascii="Arial" w:cs="Arial" w:eastAsia="Arial" w:hAnsi="Arial"/>
                <w:sz w:val="18"/>
                <w:szCs w:val="18"/>
                <w:color w:val="auto"/>
              </w:rPr>
              <w:t>Kevin P. Ryan</w:t>
            </w:r>
            <w:r>
              <w:rPr>
                <w:rFonts w:ascii="Arial" w:cs="Arial" w:eastAsia="Arial" w:hAnsi="Arial"/>
                <w:sz w:val="25"/>
                <w:szCs w:val="25"/>
                <w:color w:val="auto"/>
                <w:vertAlign w:val="superscript"/>
              </w:rPr>
              <w:t>(3)</w:t>
            </w:r>
          </w:p>
        </w:tc>
        <w:tc>
          <w:tcPr>
            <w:tcW w:w="4160" w:type="dxa"/>
            <w:vAlign w:val="bottom"/>
          </w:tcPr>
          <w:p>
            <w:pPr>
              <w:jc w:val="center"/>
              <w:ind w:left="450"/>
              <w:spacing w:after="0"/>
              <w:rPr>
                <w:sz w:val="20"/>
                <w:szCs w:val="20"/>
                <w:color w:val="auto"/>
              </w:rPr>
            </w:pPr>
            <w:r>
              <w:rPr>
                <w:rFonts w:ascii="Arial" w:cs="Arial" w:eastAsia="Arial" w:hAnsi="Arial"/>
                <w:sz w:val="18"/>
                <w:szCs w:val="18"/>
                <w:color w:val="auto"/>
                <w:w w:val="99"/>
              </w:rPr>
              <w:t>—</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ind w:left="340" w:hanging="332"/>
        <w:spacing w:after="0" w:line="189"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4"/>
          <w:szCs w:val="14"/>
          <w:color w:val="auto"/>
        </w:rPr>
        <w:t>Represents an option to purchase shares of our Class A common stock.</w:t>
      </w:r>
    </w:p>
    <w:p>
      <w:pPr>
        <w:spacing w:after="0" w:line="124" w:lineRule="exact"/>
        <w:rPr>
          <w:rFonts w:ascii="Arial" w:cs="Arial" w:eastAsia="Arial" w:hAnsi="Arial"/>
          <w:sz w:val="25"/>
          <w:szCs w:val="25"/>
          <w:color w:val="auto"/>
          <w:vertAlign w:val="superscript"/>
        </w:rPr>
      </w:pPr>
    </w:p>
    <w:p>
      <w:pPr>
        <w:ind w:left="340" w:hanging="332"/>
        <w:spacing w:after="0" w:line="181" w:lineRule="auto"/>
        <w:tabs>
          <w:tab w:leader="none" w:pos="340" w:val="left"/>
        </w:tabs>
        <w:numPr>
          <w:ilvl w:val="0"/>
          <w:numId w:val="29"/>
        </w:numPr>
        <w:rPr>
          <w:rFonts w:ascii="Arial" w:cs="Arial" w:eastAsia="Arial" w:hAnsi="Arial"/>
          <w:sz w:val="23"/>
          <w:szCs w:val="23"/>
          <w:color w:val="auto"/>
          <w:vertAlign w:val="superscript"/>
        </w:rPr>
      </w:pPr>
      <w:r>
        <w:rPr>
          <w:rFonts w:ascii="Arial" w:cs="Arial" w:eastAsia="Arial" w:hAnsi="Arial"/>
          <w:sz w:val="13"/>
          <w:szCs w:val="13"/>
          <w:color w:val="auto"/>
        </w:rPr>
        <w:t>Represents an option to purchase shares of our Class B common stock.</w:t>
      </w:r>
    </w:p>
    <w:p>
      <w:pPr>
        <w:spacing w:after="0" w:line="124" w:lineRule="exact"/>
        <w:rPr>
          <w:rFonts w:ascii="Arial" w:cs="Arial" w:eastAsia="Arial" w:hAnsi="Arial"/>
          <w:sz w:val="23"/>
          <w:szCs w:val="23"/>
          <w:color w:val="auto"/>
          <w:vertAlign w:val="superscript"/>
        </w:rPr>
      </w:pPr>
    </w:p>
    <w:p>
      <w:pPr>
        <w:ind w:left="340" w:hanging="332"/>
        <w:spacing w:after="0" w:line="181" w:lineRule="auto"/>
        <w:tabs>
          <w:tab w:leader="none" w:pos="340" w:val="left"/>
        </w:tabs>
        <w:numPr>
          <w:ilvl w:val="0"/>
          <w:numId w:val="29"/>
        </w:numPr>
        <w:rPr>
          <w:rFonts w:ascii="Arial" w:cs="Arial" w:eastAsia="Arial" w:hAnsi="Arial"/>
          <w:sz w:val="23"/>
          <w:szCs w:val="23"/>
          <w:color w:val="auto"/>
          <w:vertAlign w:val="superscript"/>
        </w:rPr>
      </w:pPr>
      <w:r>
        <w:rPr>
          <w:rFonts w:ascii="Arial" w:cs="Arial" w:eastAsia="Arial" w:hAnsi="Arial"/>
          <w:sz w:val="13"/>
          <w:szCs w:val="13"/>
          <w:color w:val="auto"/>
        </w:rPr>
        <w:t>Mr. Ryan’s service on our board of directors ended on July 10, 2019, the date of our 2019 annual meeting of stockholders.</w:t>
      </w: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Director Compensation</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compensation committee and board of directors believe it is important to review director compensation from time to time to help ensure that the compensation levels of our directors are aligned with those of our peer companies, so that we may attract and retain the best possible candidates to serve on our board of directors. There have not been any changes to non-employee director compensation since our non-employee director compensation policy was adopted effective upon the closing of our initial public offering.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2020, the compensation committee engaged Frederic W. Cook &amp; Co., Inc. (“FW Cook”), our independent compensation consultant, to assist in conducting a pay study analyzing the competitiveness of the company’s pay levels for non-employee directors. The pay study revealed that, on a “per-director” basis, MongoDB’s director compensation falls near the peer group 25th percentile on both cash and equity, based on a review of publicly available peer group data. Please see the section titled ‘‘Use of Competitive Market Data</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in our Compensation Discussion and Analysis for further information relating to the peer group companies used in the analysis.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on the findings of the pay study, and pursuant to the recommendation of the compensation committee, the board of directors approved the following changes to the compensation for non-employee directors, effective as of the 2020 annual meeting of stockholders:</w:t>
      </w:r>
    </w:p>
    <w:p>
      <w:pPr>
        <w:spacing w:after="0" w:line="130"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the audit committee member retainer from $8,000 to $10,000;</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the compensation committee member retainer from $5,000 to $7,500;</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the audit committee chair retainer from $20,000 to $25,000;</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the compensation committee chair retainer from $12,000 to $15,000;</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the nominating and corporate governance committee chair retainer from $7,500 to $10,000;</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the award value of the Initial Grant from $330,000 to $360,000;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the award value of the Annual Grant from $165,000 to $180,000.</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compensation changes help to align non-employee director compensation with market median practices.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319"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Ownership Guidelines</w:t>
      </w:r>
    </w:p>
    <w:p>
      <w:pPr>
        <w:spacing w:after="0" w:line="2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2019, to further align the interests of our directors with those of our stockholders, the board of directors adopted stock ownership guidelines for our non-employee directors. The guidelines require our existing directors and newly elected directors to acquire and hold shares of our common stock equal to at least five times the value of his or her cash board annual retainer within five years of the date the guidelines were adopted or five years of first joining the board of directors, respectively. All of our non-employee directors (other than Ms. Agrawal and Messrs. D’Souza and Porter, who joined the board of directors after our last annual meeting of stockholders) currently satisfy the ownership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319"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29"/>
          <w:szCs w:val="29"/>
          <w:b w:val="1"/>
          <w:bCs w:val="1"/>
          <w:color w:val="auto"/>
        </w:rPr>
        <w:t>PROPOSAL 2 – APPROVAL, ON A NON-BINDING ADVISORY BASIS, OF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the requirements of Section 14A of the Exchange Act, we are providing our stockholders the opportunity to vote to approve, on a non-binding, advisory basis, the compensation of our named executive officers (as disclosed under “Executive Compensation - Compensation Discussion and Analysis” and “Executive Compensation Tables”).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are encouraged to review the section titled “Executive Compensation” and, in particular, the section titled “Executive Compensation - Compensation Discussion and Analysis” in this proxy statement, which provide a comprehensive review of our executive compensation program and its elements, objectives and rationale.</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vote on this resolution is not intended to address any specific element of compensation, rather the vote relates to the compensation of our named executive officers in its totality, as described in this proxy statement in accordance with the compensation disclosure rules of the SEC.</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Section 14A of the Exchange Act rules, stockholders are asked to approve the following non-binding resolution:</w:t>
      </w:r>
    </w:p>
    <w:p>
      <w:pPr>
        <w:spacing w:after="0" w:line="225" w:lineRule="exact"/>
        <w:rPr>
          <w:sz w:val="20"/>
          <w:szCs w:val="20"/>
          <w:color w:val="auto"/>
        </w:rPr>
      </w:pPr>
    </w:p>
    <w:p>
      <w:pPr>
        <w:jc w:val="both"/>
        <w:ind w:left="1300"/>
        <w:spacing w:after="0" w:line="259" w:lineRule="auto"/>
        <w:rPr>
          <w:sz w:val="20"/>
          <w:szCs w:val="20"/>
          <w:color w:val="auto"/>
        </w:rPr>
      </w:pPr>
      <w:r>
        <w:rPr>
          <w:rFonts w:ascii="Arial" w:cs="Arial" w:eastAsia="Arial" w:hAnsi="Arial"/>
          <w:sz w:val="18"/>
          <w:szCs w:val="18"/>
          <w:color w:val="auto"/>
        </w:rPr>
        <w:t>“RESOLVED, that the Company’s stockholders hereby approve, on a non-binding advisory basis, the compensation of the Company’s named executive officers, as disclosed in the Company’s proxy statement for the 2020 annual meeting of stockholders, pursuant to the compensation disclosure rules of the Securities and Exchange Commission, including the Compensation Discussion and Analysis, the compensation tables and the accompanying narrative.”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approval of this advisory non-binding proposal requires the affirmative vote of a majority of the voting power of the shares of our common stock present at the meeting (by virtual attendance) or by proxy and entitled to vote thereon.</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Since this proposal is an advisory vote, the result will not be binding on our board of directors or our compensation committee. However, our board of directors values our stockholders’ opinions, and our board of directors and the compensation committee will take into account the outcome of the advisory vote when considering future executive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211455</wp:posOffset>
            </wp:positionV>
            <wp:extent cx="7063740"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63740" cy="360045"/>
                    </a:xfrm>
                    <a:prstGeom prst="rect">
                      <a:avLst/>
                    </a:prstGeom>
                    <a:noFill/>
                  </pic:spPr>
                </pic:pic>
              </a:graphicData>
            </a:graphic>
          </wp:anchor>
        </w:drawing>
      </w:r>
    </w:p>
    <w:p>
      <w:pPr>
        <w:spacing w:after="0" w:line="326"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color w:val="auto"/>
        </w:rPr>
        <w:t xml:space="preserve">Our board of directors recommends a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the approval of the non-binding resolution on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319" w:right="3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information for our executive officers, as of the date of this proxy statement: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ind w:left="60"/>
              <w:spacing w:after="0"/>
              <w:rPr>
                <w:sz w:val="20"/>
                <w:szCs w:val="20"/>
                <w:color w:val="auto"/>
              </w:rPr>
            </w:pPr>
            <w:r>
              <w:rPr>
                <w:rFonts w:ascii="Arial" w:cs="Arial" w:eastAsia="Arial" w:hAnsi="Arial"/>
                <w:sz w:val="18"/>
                <w:szCs w:val="18"/>
                <w:b w:val="1"/>
                <w:bCs w:val="1"/>
                <w:color w:val="auto"/>
              </w:rPr>
              <w:t>Name</w:t>
            </w:r>
          </w:p>
        </w:tc>
        <w:tc>
          <w:tcPr>
            <w:tcW w:w="2360" w:type="dxa"/>
            <w:vAlign w:val="bottom"/>
          </w:tcPr>
          <w:p>
            <w:pPr>
              <w:jc w:val="right"/>
              <w:ind w:right="970"/>
              <w:spacing w:after="0"/>
              <w:rPr>
                <w:sz w:val="20"/>
                <w:szCs w:val="20"/>
                <w:color w:val="auto"/>
              </w:rPr>
            </w:pPr>
            <w:r>
              <w:rPr>
                <w:rFonts w:ascii="Arial" w:cs="Arial" w:eastAsia="Arial" w:hAnsi="Arial"/>
                <w:sz w:val="18"/>
                <w:szCs w:val="18"/>
                <w:b w:val="1"/>
                <w:bCs w:val="1"/>
                <w:color w:val="auto"/>
              </w:rPr>
              <w:t>Age</w:t>
            </w:r>
          </w:p>
        </w:tc>
        <w:tc>
          <w:tcPr>
            <w:tcW w:w="666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Position/Office Held With MongoDB</w:t>
            </w:r>
          </w:p>
        </w:tc>
      </w:tr>
      <w:tr>
        <w:trPr>
          <w:trHeight w:val="27"/>
        </w:trPr>
        <w:tc>
          <w:tcPr>
            <w:tcW w:w="22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6660" w:type="dxa"/>
            <w:vAlign w:val="bottom"/>
            <w:tcBorders>
              <w:bottom w:val="single" w:sz="8" w:color="auto"/>
            </w:tcBorders>
          </w:tcPr>
          <w:p>
            <w:pPr>
              <w:spacing w:after="0"/>
              <w:rPr>
                <w:sz w:val="2"/>
                <w:szCs w:val="2"/>
                <w:color w:val="auto"/>
              </w:rPr>
            </w:pPr>
          </w:p>
        </w:tc>
      </w:tr>
      <w:tr>
        <w:trPr>
          <w:trHeight w:val="243"/>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 Ittycheria</w:t>
            </w:r>
          </w:p>
        </w:tc>
        <w:tc>
          <w:tcPr>
            <w:tcW w:w="23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53</w:t>
            </w:r>
          </w:p>
        </w:tc>
        <w:tc>
          <w:tcPr>
            <w:tcW w:w="666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92"/>
              </w:rPr>
              <w:t>President, Chief Executive Officer and Director</w:t>
            </w: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Eliot Horowitz</w:t>
            </w:r>
          </w:p>
        </w:tc>
        <w:tc>
          <w:tcPr>
            <w:tcW w:w="2360" w:type="dxa"/>
            <w:vAlign w:val="bottom"/>
          </w:tcPr>
          <w:p>
            <w:pPr>
              <w:jc w:val="right"/>
              <w:ind w:right="1070"/>
              <w:spacing w:after="0"/>
              <w:rPr>
                <w:sz w:val="20"/>
                <w:szCs w:val="20"/>
                <w:color w:val="auto"/>
              </w:rPr>
            </w:pPr>
            <w:r>
              <w:rPr>
                <w:rFonts w:ascii="Arial" w:cs="Arial" w:eastAsia="Arial" w:hAnsi="Arial"/>
                <w:sz w:val="18"/>
                <w:szCs w:val="18"/>
                <w:color w:val="auto"/>
              </w:rPr>
              <w:t>39</w:t>
            </w:r>
          </w:p>
        </w:tc>
        <w:tc>
          <w:tcPr>
            <w:tcW w:w="6660" w:type="dxa"/>
            <w:vAlign w:val="bottom"/>
          </w:tcPr>
          <w:p>
            <w:pPr>
              <w:jc w:val="center"/>
              <w:ind w:right="650"/>
              <w:spacing w:after="0"/>
              <w:rPr>
                <w:sz w:val="20"/>
                <w:szCs w:val="20"/>
                <w:color w:val="auto"/>
              </w:rPr>
            </w:pPr>
            <w:r>
              <w:rPr>
                <w:rFonts w:ascii="Arial" w:cs="Arial" w:eastAsia="Arial" w:hAnsi="Arial"/>
                <w:sz w:val="18"/>
                <w:szCs w:val="18"/>
                <w:color w:val="auto"/>
                <w:w w:val="92"/>
              </w:rPr>
              <w:t>Chief Technology Officer, Co-Founder and Director</w:t>
            </w:r>
          </w:p>
        </w:tc>
      </w:tr>
      <w:tr>
        <w:trPr>
          <w:trHeight w:val="27"/>
        </w:trPr>
        <w:tc>
          <w:tcPr>
            <w:tcW w:w="22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66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Gordon</w:t>
            </w:r>
          </w:p>
        </w:tc>
        <w:tc>
          <w:tcPr>
            <w:tcW w:w="23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rPr>
              <w:t>50</w:t>
            </w:r>
          </w:p>
        </w:tc>
        <w:tc>
          <w:tcPr>
            <w:tcW w:w="6660" w:type="dxa"/>
            <w:vAlign w:val="bottom"/>
            <w:tcBorders>
              <w:bottom w:val="single" w:sz="8" w:color="CCEEFF"/>
            </w:tcBorders>
            <w:shd w:val="clear" w:color="auto" w:fill="CCEEFF"/>
          </w:tcPr>
          <w:p>
            <w:pPr>
              <w:jc w:val="center"/>
              <w:ind w:right="650"/>
              <w:spacing w:after="0"/>
              <w:rPr>
                <w:sz w:val="20"/>
                <w:szCs w:val="20"/>
                <w:color w:val="auto"/>
              </w:rPr>
            </w:pPr>
            <w:r>
              <w:rPr>
                <w:rFonts w:ascii="Arial" w:cs="Arial" w:eastAsia="Arial" w:hAnsi="Arial"/>
                <w:sz w:val="18"/>
                <w:szCs w:val="18"/>
                <w:color w:val="auto"/>
                <w:w w:val="93"/>
              </w:rPr>
              <w:t>Chief Operating Officer and Chief Financial Officer</w:t>
            </w:r>
          </w:p>
        </w:tc>
      </w:tr>
      <w:tr>
        <w:trPr>
          <w:trHeight w:val="243"/>
        </w:trPr>
        <w:tc>
          <w:tcPr>
            <w:tcW w:w="2220" w:type="dxa"/>
            <w:vAlign w:val="bottom"/>
          </w:tcPr>
          <w:p>
            <w:pPr>
              <w:ind w:left="40"/>
              <w:spacing w:after="0"/>
              <w:rPr>
                <w:sz w:val="20"/>
                <w:szCs w:val="20"/>
                <w:color w:val="auto"/>
              </w:rPr>
            </w:pPr>
            <w:r>
              <w:rPr>
                <w:rFonts w:ascii="Arial" w:cs="Arial" w:eastAsia="Arial" w:hAnsi="Arial"/>
                <w:sz w:val="18"/>
                <w:szCs w:val="18"/>
                <w:color w:val="auto"/>
              </w:rPr>
              <w:t>Cedric Pech</w:t>
            </w:r>
          </w:p>
        </w:tc>
        <w:tc>
          <w:tcPr>
            <w:tcW w:w="2360" w:type="dxa"/>
            <w:vAlign w:val="bottom"/>
          </w:tcPr>
          <w:p>
            <w:pPr>
              <w:jc w:val="right"/>
              <w:ind w:right="1070"/>
              <w:spacing w:after="0"/>
              <w:rPr>
                <w:sz w:val="20"/>
                <w:szCs w:val="20"/>
                <w:color w:val="auto"/>
              </w:rPr>
            </w:pPr>
            <w:r>
              <w:rPr>
                <w:rFonts w:ascii="Arial" w:cs="Arial" w:eastAsia="Arial" w:hAnsi="Arial"/>
                <w:sz w:val="18"/>
                <w:szCs w:val="18"/>
                <w:color w:val="auto"/>
              </w:rPr>
              <w:t>47</w:t>
            </w:r>
          </w:p>
        </w:tc>
        <w:tc>
          <w:tcPr>
            <w:tcW w:w="6660" w:type="dxa"/>
            <w:vAlign w:val="bottom"/>
          </w:tcPr>
          <w:p>
            <w:pPr>
              <w:jc w:val="center"/>
              <w:ind w:right="650"/>
              <w:spacing w:after="0"/>
              <w:rPr>
                <w:sz w:val="20"/>
                <w:szCs w:val="20"/>
                <w:color w:val="auto"/>
              </w:rPr>
            </w:pPr>
            <w:r>
              <w:rPr>
                <w:rFonts w:ascii="Arial" w:cs="Arial" w:eastAsia="Arial" w:hAnsi="Arial"/>
                <w:sz w:val="18"/>
                <w:szCs w:val="18"/>
                <w:color w:val="auto"/>
                <w:w w:val="92"/>
              </w:rPr>
              <w:t>Chief Revenue Officer</w:t>
            </w:r>
          </w:p>
        </w:tc>
      </w:tr>
    </w:tbl>
    <w:p>
      <w:pPr>
        <w:spacing w:after="0" w:line="12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Biographical information for Dev Ittycheria is included above with the director biographies under the caption “Information Regarding Director Nominees and Current Directors.”</w:t>
      </w:r>
    </w:p>
    <w:p>
      <w:pPr>
        <w:spacing w:after="0" w:line="166"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b w:val="1"/>
          <w:bCs w:val="1"/>
          <w:color w:val="auto"/>
        </w:rPr>
        <w:t xml:space="preserve">Eliot Horowitz </w:t>
      </w:r>
      <w:r>
        <w:rPr>
          <w:rFonts w:ascii="Arial" w:cs="Arial" w:eastAsia="Arial" w:hAnsi="Arial"/>
          <w:sz w:val="18"/>
          <w:szCs w:val="18"/>
          <w:color w:val="auto"/>
        </w:rPr>
        <w:t>is one of our co-founders and has served as our Chief Technology Officer and a member of our board of directors since 2008.</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founding MongoDB, Mr. Horowitz co-founded ShopWiki Corp., an online retail search engine, in January 2005, where he served as the Chief Technology Officer until its sale in November 2010. Mr. Horowitz began his career at DoubleClick, Inc., a digital advertising company. Mr. Horowitz serves on the advisory board of the NYC Tech Talent Pipeline. Mr. Horowitz received his B.S. in Computer Science from Brown University. Mr. Horowitz has informed us that he is resigning from his positions as Chief Technology Officer and a member of our board of directors, effective on the date of our 2020 annual meeting of stockholders.</w:t>
      </w:r>
    </w:p>
    <w:p>
      <w:pPr>
        <w:spacing w:after="0" w:line="187" w:lineRule="exact"/>
        <w:rPr>
          <w:sz w:val="20"/>
          <w:szCs w:val="20"/>
          <w:color w:val="auto"/>
        </w:rPr>
      </w:pPr>
    </w:p>
    <w:p>
      <w:pPr>
        <w:ind w:right="80" w:firstLine="648"/>
        <w:spacing w:after="0" w:line="274" w:lineRule="auto"/>
        <w:rPr>
          <w:sz w:val="20"/>
          <w:szCs w:val="20"/>
          <w:color w:val="auto"/>
        </w:rPr>
      </w:pPr>
      <w:r>
        <w:rPr>
          <w:rFonts w:ascii="Arial" w:cs="Arial" w:eastAsia="Arial" w:hAnsi="Arial"/>
          <w:sz w:val="17"/>
          <w:szCs w:val="17"/>
          <w:b w:val="1"/>
          <w:bCs w:val="1"/>
          <w:color w:val="auto"/>
        </w:rPr>
        <w:t xml:space="preserve">Michael Gordon </w:t>
      </w:r>
      <w:r>
        <w:rPr>
          <w:rFonts w:ascii="Arial" w:cs="Arial" w:eastAsia="Arial" w:hAnsi="Arial"/>
          <w:sz w:val="17"/>
          <w:szCs w:val="17"/>
          <w:color w:val="auto"/>
        </w:rPr>
        <w:t>has served as our Chief Financial Officer since July 2015 and as our Chief Operating Officer since November 2018. Prior to</w:t>
      </w:r>
      <w:r>
        <w:rPr>
          <w:rFonts w:ascii="Arial" w:cs="Arial" w:eastAsia="Arial" w:hAnsi="Arial"/>
          <w:sz w:val="17"/>
          <w:szCs w:val="17"/>
          <w:b w:val="1"/>
          <w:bCs w:val="1"/>
          <w:color w:val="auto"/>
        </w:rPr>
        <w:t xml:space="preserve"> </w:t>
      </w:r>
      <w:r>
        <w:rPr>
          <w:rFonts w:ascii="Arial" w:cs="Arial" w:eastAsia="Arial" w:hAnsi="Arial"/>
          <w:sz w:val="17"/>
          <w:szCs w:val="17"/>
          <w:color w:val="auto"/>
        </w:rPr>
        <w:t>joining us, Mr. Gordon worked at Yodle, Inc., a local online marketing company, where he served as the Chief Financial Officer from May 2009 and as the Chief Operating Officer and Chief Financial Officer from March 2014 until July 2015. Prior to joining Yodle, Mr. Gordon was a Managing Director in the Media and Telecom investment banking group at Merrill Lynch, Pierce, Fenner and Smith Incorporated, a financial services company, where he worked from 1996 to 2009. Mr. Gordon serves on the board of directors of Share Our Strength, a non-profit, anti-hunger organization. Mr. Gordon received his A.B. from Harvard College and his M.B.A. from Harvard Business School.</w:t>
      </w:r>
    </w:p>
    <w:p>
      <w:pPr>
        <w:spacing w:after="0" w:line="173" w:lineRule="exact"/>
        <w:rPr>
          <w:sz w:val="20"/>
          <w:szCs w:val="20"/>
          <w:color w:val="auto"/>
        </w:rPr>
      </w:pPr>
    </w:p>
    <w:p>
      <w:pPr>
        <w:ind w:right="240" w:firstLine="648"/>
        <w:spacing w:after="0" w:line="277" w:lineRule="auto"/>
        <w:rPr>
          <w:sz w:val="20"/>
          <w:szCs w:val="20"/>
          <w:color w:val="auto"/>
        </w:rPr>
      </w:pPr>
      <w:r>
        <w:rPr>
          <w:rFonts w:ascii="Arial" w:cs="Arial" w:eastAsia="Arial" w:hAnsi="Arial"/>
          <w:sz w:val="17"/>
          <w:szCs w:val="17"/>
          <w:b w:val="1"/>
          <w:bCs w:val="1"/>
          <w:color w:val="auto"/>
        </w:rPr>
        <w:t xml:space="preserve">Cedric Pech </w:t>
      </w:r>
      <w:r>
        <w:rPr>
          <w:rFonts w:ascii="Arial" w:cs="Arial" w:eastAsia="Arial" w:hAnsi="Arial"/>
          <w:sz w:val="17"/>
          <w:szCs w:val="17"/>
          <w:color w:val="auto"/>
        </w:rPr>
        <w:t>has served as our Chief Revenue Officer since February 2019. Before being appointed as Chief Revenue Officer, Mr. Pech led our</w:t>
      </w:r>
      <w:r>
        <w:rPr>
          <w:rFonts w:ascii="Arial" w:cs="Arial" w:eastAsia="Arial" w:hAnsi="Arial"/>
          <w:sz w:val="17"/>
          <w:szCs w:val="17"/>
          <w:b w:val="1"/>
          <w:bCs w:val="1"/>
          <w:color w:val="auto"/>
        </w:rPr>
        <w:t xml:space="preserve"> </w:t>
      </w:r>
      <w:r>
        <w:rPr>
          <w:rFonts w:ascii="Arial" w:cs="Arial" w:eastAsia="Arial" w:hAnsi="Arial"/>
          <w:sz w:val="17"/>
          <w:szCs w:val="17"/>
          <w:color w:val="auto"/>
        </w:rPr>
        <w:t>Europe, the Middle East and Africa sales division beginning in July 2017. Prior to joining us, Mr. Pech worked at Fuze, an enterprise global cloud communications and collaboration software platform, where he served as the Senior Vice President of Worldwide Sales from May 2015 until May 2017, and as General Manager, Europe, the Middle East and Africa, from April 2014 until May 2015. Mr. Pech completed his Class Préparatoire at Lycée Bois Fleury Grenoble and received his M.B.A. from Montpellier Business School.</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319"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compensation discussion and analysis describes the material elements of our executive compensation program for the fiscal year ended January 31, 2020. It also provides an overview of our compensation philosophy and objectives, our process for setting executive compensation and how the compensation committee arrived at the specific compensation decisions for our named executive officers for the fiscal year ended January 31, 2020, including the key factors considered.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named executive officers for the fiscal year ended January 31, 2020 were:</w:t>
      </w:r>
    </w:p>
    <w:p>
      <w:pPr>
        <w:spacing w:after="0" w:line="2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 Ittycheria, President and Chief Executive Officer;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Eliot Horowitz, Chief Technology Officer and Co-Founder;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Michael Gordon, Chief Operating Officer and Chief Financial Officer;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Cedric Pech, Chief Revenue Officer.</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Because we had only four executive officers during fiscal year 2020, all are considered named executive officers under SEC rules. Mr. Horowitz has informed us that he is resigning from his position as Chief Technology Officer and a member of our board of directors, effective on the date of our 2020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Highlights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MongoDB is the leading modern, general purpose database platform. Our robust platform enables developers to build and modernize applications rapidly and cost-effectively across a broad range of use cases. Organizations can deploy our platform at scale in the cloud, on-premise or in a hybrid environment. Software applications are redefining how organizations across industries engage with their customers, operate their businesses and compete with each other. A database is at the heart of every software application. As a result, selecting a database is a highly strategic decision that directly affects developer productivity, application performance and organizational competitiveness. Our platform addresses the performance, scalability, flexibility and reliability demands of modern applications, while maintaining the strengths of legacy databases. Our business model combines the developer mindshare and adoption benefits of open source with the economic benefits of a proprietary software subscription business model.</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core offerings are MongoDB Enterprise Advanced, MongoDB Atlas and Community Server. MongoDB Enterprise Advanced is our comprehensive offering for enterprise customers that can be run in the cloud, on-premise or in a hybrid environment and includes our proprietary commercial database server, enterprise management capabilities, our graphical user interface, analytics integrations, technical support and a commercial license to our platform. To encourage developer usage, familiarity and adoption of our platform, we offer Community Server as a “freemium” offering. Community Server is a free-to-download version of our database that does not include all of the features of our commercial platform. MongoDB Atlas is our hosted multi-cloud database-as-a-service (“DBaaS”) offering that includes comprehensive infrastructure and management of our database and can also be purchased with additional enterprise features. To support our database platform and increase customer retention, we provide professional services to our customers with the goal of making customers’ applications on our platform successful.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319" w:right="3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Fiscal Year 2020 Performance Summary</w:t>
      </w:r>
    </w:p>
    <w:p>
      <w:pPr>
        <w:spacing w:after="0" w:line="225" w:lineRule="exact"/>
        <w:rPr>
          <w:sz w:val="20"/>
          <w:szCs w:val="20"/>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Total revenue was $421.7 million for fiscal year 2020, an increase of 58% year-over-year. Subscription revenue was $399.8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61% year-over-year, and services revenue was $21.9 million, an increase of 18% year-over-year.</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Gross Profit</w:t>
      </w:r>
      <w:r>
        <w:rPr>
          <w:rFonts w:ascii="Arial" w:cs="Arial" w:eastAsia="Arial" w:hAnsi="Arial"/>
          <w:sz w:val="17"/>
          <w:szCs w:val="17"/>
          <w:color w:val="auto"/>
        </w:rPr>
        <w:t>. Gross profit was $296.4 million for fiscal year 2020, representing a 70% gross margin compared to 72% in the prior year.</w:t>
      </w:r>
    </w:p>
    <w:p>
      <w:pPr>
        <w:spacing w:after="0" w:line="196"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Loss from Operations. </w:t>
      </w:r>
      <w:r>
        <w:rPr>
          <w:rFonts w:ascii="Arial" w:cs="Arial" w:eastAsia="Arial" w:hAnsi="Arial"/>
          <w:sz w:val="17"/>
          <w:szCs w:val="17"/>
          <w:color w:val="auto"/>
        </w:rPr>
        <w:t>Loss from operations was $147.9 million for fiscal year 2020, compared to $97.8 million in the prior year.</w:t>
      </w:r>
    </w:p>
    <w:p>
      <w:pPr>
        <w:spacing w:after="0" w:line="196" w:lineRule="exact"/>
        <w:rPr>
          <w:rFonts w:ascii="Arial" w:cs="Arial" w:eastAsia="Arial" w:hAnsi="Arial"/>
          <w:sz w:val="17"/>
          <w:szCs w:val="17"/>
          <w:color w:val="auto"/>
        </w:rPr>
      </w:pPr>
    </w:p>
    <w:p>
      <w:pPr>
        <w:ind w:left="980" w:right="20" w:hanging="324"/>
        <w:spacing w:after="0" w:line="308"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b w:val="1"/>
          <w:bCs w:val="1"/>
          <w:i w:val="1"/>
          <w:iCs w:val="1"/>
          <w:color w:val="auto"/>
        </w:rPr>
        <w:t>Net Loss</w:t>
      </w:r>
      <w:r>
        <w:rPr>
          <w:rFonts w:ascii="Arial" w:cs="Arial" w:eastAsia="Arial" w:hAnsi="Arial"/>
          <w:sz w:val="17"/>
          <w:szCs w:val="17"/>
          <w:color w:val="auto"/>
        </w:rPr>
        <w:t>. Net loss was $175.5 million or $3.14 per share based on 55.9 million weighted-average shares outstanding, for fiscal year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compares to $99.0 million or $1.90 per share based on 52.0 million weighted-average shares outstanding, in the prior year.</w:t>
      </w:r>
    </w:p>
    <w:p>
      <w:pPr>
        <w:spacing w:after="0" w:line="105"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MongoDB Atlas Revenue</w:t>
      </w:r>
      <w:r>
        <w:rPr>
          <w:rFonts w:ascii="Arial" w:cs="Arial" w:eastAsia="Arial" w:hAnsi="Arial"/>
          <w:sz w:val="18"/>
          <w:szCs w:val="18"/>
          <w:color w:val="auto"/>
        </w:rPr>
        <w:t>. Revenue from MongoDB Atlas, our cloud-hosted database-as-a-service offering, represented 39% of our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for fiscal year 2020, compared to 23% in the prior year.</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Customers</w:t>
      </w:r>
      <w:r>
        <w:rPr>
          <w:rFonts w:ascii="Arial" w:cs="Arial" w:eastAsia="Arial" w:hAnsi="Arial"/>
          <w:sz w:val="18"/>
          <w:szCs w:val="18"/>
          <w:color w:val="auto"/>
        </w:rPr>
        <w:t>. As of January 31, 2020, we had over 17,000 customers across a wide range of industries and in over 100 countries,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13,400 customers as of the end of the prior year.</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319" w:right="3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Below are examples of our executive compensation practices that the compensation committee considers to be effective at driving performance and supporting long-term growth for our stockholders while mitigating risk, and other executive compensation practices in which we do not engage because they are inconsistent with the compensation committee’s philosophy and stockholder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We Do and 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59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85991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p>
      <w:pPr>
        <w:spacing w:after="0" w:line="77" w:lineRule="exact"/>
        <w:rPr>
          <w:sz w:val="20"/>
          <w:szCs w:val="20"/>
          <w:color w:val="auto"/>
        </w:rPr>
      </w:pPr>
    </w:p>
    <w:p>
      <w:pPr>
        <w:ind w:left="40" w:right="220"/>
        <w:spacing w:after="0" w:line="266" w:lineRule="auto"/>
        <w:rPr>
          <w:sz w:val="20"/>
          <w:szCs w:val="20"/>
          <w:color w:val="auto"/>
        </w:rPr>
      </w:pPr>
      <w:r>
        <w:rPr>
          <w:rFonts w:ascii="Arial" w:cs="Arial" w:eastAsia="Arial" w:hAnsi="Arial"/>
          <w:sz w:val="18"/>
          <w:szCs w:val="18"/>
          <w:b w:val="1"/>
          <w:bCs w:val="1"/>
          <w:color w:val="auto"/>
        </w:rPr>
        <w:t>We align executive compensation with the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0"/>
        <w:spacing w:after="0" w:line="277" w:lineRule="auto"/>
        <w:rPr>
          <w:sz w:val="20"/>
          <w:szCs w:val="20"/>
          <w:color w:val="auto"/>
        </w:rPr>
      </w:pPr>
      <w:r>
        <w:rPr>
          <w:rFonts w:ascii="Arial" w:cs="Arial" w:eastAsia="Arial" w:hAnsi="Arial"/>
          <w:sz w:val="17"/>
          <w:szCs w:val="17"/>
          <w:b w:val="1"/>
          <w:bCs w:val="1"/>
          <w:color w:val="auto"/>
        </w:rPr>
        <w:t>Our executive compensation programs are designed to mitigate undue risk-taking by our executives and to foster long-term growth for our stockholders</w:t>
      </w:r>
    </w:p>
    <w:p>
      <w:pPr>
        <w:spacing w:after="0" w:line="330" w:lineRule="exact"/>
        <w:rPr>
          <w:sz w:val="20"/>
          <w:szCs w:val="20"/>
          <w:color w:val="auto"/>
        </w:rPr>
      </w:pPr>
    </w:p>
    <w:p>
      <w:pPr>
        <w:ind w:left="40" w:right="600"/>
        <w:spacing w:after="0" w:line="386" w:lineRule="auto"/>
        <w:rPr>
          <w:sz w:val="20"/>
          <w:szCs w:val="20"/>
          <w:color w:val="auto"/>
        </w:rPr>
      </w:pPr>
      <w:r>
        <w:rPr>
          <w:rFonts w:ascii="Arial" w:cs="Arial" w:eastAsia="Arial" w:hAnsi="Arial"/>
          <w:sz w:val="15"/>
          <w:szCs w:val="15"/>
          <w:b w:val="1"/>
          <w:bCs w:val="1"/>
          <w:color w:val="auto"/>
        </w:rPr>
        <w:t>We adhere to executive compensation best practices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both"/>
        <w:ind w:left="284" w:right="20" w:hanging="284"/>
        <w:spacing w:after="0" w:line="277" w:lineRule="auto"/>
        <w:tabs>
          <w:tab w:leader="none" w:pos="284"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Strong Alignment between Bonus Payout and Performance. </w:t>
      </w:r>
      <w:r>
        <w:rPr>
          <w:rFonts w:ascii="Arial" w:cs="Arial" w:eastAsia="Arial" w:hAnsi="Arial"/>
          <w:sz w:val="17"/>
          <w:szCs w:val="17"/>
          <w:color w:val="auto"/>
        </w:rPr>
        <w:t>Our annual performance-based cash bonus</w:t>
      </w:r>
      <w:r>
        <w:rPr>
          <w:rFonts w:ascii="Arial" w:cs="Arial" w:eastAsia="Arial" w:hAnsi="Arial"/>
          <w:sz w:val="17"/>
          <w:szCs w:val="17"/>
          <w:b w:val="1"/>
          <w:bCs w:val="1"/>
          <w:color w:val="auto"/>
        </w:rPr>
        <w:t xml:space="preserve"> </w:t>
      </w:r>
      <w:r>
        <w:rPr>
          <w:rFonts w:ascii="Arial" w:cs="Arial" w:eastAsia="Arial" w:hAnsi="Arial"/>
          <w:sz w:val="17"/>
          <w:szCs w:val="17"/>
          <w:color w:val="auto"/>
        </w:rPr>
        <w:t>award opportunities for all of our named executive officers are dependent upon our achievement of annual corporate objectives selected for their ability to drive operational and financial performance. For fiscal year 2020, the compensation committee determined that these performance goals would no longer include a qualitative component and would be comprised entirely of corporate performance objectives.</w:t>
      </w:r>
    </w:p>
    <w:p>
      <w:pPr>
        <w:spacing w:after="0" w:line="5" w:lineRule="exact"/>
        <w:rPr>
          <w:rFonts w:ascii="Arial" w:cs="Arial" w:eastAsia="Arial" w:hAnsi="Arial"/>
          <w:sz w:val="17"/>
          <w:szCs w:val="17"/>
          <w:color w:val="auto"/>
        </w:rPr>
      </w:pPr>
    </w:p>
    <w:p>
      <w:pPr>
        <w:jc w:val="both"/>
        <w:ind w:left="284" w:right="20" w:hanging="284"/>
        <w:spacing w:after="0" w:line="272" w:lineRule="auto"/>
        <w:tabs>
          <w:tab w:leader="none" w:pos="284"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Significant Long-term Equity Component. </w:t>
      </w:r>
      <w:r>
        <w:rPr>
          <w:rFonts w:ascii="Arial" w:cs="Arial" w:eastAsia="Arial" w:hAnsi="Arial"/>
          <w:sz w:val="17"/>
          <w:szCs w:val="17"/>
          <w:color w:val="auto"/>
        </w:rPr>
        <w:t>Equity awards are an integral part of our executive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and represent the most significant “at-risk” portion of compensation for named executive officers. Multi-year vesting periods for awards strongly align our executive officers’ interests with those of our stockholders by providing a continuing financial incentive to maximize long-term value for our stockholders and by encouraging our executive officers to remain in our long-term employ. For fiscal year 2020, 91% of our Chief Executive Officer’s total reported compensation and an average of 83% of the total reported compensation for our other named executive officers was in the form of long-term equity incentive awards, as reported in the “Summary Compensation Table.”</w:t>
      </w:r>
    </w:p>
    <w:p>
      <w:pPr>
        <w:spacing w:after="0" w:line="9" w:lineRule="exact"/>
        <w:rPr>
          <w:rFonts w:ascii="Arial" w:cs="Arial" w:eastAsia="Arial" w:hAnsi="Arial"/>
          <w:sz w:val="17"/>
          <w:szCs w:val="17"/>
          <w:color w:val="auto"/>
        </w:rPr>
      </w:pPr>
    </w:p>
    <w:p>
      <w:pPr>
        <w:ind w:left="284" w:right="20" w:hanging="284"/>
        <w:spacing w:after="0" w:line="281" w:lineRule="auto"/>
        <w:tabs>
          <w:tab w:leader="none" w:pos="28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Claw back Policy. </w:t>
      </w:r>
      <w:r>
        <w:rPr>
          <w:rFonts w:ascii="Arial" w:cs="Arial" w:eastAsia="Arial" w:hAnsi="Arial"/>
          <w:sz w:val="18"/>
          <w:szCs w:val="18"/>
          <w:color w:val="auto"/>
        </w:rPr>
        <w:t>Our claw back policy provides for the recoupment of cash bonuses for 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in certain circumstances where restatement of financial results is required.</w:t>
      </w:r>
    </w:p>
    <w:p>
      <w:pPr>
        <w:spacing w:after="0" w:line="1" w:lineRule="exact"/>
        <w:rPr>
          <w:rFonts w:ascii="Arial" w:cs="Arial" w:eastAsia="Arial" w:hAnsi="Arial"/>
          <w:sz w:val="18"/>
          <w:szCs w:val="18"/>
          <w:color w:val="auto"/>
        </w:rPr>
      </w:pPr>
    </w:p>
    <w:p>
      <w:pPr>
        <w:ind w:left="284" w:right="40" w:hanging="284"/>
        <w:spacing w:after="0" w:line="281" w:lineRule="auto"/>
        <w:tabs>
          <w:tab w:leader="none" w:pos="28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Each of our executive officers is subject to stock ownership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in the “Stock Ownership Guidelines” section below.</w:t>
      </w:r>
    </w:p>
    <w:p>
      <w:pPr>
        <w:spacing w:after="0" w:line="1" w:lineRule="exact"/>
        <w:rPr>
          <w:rFonts w:ascii="Arial" w:cs="Arial" w:eastAsia="Arial" w:hAnsi="Arial"/>
          <w:sz w:val="18"/>
          <w:szCs w:val="18"/>
          <w:color w:val="auto"/>
        </w:rPr>
      </w:pPr>
    </w:p>
    <w:p>
      <w:pPr>
        <w:ind w:left="284" w:right="40" w:hanging="284"/>
        <w:spacing w:after="0" w:line="281" w:lineRule="auto"/>
        <w:tabs>
          <w:tab w:leader="none" w:pos="28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Cap Payouts. </w:t>
      </w:r>
      <w:r>
        <w:rPr>
          <w:rFonts w:ascii="Arial" w:cs="Arial" w:eastAsia="Arial" w:hAnsi="Arial"/>
          <w:sz w:val="18"/>
          <w:szCs w:val="18"/>
          <w:color w:val="auto"/>
        </w:rPr>
        <w:t>Our payments to named executive officers are capped under our performance-based annual cash</w:t>
      </w:r>
      <w:r>
        <w:rPr>
          <w:rFonts w:ascii="Arial" w:cs="Arial" w:eastAsia="Arial" w:hAnsi="Arial"/>
          <w:sz w:val="18"/>
          <w:szCs w:val="18"/>
          <w:b w:val="1"/>
          <w:bCs w:val="1"/>
          <w:color w:val="auto"/>
        </w:rPr>
        <w:t xml:space="preserve"> </w:t>
      </w:r>
      <w:r>
        <w:rPr>
          <w:rFonts w:ascii="Arial" w:cs="Arial" w:eastAsia="Arial" w:hAnsi="Arial"/>
          <w:sz w:val="18"/>
          <w:szCs w:val="18"/>
          <w:color w:val="auto"/>
        </w:rPr>
        <w:t>bonus program.</w:t>
      </w:r>
    </w:p>
    <w:p>
      <w:pPr>
        <w:spacing w:after="0" w:line="1" w:lineRule="exact"/>
        <w:rPr>
          <w:rFonts w:ascii="Arial" w:cs="Arial" w:eastAsia="Arial" w:hAnsi="Arial"/>
          <w:sz w:val="18"/>
          <w:szCs w:val="18"/>
          <w:color w:val="auto"/>
        </w:rPr>
      </w:pPr>
    </w:p>
    <w:p>
      <w:pPr>
        <w:ind w:left="284" w:hanging="284"/>
        <w:spacing w:after="0"/>
        <w:tabs>
          <w:tab w:leader="none" w:pos="28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No Tax Gross-Ups. </w:t>
      </w:r>
      <w:r>
        <w:rPr>
          <w:rFonts w:ascii="Arial" w:cs="Arial" w:eastAsia="Arial" w:hAnsi="Arial"/>
          <w:sz w:val="18"/>
          <w:szCs w:val="18"/>
          <w:color w:val="auto"/>
        </w:rPr>
        <w:t>We do not provide our executive officers with tax gross-ups.</w:t>
      </w:r>
    </w:p>
    <w:p>
      <w:pPr>
        <w:spacing w:after="0" w:line="63" w:lineRule="exact"/>
        <w:rPr>
          <w:rFonts w:ascii="Arial" w:cs="Arial" w:eastAsia="Arial" w:hAnsi="Arial"/>
          <w:sz w:val="18"/>
          <w:szCs w:val="18"/>
          <w:color w:val="auto"/>
        </w:rPr>
      </w:pPr>
    </w:p>
    <w:p>
      <w:pPr>
        <w:jc w:val="both"/>
        <w:ind w:left="284" w:right="20" w:hanging="284"/>
        <w:spacing w:after="0" w:line="266" w:lineRule="auto"/>
        <w:tabs>
          <w:tab w:leader="none" w:pos="28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Limited Executive Perquisites. </w:t>
      </w:r>
      <w:r>
        <w:rPr>
          <w:rFonts w:ascii="Arial" w:cs="Arial" w:eastAsia="Arial" w:hAnsi="Arial"/>
          <w:sz w:val="18"/>
          <w:szCs w:val="18"/>
          <w:color w:val="auto"/>
        </w:rPr>
        <w:t>We generally do not provide executive fringe benefits or perquisites to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executives, such as car allowances, other than certain services related to cybersecurity, which we consider to be in our best interest.</w:t>
      </w:r>
    </w:p>
    <w:p>
      <w:pPr>
        <w:spacing w:after="0" w:line="13" w:lineRule="exact"/>
        <w:rPr>
          <w:rFonts w:ascii="Arial" w:cs="Arial" w:eastAsia="Arial" w:hAnsi="Arial"/>
          <w:sz w:val="18"/>
          <w:szCs w:val="18"/>
          <w:color w:val="auto"/>
        </w:rPr>
      </w:pPr>
    </w:p>
    <w:p>
      <w:pPr>
        <w:jc w:val="both"/>
        <w:ind w:left="284" w:right="20" w:hanging="284"/>
        <w:spacing w:after="0" w:line="256" w:lineRule="auto"/>
        <w:tabs>
          <w:tab w:leader="none" w:pos="28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Engage an Independent Compensation Consultant. </w:t>
      </w:r>
      <w:r>
        <w:rPr>
          <w:rFonts w:ascii="Arial" w:cs="Arial" w:eastAsia="Arial" w:hAnsi="Arial"/>
          <w:sz w:val="18"/>
          <w:szCs w:val="18"/>
          <w:color w:val="auto"/>
        </w:rPr>
        <w:t>Our compensation committee has retained an</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third-party compensation consultant for guidance in making compensation decisions. The compensation consultant advises our compensation committee on market trends and practices, including identifying a peer group of companies and their compensation practices, so that our compensation committee can regularly assess our individual and total compensation programs against these peer companies, the general marketplace and other industry data points.</w:t>
      </w:r>
    </w:p>
    <w:p>
      <w:pPr>
        <w:spacing w:after="0" w:line="25" w:lineRule="exact"/>
        <w:rPr>
          <w:rFonts w:ascii="Arial" w:cs="Arial" w:eastAsia="Arial" w:hAnsi="Arial"/>
          <w:sz w:val="18"/>
          <w:szCs w:val="18"/>
          <w:color w:val="auto"/>
        </w:rPr>
      </w:pPr>
    </w:p>
    <w:p>
      <w:pPr>
        <w:ind w:left="284" w:right="20" w:hanging="284"/>
        <w:spacing w:after="0" w:line="282" w:lineRule="auto"/>
        <w:tabs>
          <w:tab w:leader="none" w:pos="28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Anti-Hedging and Anti-Pledging. </w:t>
      </w:r>
      <w:r>
        <w:rPr>
          <w:rFonts w:ascii="Arial" w:cs="Arial" w:eastAsia="Arial" w:hAnsi="Arial"/>
          <w:sz w:val="18"/>
          <w:szCs w:val="18"/>
          <w:color w:val="auto"/>
        </w:rPr>
        <w:t>We prohibit hedging and pledging of MongoDB securities by 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directors and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-1807845</wp:posOffset>
            </wp:positionH>
            <wp:positionV relativeFrom="paragraph">
              <wp:posOffset>-1788160</wp:posOffset>
            </wp:positionV>
            <wp:extent cx="7132320" cy="17830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830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80" w:space="76"/>
            <w:col w:w="8384"/>
          </w:cols>
          <w:pgMar w:left="320" w:top="319" w:right="339" w:bottom="1440" w:gutter="0" w:footer="0" w:header="0"/>
          <w:type w:val="continuous"/>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240"/>
          </w:cols>
          <w:pgMar w:left="320" w:top="319" w:right="33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Say-on-Pay – Strong Support</w:t>
      </w:r>
    </w:p>
    <w:p>
      <w:pPr>
        <w:spacing w:after="0" w:line="21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last year’s annual meeting of stockholders, over 92% of votes cast approved the “say-on-pay” proposal regarding the compensation awarded to named executive officers. We take the views of our stockholders seriously and view this result as an indication that the principles of our executive compensation program are supported by our stockholders. At last year’s annual meeting, our stockholders also indicated their approval of the recommendation that we solicit a say-on-pay vote on an annual basis. We have adopted a policy that is consistent with that preference and, accordingly, we are holding a say-on-pay vote at our upcoming annual meeting. A “say-on-frequency” vote is required every six years, and as such, our next say-on-frequency vote will be in 2025.</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Philosophy</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executive compensation program is guided by our overarching philosophy of paying for demonstrable performance and aligning the compensation of our executive officers with the long-term interests of our stockholders. Consistent with this philosophy, we have designed our executive compensation program to achieve the following primary objectives:</w:t>
      </w:r>
    </w:p>
    <w:p>
      <w:pPr>
        <w:spacing w:after="0" w:line="184"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attract, motivate, incentivize and retain a highly skilled team of executives who contribute to our long-term success;</w:t>
      </w:r>
    </w:p>
    <w:p>
      <w:pPr>
        <w:spacing w:after="0" w:line="18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compensation packages to our executive officers that are competitive and reward the achievement of our financial, operational and strategic objectives; and</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effectively align our executive officers’ interests with the interests of our stockholders by focusing on long-term equity incentives that correlate with the growth of sustainable long-term value for our stockholders.</w:t>
      </w:r>
    </w:p>
    <w:p>
      <w:pPr>
        <w:spacing w:after="0" w:line="13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executive compensation program has been designed to attract, retain and motivate talented executives. Accordingly, when setting individual executive compensation levels, the compensation committee generally aims to position target total direct compensation at levels that are competitive with other public and private companies in our industry and regions with whom we compete for talent. Further, our compensation committee tends to weight the target total direct compensation opportunities of our executive officers more heavily towards equity compensation. Target pay positioning may vary by individual depending on the experience level and performance of the executive and other factors, such as the demand for executives with certain skills and experience and the costs associated with recruiting qualified executives from other established companies.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Process for Setting Executive Compensation</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Role of the Compensation Committee</w:t>
      </w:r>
      <w:r>
        <w:rPr>
          <w:rFonts w:ascii="Arial" w:cs="Arial" w:eastAsia="Arial" w:hAnsi="Arial"/>
          <w:sz w:val="18"/>
          <w:szCs w:val="18"/>
          <w:color w:val="auto"/>
        </w:rPr>
        <w:t>. Compensation decisions for our named executive officers are determined by the compensation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input from our independent compensation consultant and, as appropriate, management (including our Chief Executive Officer, except in regard to his compensation). The compensation committee reviews the compensation of our named executive officers on an annual basis to ensure the executives are appropriately compensated and motivated, and makes adjustments as necessary.</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Pursuant to its charter, the compensation committee is primarily responsible for establishing, approving and adjusting compensation arrangements for our named executive officers and for reviewing and approving performance goals and objectives relevant to these compensation arrangements, evaluating executive performance and considering factors related to the performance of MongoDB. For additional information about the compensation committee, see the section titled “Board of Directors and Corporate Governance – Board Committees – Compensation Committee.”</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319" w:right="3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Generally, the compensation committee’s process for determining executive compensation comprises two related elements: the determination of compensation levels and the establishment of performance objectives for the current year. For executives other than the Chief Executive Officer, the compensation committee solicits and considers evaluations and recommendations submitted to the committee by the Chief Executive Officer. In the case of the Chief Executive Officer, the compensation committee (together with the board of directors) evaluates his performance, and determines any adjustments to his compensation as well as awards to be granted. For all executives and directors, as part of its deliberations, the compensation committee may review and consider, as appropriate, materials such as financial reports and projections, operational data, executive and director stock ownership information, company stock performance data, analyses of historical executive compensation levels and current company-wide compensation levels and recommendations of the compensation committee’s compensation consultant, including analyses of executive and director compensation paid at other companies identified by the consultant.</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compensation committee has the authority to obtain, at the expense of MongoDB, advice and assistance from its own advisors as it considers necessary or appropriate in the performance of its duties. For the fiscal year ended January 31, 2020, the compensation committee retained FW Cook to review and assess our executive compensation practices relative to market compensation practices and to provide market compensation data. For additional information on this engagement, see the section below titled “Role of the Compensation Consultant.”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Role of the Compensation Consultant</w:t>
      </w:r>
      <w:r>
        <w:rPr>
          <w:rFonts w:ascii="Arial" w:cs="Arial" w:eastAsia="Arial" w:hAnsi="Arial"/>
          <w:sz w:val="16"/>
          <w:szCs w:val="16"/>
          <w:color w:val="auto"/>
        </w:rPr>
        <w:t>. For fiscal year 2020, the scope of FW Cook’s engagement for the compensation committee included:</w:t>
      </w:r>
    </w:p>
    <w:p>
      <w:pPr>
        <w:spacing w:after="0" w:line="248" w:lineRule="exact"/>
        <w:rPr>
          <w:sz w:val="20"/>
          <w:szCs w:val="20"/>
          <w:color w:val="auto"/>
        </w:rPr>
      </w:pPr>
    </w:p>
    <w:p>
      <w:pPr>
        <w:ind w:left="980" w:right="2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the materials prepared for the compensation committee by management relative to fiscal year 2020 compensation for the named executive officers;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Advising the compensation committee on executive compensation trends;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Presenting market data and analysis for the compensation committee to set target compensation for named executive officers;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Researching, developing and reviewing the compensation peer group used for fiscal year 2020 executive compensation;</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Advising on our non-employee director compensation program;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Supporting other ad hoc matters throughout the year.</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FW Cook reviewed and provided input on the Compensation Discussion and Analysis section of this proxy statement. In retaining FW Cook, the compensation committee considered the six factors set forth in Rule 10C-1(b)(4)(i) through (vi) of the Exchange Act. In addition, after review of information provided by each of the members of the compensation committee as well as information provided by FW Cook, the compensation committee determined that there were no conflicts of interest raised by their work with the compensation committee.</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Role of Chief Executive Officer</w:t>
      </w:r>
      <w:r>
        <w:rPr>
          <w:rFonts w:ascii="Arial" w:cs="Arial" w:eastAsia="Arial" w:hAnsi="Arial"/>
          <w:sz w:val="16"/>
          <w:szCs w:val="16"/>
          <w:color w:val="auto"/>
        </w:rPr>
        <w:t>. In discharging its responsibilities, the compensation committee works with members of our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our Chief Executive Officer. Our management assists the compensation committee by providing information on corporate and individual performance, market compensation data and management's perspective on compensation matters. The compensation committee solicits and reviews our Chief Executive Officer's recommendations and proposals with respect to adjustments to annual cash compensation, long-term incentive compensation opportunities, program structures and other compensation-related matters for our executive officers (other than with respect to his own compensation).</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compensation committee reviews and discusses these recommendations and proposals with our Chief Executive Officer and considers them as one factor in determining the compensation for our executive officers, including our other named executive officers. Our Chief Executive Officer recuses himself from all deliberations and recommendations regarding his own compensation.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319" w:right="3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Use of Competitive Market Data</w:t>
      </w:r>
      <w:r>
        <w:rPr>
          <w:rFonts w:ascii="Arial" w:cs="Arial" w:eastAsia="Arial" w:hAnsi="Arial"/>
          <w:sz w:val="18"/>
          <w:szCs w:val="18"/>
          <w:color w:val="auto"/>
        </w:rPr>
        <w:t>. For purposes of comparing our executive compensation against the competitive market,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reviews and considers the compensation levels and practices of a group of peer companies. This compensation peer group consists of technology companies and is determined based on several factors, including industry classification and company size based on metrics such as revenue, market capitalization and headcount along with other qualitative factors.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fourth quarter of fiscal year 2019, the compensation committee, in consultation with FW Cook, reviewed the companies in our peer group to determine if adjustments were necessary based on strategic and company size alignment. As a result of this review, the compensation committee approved the following 17-company peer group for purposes of fiscal year 2020 compensation decisions: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7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Alteryx</w:t>
            </w:r>
          </w:p>
        </w:tc>
        <w:tc>
          <w:tcPr>
            <w:tcW w:w="3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Five9</w:t>
            </w:r>
          </w:p>
        </w:tc>
        <w:tc>
          <w:tcPr>
            <w:tcW w:w="504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Rapid7</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Appian Corporation</w:t>
            </w:r>
          </w:p>
        </w:tc>
        <w:tc>
          <w:tcPr>
            <w:tcW w:w="3440" w:type="dxa"/>
            <w:vAlign w:val="bottom"/>
          </w:tcPr>
          <w:p>
            <w:pPr>
              <w:ind w:left="1160"/>
              <w:spacing w:after="0"/>
              <w:rPr>
                <w:sz w:val="20"/>
                <w:szCs w:val="20"/>
                <w:color w:val="auto"/>
              </w:rPr>
            </w:pPr>
            <w:r>
              <w:rPr>
                <w:rFonts w:ascii="Arial" w:cs="Arial" w:eastAsia="Arial" w:hAnsi="Arial"/>
                <w:sz w:val="18"/>
                <w:szCs w:val="18"/>
                <w:color w:val="auto"/>
              </w:rPr>
              <w:t>HubSpot</w:t>
            </w:r>
          </w:p>
        </w:tc>
        <w:tc>
          <w:tcPr>
            <w:tcW w:w="5040" w:type="dxa"/>
            <w:vAlign w:val="bottom"/>
          </w:tcPr>
          <w:p>
            <w:pPr>
              <w:ind w:left="1520"/>
              <w:spacing w:after="0"/>
              <w:rPr>
                <w:sz w:val="20"/>
                <w:szCs w:val="20"/>
                <w:color w:val="auto"/>
              </w:rPr>
            </w:pPr>
            <w:r>
              <w:rPr>
                <w:rFonts w:ascii="Arial" w:cs="Arial" w:eastAsia="Arial" w:hAnsi="Arial"/>
                <w:sz w:val="18"/>
                <w:szCs w:val="18"/>
                <w:color w:val="auto"/>
              </w:rPr>
              <w:t>Tableau Software</w:t>
            </w:r>
          </w:p>
        </w:tc>
      </w:tr>
      <w:tr>
        <w:trPr>
          <w:trHeight w:val="27"/>
        </w:trPr>
        <w:tc>
          <w:tcPr>
            <w:tcW w:w="26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Box</w:t>
            </w:r>
          </w:p>
        </w:tc>
        <w:tc>
          <w:tcPr>
            <w:tcW w:w="3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LogMeIn</w:t>
            </w:r>
          </w:p>
        </w:tc>
        <w:tc>
          <w:tcPr>
            <w:tcW w:w="504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Twilio</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Carbonite</w:t>
            </w:r>
          </w:p>
        </w:tc>
        <w:tc>
          <w:tcPr>
            <w:tcW w:w="3440" w:type="dxa"/>
            <w:vAlign w:val="bottom"/>
          </w:tcPr>
          <w:p>
            <w:pPr>
              <w:ind w:left="1160"/>
              <w:spacing w:after="0"/>
              <w:rPr>
                <w:sz w:val="20"/>
                <w:szCs w:val="20"/>
                <w:color w:val="auto"/>
              </w:rPr>
            </w:pPr>
            <w:r>
              <w:rPr>
                <w:rFonts w:ascii="Arial" w:cs="Arial" w:eastAsia="Arial" w:hAnsi="Arial"/>
                <w:sz w:val="18"/>
                <w:szCs w:val="18"/>
                <w:color w:val="auto"/>
              </w:rPr>
              <w:t>New Relic</w:t>
            </w:r>
          </w:p>
        </w:tc>
        <w:tc>
          <w:tcPr>
            <w:tcW w:w="5040" w:type="dxa"/>
            <w:vAlign w:val="bottom"/>
          </w:tcPr>
          <w:p>
            <w:pPr>
              <w:ind w:left="1520"/>
              <w:spacing w:after="0"/>
              <w:rPr>
                <w:sz w:val="20"/>
                <w:szCs w:val="20"/>
                <w:color w:val="auto"/>
              </w:rPr>
            </w:pPr>
            <w:r>
              <w:rPr>
                <w:rFonts w:ascii="Arial" w:cs="Arial" w:eastAsia="Arial" w:hAnsi="Arial"/>
                <w:sz w:val="18"/>
                <w:szCs w:val="18"/>
                <w:color w:val="auto"/>
              </w:rPr>
              <w:t>Yext</w:t>
            </w:r>
          </w:p>
        </w:tc>
      </w:tr>
      <w:tr>
        <w:trPr>
          <w:trHeight w:val="27"/>
        </w:trPr>
        <w:tc>
          <w:tcPr>
            <w:tcW w:w="26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504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Cloudera</w:t>
            </w:r>
          </w:p>
        </w:tc>
        <w:tc>
          <w:tcPr>
            <w:tcW w:w="344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Nutanix</w:t>
            </w:r>
          </w:p>
        </w:tc>
        <w:tc>
          <w:tcPr>
            <w:tcW w:w="5040" w:type="dxa"/>
            <w:vAlign w:val="bottom"/>
            <w:tcBorders>
              <w:bottom w:val="single" w:sz="8" w:color="CCEEFF"/>
            </w:tcBorders>
            <w:shd w:val="clear" w:color="auto" w:fill="CCEEFF"/>
          </w:tcPr>
          <w:p>
            <w:pPr>
              <w:ind w:left="1520"/>
              <w:spacing w:after="0"/>
              <w:rPr>
                <w:sz w:val="20"/>
                <w:szCs w:val="20"/>
                <w:color w:val="auto"/>
              </w:rPr>
            </w:pPr>
            <w:r>
              <w:rPr>
                <w:rFonts w:ascii="Arial" w:cs="Arial" w:eastAsia="Arial" w:hAnsi="Arial"/>
                <w:sz w:val="18"/>
                <w:szCs w:val="18"/>
                <w:color w:val="auto"/>
              </w:rPr>
              <w:t>Zendesk</w:t>
            </w: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Coupa Software</w:t>
            </w:r>
          </w:p>
        </w:tc>
        <w:tc>
          <w:tcPr>
            <w:tcW w:w="3440" w:type="dxa"/>
            <w:vAlign w:val="bottom"/>
          </w:tcPr>
          <w:p>
            <w:pPr>
              <w:ind w:left="1160"/>
              <w:spacing w:after="0"/>
              <w:rPr>
                <w:sz w:val="20"/>
                <w:szCs w:val="20"/>
                <w:color w:val="auto"/>
              </w:rPr>
            </w:pPr>
            <w:r>
              <w:rPr>
                <w:rFonts w:ascii="Arial" w:cs="Arial" w:eastAsia="Arial" w:hAnsi="Arial"/>
                <w:sz w:val="18"/>
                <w:szCs w:val="18"/>
                <w:color w:val="auto"/>
              </w:rPr>
              <w:t>Okta</w:t>
            </w:r>
          </w:p>
        </w:tc>
        <w:tc>
          <w:tcPr>
            <w:tcW w:w="5040" w:type="dxa"/>
            <w:vAlign w:val="bottom"/>
          </w:tcPr>
          <w:p>
            <w:pPr>
              <w:spacing w:after="0"/>
              <w:rPr>
                <w:sz w:val="21"/>
                <w:szCs w:val="21"/>
                <w:color w:val="auto"/>
              </w:rPr>
            </w:pPr>
          </w:p>
        </w:tc>
      </w:tr>
    </w:tbl>
    <w:p>
      <w:pPr>
        <w:spacing w:after="0" w:line="12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Appian Corporation and Coupa Software were added to the peer group based on their size and the nature of their business. Hortonworks and Mulesoft were removed from the peer group as they were no longer public due to their acquisition or merger. At the end of fiscal year 2019, MongoDB was at the 34th percentile in terms of revenue and at the 53rd percentile in terms of market capitalization relative to the companies in this peer group.</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referred to compensation data from this peer group in the first quarter of fiscal year 2020 to assist with the determination of compensation for our directors and executive officers.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to public proxy data from our compensation peer group, the compensation committee used survey data from a 2018 technology industry executive compensation survey to evaluate the competitive market when formulating its recommendation for the total direct compensation packages for our executive officers, including base salary and long-term incentive compensation opportunities. This survey provides compensation market intelligence and is widely used within the technology industry.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reviews the compensation peer group at least annually to make adjustments to its composition if warranted, taking into account changes in both our business and the businesses of the companies in the peer group. In the third quarter of fiscal year 2020, the compensation committee made further adjustments to the peer group for purposes of fiscal year 2021 compensation determinations.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319" w:right="3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Compensation Program Components for FY2020</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Named executive officer compensation awarded in the fiscal year ended January 31, 2020 consisted of the following components.</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120" w:type="dxa"/>
            <w:vAlign w:val="bottom"/>
            <w:gridSpan w:val="2"/>
          </w:tcPr>
          <w:p>
            <w:pPr>
              <w:ind w:left="20"/>
              <w:spacing w:after="0"/>
              <w:rPr>
                <w:sz w:val="20"/>
                <w:szCs w:val="20"/>
                <w:color w:val="auto"/>
              </w:rPr>
            </w:pPr>
            <w:r>
              <w:rPr>
                <w:rFonts w:ascii="Arial" w:cs="Arial" w:eastAsia="Arial" w:hAnsi="Arial"/>
                <w:sz w:val="18"/>
                <w:szCs w:val="18"/>
                <w:b w:val="1"/>
                <w:bCs w:val="1"/>
                <w:color w:val="auto"/>
              </w:rPr>
              <w:t>Compensation Element</w:t>
            </w:r>
          </w:p>
        </w:tc>
        <w:tc>
          <w:tcPr>
            <w:tcW w:w="3060" w:type="dxa"/>
            <w:vAlign w:val="bottom"/>
          </w:tcPr>
          <w:p>
            <w:pPr>
              <w:ind w:left="280"/>
              <w:spacing w:after="0"/>
              <w:rPr>
                <w:sz w:val="20"/>
                <w:szCs w:val="20"/>
                <w:color w:val="auto"/>
              </w:rPr>
            </w:pPr>
            <w:r>
              <w:rPr>
                <w:rFonts w:ascii="Arial" w:cs="Arial" w:eastAsia="Arial" w:hAnsi="Arial"/>
                <w:sz w:val="18"/>
                <w:szCs w:val="18"/>
                <w:b w:val="1"/>
                <w:bCs w:val="1"/>
                <w:color w:val="auto"/>
              </w:rPr>
              <w:t>How Payout is Determined</w:t>
            </w:r>
          </w:p>
        </w:tc>
        <w:tc>
          <w:tcPr>
            <w:tcW w:w="2580" w:type="dxa"/>
            <w:vAlign w:val="bottom"/>
          </w:tcPr>
          <w:p>
            <w:pPr>
              <w:ind w:left="120"/>
              <w:spacing w:after="0"/>
              <w:rPr>
                <w:sz w:val="20"/>
                <w:szCs w:val="20"/>
                <w:color w:val="auto"/>
              </w:rPr>
            </w:pPr>
            <w:r>
              <w:rPr>
                <w:rFonts w:ascii="Arial" w:cs="Arial" w:eastAsia="Arial" w:hAnsi="Arial"/>
                <w:sz w:val="18"/>
                <w:szCs w:val="18"/>
                <w:b w:val="1"/>
                <w:bCs w:val="1"/>
                <w:color w:val="auto"/>
              </w:rPr>
              <w:t>Performance Measures</w:t>
            </w:r>
          </w:p>
        </w:tc>
        <w:tc>
          <w:tcPr>
            <w:tcW w:w="20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Purpose</w:t>
            </w:r>
          </w:p>
        </w:tc>
      </w:tr>
      <w:tr>
        <w:trPr>
          <w:trHeight w:val="27"/>
        </w:trPr>
        <w:tc>
          <w:tcPr>
            <w:tcW w:w="2120" w:type="dxa"/>
            <w:vAlign w:val="bottom"/>
            <w:tcBorders>
              <w:bottom w:val="single" w:sz="8" w:color="auto"/>
            </w:tcBorders>
            <w:gridSpan w:val="2"/>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r>
      <w:tr>
        <w:trPr>
          <w:trHeight w:val="222"/>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Base Salary</w:t>
            </w:r>
          </w:p>
        </w:tc>
        <w:tc>
          <w:tcPr>
            <w:tcW w:w="3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Compensation committee determines</w:t>
            </w:r>
          </w:p>
        </w:tc>
        <w:tc>
          <w:tcPr>
            <w:tcW w:w="2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Provides compensation at a level</w:t>
            </w:r>
          </w:p>
        </w:tc>
      </w:tr>
      <w:tr>
        <w:trPr>
          <w:trHeight w:val="216"/>
        </w:trPr>
        <w:tc>
          <w:tcPr>
            <w:tcW w:w="260" w:type="dxa"/>
            <w:vAlign w:val="bottom"/>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18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Fixed</w:t>
            </w:r>
          </w:p>
        </w:tc>
        <w:tc>
          <w:tcPr>
            <w:tcW w:w="3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salary; considers competitive market</w:t>
            </w:r>
          </w:p>
        </w:tc>
        <w:tc>
          <w:tcPr>
            <w:tcW w:w="2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consistent with competitive practices</w:t>
            </w:r>
          </w:p>
        </w:tc>
      </w:tr>
      <w:tr>
        <w:trPr>
          <w:trHeight w:val="230"/>
        </w:trPr>
        <w:tc>
          <w:tcPr>
            <w:tcW w:w="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Paid in cash</w:t>
            </w:r>
          </w:p>
        </w:tc>
        <w:tc>
          <w:tcPr>
            <w:tcW w:w="3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rPr>
              <w:t>information, performance, criticality</w:t>
            </w:r>
          </w:p>
        </w:tc>
        <w:tc>
          <w:tcPr>
            <w:tcW w:w="2580" w:type="dxa"/>
            <w:vAlign w:val="bottom"/>
            <w:shd w:val="clear" w:color="auto" w:fill="CCEEFF"/>
          </w:tcPr>
          <w:p>
            <w:pPr>
              <w:spacing w:after="0"/>
              <w:rPr>
                <w:sz w:val="20"/>
                <w:szCs w:val="20"/>
                <w:color w:val="auto"/>
              </w:rPr>
            </w:pP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Reflects role, responsibilities, skills,</w:t>
            </w:r>
          </w:p>
        </w:tc>
      </w:tr>
      <w:tr>
        <w:trPr>
          <w:trHeight w:val="270"/>
        </w:trPr>
        <w:tc>
          <w:tcPr>
            <w:tcW w:w="26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3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of role and potential impact</w:t>
            </w:r>
          </w:p>
        </w:tc>
        <w:tc>
          <w:tcPr>
            <w:tcW w:w="25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experience and performance</w:t>
            </w:r>
          </w:p>
        </w:tc>
      </w:tr>
      <w:tr>
        <w:trPr>
          <w:trHeight w:val="27"/>
        </w:trPr>
        <w:tc>
          <w:tcPr>
            <w:tcW w:w="2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sectPr>
          <w:pgSz w:w="11900" w:h="16838" w:orient="portrait"/>
          <w:cols w:equalWidth="0" w:num="1">
            <w:col w:w="11240"/>
          </w:cols>
          <w:pgMar w:left="320" w:top="319" w:right="339" w:bottom="1440" w:gutter="0" w:footer="0" w:header="0"/>
        </w:sectPr>
      </w:pPr>
    </w:p>
    <w:tbl>
      <w:tblPr>
        <w:tblLayout w:type="fixed"/>
        <w:tblInd w:w="80" w:type="dxa"/>
        <w:tblCellMar>
          <w:top w:w="0" w:type="dxa"/>
          <w:left w:w="0" w:type="dxa"/>
          <w:bottom w:w="0" w:type="dxa"/>
          <w:right w:w="0" w:type="dxa"/>
        </w:tblCellMar>
      </w:tblP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Performance-Based Cash</w:t>
            </w:r>
          </w:p>
        </w:tc>
        <w:tc>
          <w:tcPr>
            <w:tcW w:w="3060" w:type="dxa"/>
            <w:vAlign w:val="bottom"/>
          </w:tcPr>
          <w:p>
            <w:pPr>
              <w:ind w:left="280"/>
              <w:spacing w:after="0"/>
              <w:rPr>
                <w:sz w:val="20"/>
                <w:szCs w:val="20"/>
                <w:color w:val="auto"/>
              </w:rPr>
            </w:pPr>
            <w:r>
              <w:rPr>
                <w:rFonts w:ascii="Arial" w:cs="Arial" w:eastAsia="Arial" w:hAnsi="Arial"/>
                <w:sz w:val="18"/>
                <w:szCs w:val="18"/>
                <w:color w:val="auto"/>
                <w:w w:val="92"/>
              </w:rPr>
              <w:t>Compensation committee determines</w:t>
            </w:r>
          </w:p>
        </w:tc>
        <w:tc>
          <w:tcPr>
            <w:tcW w:w="2460" w:type="dxa"/>
            <w:vAlign w:val="bottom"/>
          </w:tcPr>
          <w:p>
            <w:pPr>
              <w:ind w:left="120"/>
              <w:spacing w:after="0"/>
              <w:rPr>
                <w:sz w:val="20"/>
                <w:szCs w:val="20"/>
                <w:color w:val="auto"/>
              </w:rPr>
            </w:pPr>
            <w:r>
              <w:rPr>
                <w:rFonts w:ascii="Arial" w:cs="Arial" w:eastAsia="Arial" w:hAnsi="Arial"/>
                <w:sz w:val="18"/>
                <w:szCs w:val="18"/>
                <w:color w:val="auto"/>
                <w:w w:val="99"/>
              </w:rPr>
              <w:t>Annual Contract Value (New,</w:t>
            </w: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Bonus Awards</w:t>
            </w:r>
          </w:p>
        </w:tc>
        <w:tc>
          <w:tcPr>
            <w:tcW w:w="3060" w:type="dxa"/>
            <w:vAlign w:val="bottom"/>
          </w:tcPr>
          <w:p>
            <w:pPr>
              <w:ind w:left="280"/>
              <w:spacing w:after="0"/>
              <w:rPr>
                <w:sz w:val="20"/>
                <w:szCs w:val="20"/>
                <w:color w:val="auto"/>
              </w:rPr>
            </w:pPr>
            <w:r>
              <w:rPr>
                <w:rFonts w:ascii="Arial" w:cs="Arial" w:eastAsia="Arial" w:hAnsi="Arial"/>
                <w:sz w:val="18"/>
                <w:szCs w:val="18"/>
                <w:color w:val="auto"/>
              </w:rPr>
              <w:t>executive bonus; considers</w:t>
            </w:r>
          </w:p>
        </w:tc>
        <w:tc>
          <w:tcPr>
            <w:tcW w:w="2460" w:type="dxa"/>
            <w:vAlign w:val="bottom"/>
          </w:tcPr>
          <w:p>
            <w:pPr>
              <w:ind w:left="120"/>
              <w:spacing w:after="0"/>
              <w:rPr>
                <w:sz w:val="20"/>
                <w:szCs w:val="20"/>
                <w:color w:val="auto"/>
              </w:rPr>
            </w:pPr>
            <w:r>
              <w:rPr>
                <w:rFonts w:ascii="Arial" w:cs="Arial" w:eastAsia="Arial" w:hAnsi="Arial"/>
                <w:sz w:val="18"/>
                <w:szCs w:val="18"/>
                <w:color w:val="auto"/>
              </w:rPr>
              <w:t>Renewals and Professional</w:t>
            </w:r>
          </w:p>
        </w:tc>
      </w:tr>
      <w:tr>
        <w:trPr>
          <w:trHeight w:val="216"/>
        </w:trPr>
        <w:tc>
          <w:tcPr>
            <w:tcW w:w="240" w:type="dxa"/>
            <w:vAlign w:val="bottom"/>
          </w:tcPr>
          <w:p>
            <w:pPr>
              <w:ind w:left="60"/>
              <w:spacing w:after="0"/>
              <w:rPr>
                <w:sz w:val="20"/>
                <w:szCs w:val="20"/>
                <w:color w:val="auto"/>
              </w:rPr>
            </w:pPr>
            <w:r>
              <w:rPr>
                <w:rFonts w:ascii="Arial" w:cs="Arial" w:eastAsia="Arial" w:hAnsi="Arial"/>
                <w:sz w:val="18"/>
                <w:szCs w:val="18"/>
                <w:i w:val="1"/>
                <w:iCs w:val="1"/>
                <w:color w:val="auto"/>
              </w:rPr>
              <w:t>•</w:t>
            </w:r>
          </w:p>
        </w:tc>
        <w:tc>
          <w:tcPr>
            <w:tcW w:w="1860" w:type="dxa"/>
            <w:vAlign w:val="bottom"/>
          </w:tcPr>
          <w:p>
            <w:pPr>
              <w:ind w:left="120"/>
              <w:spacing w:after="0"/>
              <w:rPr>
                <w:sz w:val="20"/>
                <w:szCs w:val="20"/>
                <w:color w:val="auto"/>
              </w:rPr>
            </w:pPr>
            <w:r>
              <w:rPr>
                <w:rFonts w:ascii="Arial" w:cs="Arial" w:eastAsia="Arial" w:hAnsi="Arial"/>
                <w:sz w:val="18"/>
                <w:szCs w:val="18"/>
                <w:i w:val="1"/>
                <w:iCs w:val="1"/>
                <w:color w:val="auto"/>
              </w:rPr>
              <w:t>Variable</w:t>
            </w:r>
          </w:p>
        </w:tc>
        <w:tc>
          <w:tcPr>
            <w:tcW w:w="3060" w:type="dxa"/>
            <w:vAlign w:val="bottom"/>
          </w:tcPr>
          <w:p>
            <w:pPr>
              <w:ind w:left="280"/>
              <w:spacing w:after="0"/>
              <w:rPr>
                <w:sz w:val="20"/>
                <w:szCs w:val="20"/>
                <w:color w:val="auto"/>
              </w:rPr>
            </w:pPr>
            <w:r>
              <w:rPr>
                <w:rFonts w:ascii="Arial" w:cs="Arial" w:eastAsia="Arial" w:hAnsi="Arial"/>
                <w:sz w:val="18"/>
                <w:szCs w:val="18"/>
                <w:color w:val="auto"/>
                <w:w w:val="94"/>
              </w:rPr>
              <w:t>performance against pre-established</w:t>
            </w:r>
          </w:p>
        </w:tc>
        <w:tc>
          <w:tcPr>
            <w:tcW w:w="2460" w:type="dxa"/>
            <w:vAlign w:val="bottom"/>
          </w:tcPr>
          <w:p>
            <w:pPr>
              <w:ind w:left="120"/>
              <w:spacing w:after="0"/>
              <w:rPr>
                <w:sz w:val="20"/>
                <w:szCs w:val="20"/>
                <w:color w:val="auto"/>
              </w:rPr>
            </w:pPr>
            <w:r>
              <w:rPr>
                <w:rFonts w:ascii="Arial" w:cs="Arial" w:eastAsia="Arial" w:hAnsi="Arial"/>
                <w:sz w:val="18"/>
                <w:szCs w:val="18"/>
                <w:color w:val="auto"/>
                <w:w w:val="89"/>
              </w:rPr>
              <w:t>Services); Operating Cash Flow;</w:t>
            </w:r>
          </w:p>
        </w:tc>
      </w:tr>
      <w:tr>
        <w:trPr>
          <w:trHeight w:val="216"/>
        </w:trPr>
        <w:tc>
          <w:tcPr>
            <w:tcW w:w="240" w:type="dxa"/>
            <w:vAlign w:val="bottom"/>
          </w:tcPr>
          <w:p>
            <w:pPr>
              <w:ind w:left="60"/>
              <w:spacing w:after="0"/>
              <w:rPr>
                <w:sz w:val="20"/>
                <w:szCs w:val="20"/>
                <w:color w:val="auto"/>
              </w:rPr>
            </w:pPr>
            <w:r>
              <w:rPr>
                <w:rFonts w:ascii="Arial" w:cs="Arial" w:eastAsia="Arial" w:hAnsi="Arial"/>
                <w:sz w:val="18"/>
                <w:szCs w:val="18"/>
                <w:i w:val="1"/>
                <w:iCs w:val="1"/>
                <w:color w:val="auto"/>
              </w:rPr>
              <w:t>•</w:t>
            </w:r>
          </w:p>
        </w:tc>
        <w:tc>
          <w:tcPr>
            <w:tcW w:w="1860" w:type="dxa"/>
            <w:vAlign w:val="bottom"/>
          </w:tcPr>
          <w:p>
            <w:pPr>
              <w:ind w:left="120"/>
              <w:spacing w:after="0"/>
              <w:rPr>
                <w:sz w:val="20"/>
                <w:szCs w:val="20"/>
                <w:color w:val="auto"/>
              </w:rPr>
            </w:pPr>
            <w:r>
              <w:rPr>
                <w:rFonts w:ascii="Arial" w:cs="Arial" w:eastAsia="Arial" w:hAnsi="Arial"/>
                <w:sz w:val="18"/>
                <w:szCs w:val="18"/>
                <w:i w:val="1"/>
                <w:iCs w:val="1"/>
                <w:color w:val="auto"/>
              </w:rPr>
              <w:t>Paid in cash</w:t>
            </w:r>
          </w:p>
        </w:tc>
        <w:tc>
          <w:tcPr>
            <w:tcW w:w="3060" w:type="dxa"/>
            <w:vAlign w:val="bottom"/>
          </w:tcPr>
          <w:p>
            <w:pPr>
              <w:ind w:left="280"/>
              <w:spacing w:after="0"/>
              <w:rPr>
                <w:sz w:val="20"/>
                <w:szCs w:val="20"/>
                <w:color w:val="auto"/>
              </w:rPr>
            </w:pPr>
            <w:r>
              <w:rPr>
                <w:rFonts w:ascii="Arial" w:cs="Arial" w:eastAsia="Arial" w:hAnsi="Arial"/>
                <w:sz w:val="18"/>
                <w:szCs w:val="18"/>
                <w:color w:val="auto"/>
              </w:rPr>
              <w:t>goals, with discretion to reduce</w:t>
            </w:r>
          </w:p>
        </w:tc>
        <w:tc>
          <w:tcPr>
            <w:tcW w:w="2460" w:type="dxa"/>
            <w:vAlign w:val="bottom"/>
          </w:tcPr>
          <w:p>
            <w:pPr>
              <w:ind w:left="120"/>
              <w:spacing w:after="0"/>
              <w:rPr>
                <w:sz w:val="20"/>
                <w:szCs w:val="20"/>
                <w:color w:val="auto"/>
              </w:rPr>
            </w:pPr>
            <w:r>
              <w:rPr>
                <w:rFonts w:ascii="Arial" w:cs="Arial" w:eastAsia="Arial" w:hAnsi="Arial"/>
                <w:sz w:val="18"/>
                <w:szCs w:val="18"/>
                <w:color w:val="auto"/>
              </w:rPr>
              <w:t>and Revenue</w:t>
            </w:r>
          </w:p>
        </w:tc>
      </w:tr>
      <w:tr>
        <w:trPr>
          <w:trHeight w:val="230"/>
        </w:trPr>
        <w:tc>
          <w:tcPr>
            <w:tcW w:w="2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060" w:type="dxa"/>
            <w:vAlign w:val="bottom"/>
          </w:tcPr>
          <w:p>
            <w:pPr>
              <w:ind w:left="280"/>
              <w:spacing w:after="0"/>
              <w:rPr>
                <w:sz w:val="20"/>
                <w:szCs w:val="20"/>
                <w:color w:val="auto"/>
              </w:rPr>
            </w:pPr>
            <w:r>
              <w:rPr>
                <w:rFonts w:ascii="Arial" w:cs="Arial" w:eastAsia="Arial" w:hAnsi="Arial"/>
                <w:sz w:val="18"/>
                <w:szCs w:val="18"/>
                <w:color w:val="auto"/>
              </w:rPr>
              <w:t>executive bonus payout amounts</w:t>
            </w:r>
          </w:p>
        </w:tc>
        <w:tc>
          <w:tcPr>
            <w:tcW w:w="2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ind w:left="176" w:right="440" w:hanging="176"/>
        <w:spacing w:after="0" w:line="308" w:lineRule="auto"/>
        <w:tabs>
          <w:tab w:leader="none" w:pos="176" w:val="left"/>
        </w:tabs>
        <w:numPr>
          <w:ilvl w:val="0"/>
          <w:numId w:val="36"/>
        </w:numPr>
        <w:rPr>
          <w:rFonts w:ascii="Arial" w:cs="Arial" w:eastAsia="Arial" w:hAnsi="Arial"/>
          <w:sz w:val="17"/>
          <w:szCs w:val="17"/>
          <w:color w:val="auto"/>
        </w:rPr>
      </w:pPr>
      <w:r>
        <w:rPr>
          <w:rFonts w:ascii="Arial" w:cs="Arial" w:eastAsia="Arial" w:hAnsi="Arial"/>
          <w:sz w:val="17"/>
          <w:szCs w:val="17"/>
          <w:color w:val="auto"/>
        </w:rPr>
        <w:t>Motivates and rewards executives for achievement of annual goals</w:t>
      </w:r>
    </w:p>
    <w:p>
      <w:pPr>
        <w:spacing w:after="0" w:line="65" w:lineRule="exact"/>
        <w:rPr>
          <w:rFonts w:ascii="Arial" w:cs="Arial" w:eastAsia="Arial" w:hAnsi="Arial"/>
          <w:sz w:val="17"/>
          <w:szCs w:val="17"/>
          <w:color w:val="auto"/>
        </w:rPr>
      </w:pPr>
    </w:p>
    <w:p>
      <w:pPr>
        <w:ind w:left="176" w:right="320" w:hanging="176"/>
        <w:spacing w:after="0" w:line="342" w:lineRule="auto"/>
        <w:tabs>
          <w:tab w:leader="none" w:pos="176"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Aligns management and stockholder interests by linking pay to performance</w:t>
      </w:r>
    </w:p>
    <w:p>
      <w:pPr>
        <w:spacing w:after="0" w:line="29" w:lineRule="exact"/>
        <w:rPr>
          <w:sz w:val="20"/>
          <w:szCs w:val="20"/>
          <w:color w:val="auto"/>
        </w:rPr>
      </w:pPr>
    </w:p>
    <w:p>
      <w:pPr>
        <w:sectPr>
          <w:pgSz w:w="11900" w:h="16838" w:orient="portrait"/>
          <w:cols w:equalWidth="0" w:num="2">
            <w:col w:w="7700" w:space="224"/>
            <w:col w:w="3316"/>
          </w:cols>
          <w:pgMar w:left="320" w:top="319" w:right="339" w:bottom="1440" w:gutter="0" w:footer="0" w:header="0"/>
          <w:type w:val="continuous"/>
        </w:sectPr>
      </w:pPr>
    </w:p>
    <w:tbl>
      <w:tblPr>
        <w:tblLayout w:type="fixed"/>
        <w:tblInd w:w="60" w:type="dxa"/>
        <w:tblCellMar>
          <w:top w:w="0" w:type="dxa"/>
          <w:left w:w="0" w:type="dxa"/>
          <w:bottom w:w="0" w:type="dxa"/>
          <w:right w:w="0" w:type="dxa"/>
        </w:tblCellMar>
      </w:tblPr>
      <w:tr>
        <w:trPr>
          <w:trHeight w:val="229"/>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incentives in the</w:t>
            </w:r>
          </w:p>
        </w:tc>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Compensation committee determines</w:t>
            </w:r>
          </w:p>
        </w:tc>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0"/>
              </w:rPr>
              <w:t>Cash value of a unit as of the date</w:t>
            </w:r>
          </w:p>
        </w:tc>
        <w:tc>
          <w:tcPr>
            <w:tcW w:w="3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Serves a retention function</w:t>
            </w:r>
          </w:p>
        </w:tc>
      </w:tr>
      <w:tr>
        <w:trPr>
          <w:trHeight w:val="216"/>
        </w:trPr>
        <w:tc>
          <w:tcPr>
            <w:tcW w:w="2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form of RSUs</w:t>
            </w:r>
          </w:p>
        </w:tc>
        <w:tc>
          <w:tcPr>
            <w:tcW w:w="2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amounts and terms of RSU grants</w:t>
            </w:r>
          </w:p>
        </w:tc>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of vesting is based on stock price</w:t>
            </w:r>
          </w:p>
        </w:tc>
        <w:tc>
          <w:tcPr>
            <w:tcW w:w="3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 Aligns management and stockholder</w:t>
            </w:r>
          </w:p>
        </w:tc>
      </w:tr>
      <w:tr>
        <w:trPr>
          <w:trHeight w:val="216"/>
        </w:trPr>
        <w:tc>
          <w:tcPr>
            <w:tcW w:w="260" w:type="dxa"/>
            <w:vAlign w:val="bottom"/>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19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Variable</w:t>
            </w:r>
          </w:p>
        </w:tc>
        <w:tc>
          <w:tcPr>
            <w:tcW w:w="2960" w:type="dxa"/>
            <w:vAlign w:val="bottom"/>
            <w:shd w:val="clear" w:color="auto" w:fill="CCEEFF"/>
          </w:tcPr>
          <w:p>
            <w:pPr>
              <w:spacing w:after="0"/>
              <w:rPr>
                <w:sz w:val="18"/>
                <w:szCs w:val="18"/>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 the date of vesting, and</w:t>
            </w:r>
          </w:p>
        </w:tc>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interests by facilitating management</w:t>
            </w:r>
          </w:p>
        </w:tc>
      </w:tr>
      <w:tr>
        <w:trPr>
          <w:trHeight w:val="216"/>
        </w:trPr>
        <w:tc>
          <w:tcPr>
            <w:tcW w:w="260" w:type="dxa"/>
            <w:vAlign w:val="bottom"/>
            <w:shd w:val="clear" w:color="auto" w:fill="CCEEFF"/>
          </w:tcPr>
          <w:p>
            <w:pPr>
              <w:ind w:left="80"/>
              <w:spacing w:after="0"/>
              <w:rPr>
                <w:sz w:val="20"/>
                <w:szCs w:val="20"/>
                <w:color w:val="auto"/>
              </w:rPr>
            </w:pPr>
            <w:r>
              <w:rPr>
                <w:rFonts w:ascii="Arial" w:cs="Arial" w:eastAsia="Arial" w:hAnsi="Arial"/>
                <w:sz w:val="18"/>
                <w:szCs w:val="18"/>
                <w:i w:val="1"/>
                <w:iCs w:val="1"/>
                <w:color w:val="auto"/>
              </w:rPr>
              <w:t>•</w:t>
            </w:r>
          </w:p>
        </w:tc>
        <w:tc>
          <w:tcPr>
            <w:tcW w:w="19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Paid in stock</w:t>
            </w:r>
          </w:p>
        </w:tc>
        <w:tc>
          <w:tcPr>
            <w:tcW w:w="2960" w:type="dxa"/>
            <w:vAlign w:val="bottom"/>
            <w:shd w:val="clear" w:color="auto" w:fill="CCEEFF"/>
          </w:tcPr>
          <w:p>
            <w:pPr>
              <w:spacing w:after="0"/>
              <w:rPr>
                <w:sz w:val="18"/>
                <w:szCs w:val="18"/>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therefore linked to overall</w:t>
            </w:r>
          </w:p>
        </w:tc>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ownership and tying value of award at</w:t>
            </w:r>
          </w:p>
        </w:tc>
      </w:tr>
      <w:tr>
        <w:trPr>
          <w:trHeight w:val="216"/>
        </w:trPr>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7"/>
              </w:rPr>
              <w:t>performance and the creation of</w:t>
            </w:r>
          </w:p>
        </w:tc>
        <w:tc>
          <w:tcPr>
            <w:tcW w:w="33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vesting to stock price at vesting</w:t>
            </w:r>
          </w:p>
        </w:tc>
      </w:tr>
      <w:tr>
        <w:trPr>
          <w:trHeight w:val="230"/>
        </w:trPr>
        <w:tc>
          <w:tcPr>
            <w:tcW w:w="2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2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for our stockholders</w:t>
            </w:r>
          </w:p>
        </w:tc>
        <w:tc>
          <w:tcPr>
            <w:tcW w:w="3380" w:type="dxa"/>
            <w:vAlign w:val="bottom"/>
            <w:shd w:val="clear" w:color="auto" w:fill="CCEEFF"/>
          </w:tcPr>
          <w:p>
            <w:pPr>
              <w:spacing w:after="0"/>
              <w:rPr>
                <w:sz w:val="20"/>
                <w:szCs w:val="20"/>
                <w:color w:val="auto"/>
              </w:rPr>
            </w:pPr>
          </w:p>
        </w:tc>
      </w:tr>
      <w:tr>
        <w:trPr>
          <w:trHeight w:val="27"/>
        </w:trPr>
        <w:tc>
          <w:tcPr>
            <w:tcW w:w="2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262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Base salary represents the fixed portion of the compensation of our named executive officers, and is an important element of compensation intended to attract and retain highly talented individuals. The compensation committee’s decisions on base salary levels for the named executive officers are primarily based on its review of competitive market information for comparable positions, the executive’s performance of his or her duties, the criticality of the executive’s role to the execution of corporate strategy and the executive’s potential to impact future business results. For our named executive officers other than our Chief Executive Officer, the compensation committee also considers the Chief Executive Officer’s recommended salary adjustments based on position relative to the competitive market information. Base salaries are reviewed by our compensation committee annually and are adjusted from time-to-time as deemed appropriate.</w:t>
      </w:r>
    </w:p>
    <w:p>
      <w:pPr>
        <w:spacing w:after="0" w:line="19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fiscal year 2020, there were no adjustments to base salaries for any of our named executive officers. Set forth below are the base salaries for each of the named executive officers for fiscal year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ind w:left="80"/>
              <w:spacing w:after="0"/>
              <w:rPr>
                <w:sz w:val="20"/>
                <w:szCs w:val="20"/>
                <w:color w:val="auto"/>
              </w:rPr>
            </w:pPr>
            <w:r>
              <w:rPr>
                <w:rFonts w:ascii="Arial" w:cs="Arial" w:eastAsia="Arial" w:hAnsi="Arial"/>
                <w:sz w:val="18"/>
                <w:szCs w:val="18"/>
                <w:b w:val="1"/>
                <w:bCs w:val="1"/>
                <w:color w:val="auto"/>
              </w:rPr>
              <w:t>Named Executive Officer</w:t>
            </w:r>
          </w:p>
        </w:tc>
        <w:tc>
          <w:tcPr>
            <w:tcW w:w="3860" w:type="dxa"/>
            <w:vAlign w:val="bottom"/>
          </w:tcPr>
          <w:p>
            <w:pPr>
              <w:ind w:left="1620"/>
              <w:spacing w:after="0"/>
              <w:rPr>
                <w:sz w:val="20"/>
                <w:szCs w:val="20"/>
                <w:color w:val="auto"/>
              </w:rPr>
            </w:pPr>
            <w:r>
              <w:rPr>
                <w:rFonts w:ascii="Arial" w:cs="Arial" w:eastAsia="Arial" w:hAnsi="Arial"/>
                <w:sz w:val="18"/>
                <w:szCs w:val="18"/>
                <w:b w:val="1"/>
                <w:bCs w:val="1"/>
                <w:color w:val="auto"/>
              </w:rPr>
              <w:t>Base Salary ($)</w:t>
            </w:r>
          </w:p>
        </w:tc>
      </w:tr>
      <w:tr>
        <w:trPr>
          <w:trHeight w:val="27"/>
        </w:trPr>
        <w:tc>
          <w:tcPr>
            <w:tcW w:w="366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Dev Ittycheria</w:t>
            </w:r>
          </w:p>
        </w:tc>
        <w:tc>
          <w:tcPr>
            <w:tcW w:w="38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400,000</w:t>
            </w:r>
          </w:p>
        </w:tc>
      </w:tr>
      <w:tr>
        <w:trPr>
          <w:trHeight w:val="243"/>
        </w:trPr>
        <w:tc>
          <w:tcPr>
            <w:tcW w:w="3660" w:type="dxa"/>
            <w:vAlign w:val="bottom"/>
          </w:tcPr>
          <w:p>
            <w:pPr>
              <w:ind w:left="80"/>
              <w:spacing w:after="0"/>
              <w:rPr>
                <w:sz w:val="20"/>
                <w:szCs w:val="20"/>
                <w:color w:val="auto"/>
              </w:rPr>
            </w:pPr>
            <w:r>
              <w:rPr>
                <w:rFonts w:ascii="Arial" w:cs="Arial" w:eastAsia="Arial" w:hAnsi="Arial"/>
                <w:sz w:val="18"/>
                <w:szCs w:val="18"/>
                <w:color w:val="auto"/>
              </w:rPr>
              <w:t>Eliot Horowitz</w:t>
            </w:r>
          </w:p>
        </w:tc>
        <w:tc>
          <w:tcPr>
            <w:tcW w:w="3860" w:type="dxa"/>
            <w:vAlign w:val="bottom"/>
          </w:tcPr>
          <w:p>
            <w:pPr>
              <w:ind w:left="1620"/>
              <w:spacing w:after="0"/>
              <w:rPr>
                <w:sz w:val="20"/>
                <w:szCs w:val="20"/>
                <w:color w:val="auto"/>
              </w:rPr>
            </w:pPr>
            <w:r>
              <w:rPr>
                <w:rFonts w:ascii="Arial" w:cs="Arial" w:eastAsia="Arial" w:hAnsi="Arial"/>
                <w:sz w:val="18"/>
                <w:szCs w:val="18"/>
                <w:color w:val="auto"/>
              </w:rPr>
              <w:t>325,000</w:t>
            </w:r>
          </w:p>
        </w:tc>
      </w:tr>
      <w:tr>
        <w:trPr>
          <w:trHeight w:val="27"/>
        </w:trPr>
        <w:tc>
          <w:tcPr>
            <w:tcW w:w="36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Michael Gordon</w:t>
            </w:r>
          </w:p>
        </w:tc>
        <w:tc>
          <w:tcPr>
            <w:tcW w:w="3860" w:type="dxa"/>
            <w:vAlign w:val="bottom"/>
            <w:tcBorders>
              <w:bottom w:val="single" w:sz="8" w:color="CCEEFF"/>
            </w:tcBorders>
            <w:shd w:val="clear" w:color="auto" w:fill="CCEEFF"/>
          </w:tcPr>
          <w:p>
            <w:pPr>
              <w:ind w:left="1620"/>
              <w:spacing w:after="0"/>
              <w:rPr>
                <w:sz w:val="20"/>
                <w:szCs w:val="20"/>
                <w:color w:val="auto"/>
              </w:rPr>
            </w:pPr>
            <w:r>
              <w:rPr>
                <w:rFonts w:ascii="Arial" w:cs="Arial" w:eastAsia="Arial" w:hAnsi="Arial"/>
                <w:sz w:val="18"/>
                <w:szCs w:val="18"/>
                <w:color w:val="auto"/>
              </w:rPr>
              <w:t>325,000</w:t>
            </w:r>
          </w:p>
        </w:tc>
      </w:tr>
      <w:tr>
        <w:trPr>
          <w:trHeight w:val="341"/>
        </w:trPr>
        <w:tc>
          <w:tcPr>
            <w:tcW w:w="3660" w:type="dxa"/>
            <w:vAlign w:val="bottom"/>
          </w:tcPr>
          <w:p>
            <w:pPr>
              <w:ind w:left="80"/>
              <w:spacing w:after="0"/>
              <w:rPr>
                <w:sz w:val="20"/>
                <w:szCs w:val="20"/>
                <w:color w:val="auto"/>
              </w:rPr>
            </w:pPr>
            <w:r>
              <w:rPr>
                <w:rFonts w:ascii="Arial" w:cs="Arial" w:eastAsia="Arial" w:hAnsi="Arial"/>
                <w:sz w:val="18"/>
                <w:szCs w:val="18"/>
                <w:color w:val="auto"/>
              </w:rPr>
              <w:t>Cedric Pech</w:t>
            </w:r>
          </w:p>
        </w:tc>
        <w:tc>
          <w:tcPr>
            <w:tcW w:w="3860" w:type="dxa"/>
            <w:vAlign w:val="bottom"/>
          </w:tcPr>
          <w:p>
            <w:pPr>
              <w:ind w:left="1620"/>
              <w:spacing w:after="0"/>
              <w:rPr>
                <w:sz w:val="20"/>
                <w:szCs w:val="20"/>
                <w:color w:val="auto"/>
              </w:rPr>
            </w:pPr>
            <w:r>
              <w:rPr>
                <w:rFonts w:ascii="Arial" w:cs="Arial" w:eastAsia="Arial" w:hAnsi="Arial"/>
                <w:sz w:val="18"/>
                <w:szCs w:val="18"/>
                <w:color w:val="auto"/>
              </w:rPr>
              <w:t>259,594</w:t>
            </w:r>
            <w:r>
              <w:rPr>
                <w:rFonts w:ascii="Arial" w:cs="Arial" w:eastAsia="Arial" w:hAnsi="Arial"/>
                <w:sz w:val="25"/>
                <w:szCs w:val="25"/>
                <w:color w:val="auto"/>
                <w:vertAlign w:val="superscript"/>
              </w:rPr>
              <w:t>(1)</w:t>
            </w:r>
          </w:p>
        </w:tc>
      </w:tr>
    </w:tbl>
    <w:p>
      <w:pPr>
        <w:spacing w:after="0" w:line="45" w:lineRule="exact"/>
        <w:rPr>
          <w:sz w:val="20"/>
          <w:szCs w:val="20"/>
          <w:color w:val="auto"/>
        </w:rPr>
      </w:pPr>
    </w:p>
    <w:p>
      <w:pPr>
        <w:ind w:left="340" w:right="140" w:hanging="332"/>
        <w:spacing w:after="0" w:line="213"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4"/>
          <w:szCs w:val="14"/>
          <w:color w:val="auto"/>
        </w:rPr>
        <w:t>Mr. Pech’s base salary is paid in Swiss Francs (CHF) and, for the purposes of the table, is converted into U.S. dollars based on the exchange rate as of January 31, 2020 of 1.03 CHF to the U.S. dollar.</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actual base salary amounts paid to our named executive officers for fiscal year 2020 are set forth in the “Summary Compensation 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319" w:right="33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Cash Bonus Awards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annual performance-based cash bonus awards for named executive officers provide incentive compensation that is specifically designed to motivate our named executive officers to achieve pre-established company-wide priorities set by the board of directors and to reward them for results and achievements in a given year. The annual target cash bonus opportunities for our named executive officers are determined by the compensation committee in the first quarter of each fiscal year and expressed as a percentage of their annual base salary, with potential cash bonus opportunity generally commensurate with each executive’s role and responsibilities.</w:t>
      </w:r>
    </w:p>
    <w:p>
      <w:pPr>
        <w:spacing w:after="0" w:line="18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b w:val="1"/>
          <w:bCs w:val="1"/>
          <w:i w:val="1"/>
          <w:iCs w:val="1"/>
          <w:color w:val="auto"/>
        </w:rPr>
        <w:t>Target Award Opportunities</w:t>
      </w:r>
      <w:r>
        <w:rPr>
          <w:rFonts w:ascii="Arial" w:cs="Arial" w:eastAsia="Arial" w:hAnsi="Arial"/>
          <w:sz w:val="16"/>
          <w:szCs w:val="16"/>
          <w:color w:val="auto"/>
        </w:rPr>
        <w:t>. The target annual performance-based cash bonus award opportunities of our named executive officers were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compensation committee in the first quarter of fiscal year 2020 and expressed as a percentage of their annual base salary,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820" w:type="dxa"/>
            <w:vAlign w:val="bottom"/>
          </w:tcPr>
          <w:p>
            <w:pPr>
              <w:ind w:left="540"/>
              <w:spacing w:after="0"/>
              <w:rPr>
                <w:sz w:val="20"/>
                <w:szCs w:val="20"/>
                <w:color w:val="auto"/>
              </w:rPr>
            </w:pPr>
            <w:r>
              <w:rPr>
                <w:rFonts w:ascii="Arial" w:cs="Arial" w:eastAsia="Arial" w:hAnsi="Arial"/>
                <w:sz w:val="18"/>
                <w:szCs w:val="18"/>
                <w:b w:val="1"/>
                <w:bCs w:val="1"/>
                <w:color w:val="auto"/>
                <w:w w:val="89"/>
              </w:rPr>
              <w:t>Fiscal Year 2019</w:t>
            </w:r>
          </w:p>
        </w:tc>
        <w:tc>
          <w:tcPr>
            <w:tcW w:w="1260" w:type="dxa"/>
            <w:vAlign w:val="bottom"/>
          </w:tcPr>
          <w:p>
            <w:pPr>
              <w:ind w:left="40"/>
              <w:spacing w:after="0"/>
              <w:rPr>
                <w:sz w:val="20"/>
                <w:szCs w:val="20"/>
                <w:color w:val="auto"/>
              </w:rPr>
            </w:pPr>
            <w:r>
              <w:rPr>
                <w:rFonts w:ascii="Arial" w:cs="Arial" w:eastAsia="Arial" w:hAnsi="Arial"/>
                <w:sz w:val="18"/>
                <w:szCs w:val="18"/>
                <w:b w:val="1"/>
                <w:bCs w:val="1"/>
                <w:color w:val="auto"/>
              </w:rPr>
              <w:t>Target Bonus</w:t>
            </w:r>
          </w:p>
        </w:tc>
        <w:tc>
          <w:tcPr>
            <w:tcW w:w="1480" w:type="dxa"/>
            <w:vAlign w:val="bottom"/>
          </w:tcPr>
          <w:p>
            <w:pPr>
              <w:ind w:left="200"/>
              <w:spacing w:after="0"/>
              <w:rPr>
                <w:sz w:val="20"/>
                <w:szCs w:val="20"/>
                <w:color w:val="auto"/>
              </w:rPr>
            </w:pPr>
            <w:r>
              <w:rPr>
                <w:rFonts w:ascii="Arial" w:cs="Arial" w:eastAsia="Arial" w:hAnsi="Arial"/>
                <w:sz w:val="18"/>
                <w:szCs w:val="18"/>
                <w:b w:val="1"/>
                <w:bCs w:val="1"/>
                <w:color w:val="auto"/>
                <w:w w:val="89"/>
              </w:rPr>
              <w:t>Fiscal Year 2020</w:t>
            </w:r>
          </w:p>
        </w:tc>
        <w:tc>
          <w:tcPr>
            <w:tcW w:w="1280" w:type="dxa"/>
            <w:vAlign w:val="bottom"/>
          </w:tcPr>
          <w:p>
            <w:pPr>
              <w:ind w:left="20"/>
              <w:spacing w:after="0"/>
              <w:rPr>
                <w:sz w:val="20"/>
                <w:szCs w:val="20"/>
                <w:color w:val="auto"/>
              </w:rPr>
            </w:pPr>
            <w:r>
              <w:rPr>
                <w:rFonts w:ascii="Arial" w:cs="Arial" w:eastAsia="Arial" w:hAnsi="Arial"/>
                <w:sz w:val="18"/>
                <w:szCs w:val="18"/>
                <w:b w:val="1"/>
                <w:bCs w:val="1"/>
                <w:color w:val="auto"/>
              </w:rPr>
              <w:t>Target Bonus</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9"/>
              </w:rPr>
              <w:t>Fiscal Year 2020 Target Bonus</w:t>
            </w:r>
          </w:p>
        </w:tc>
      </w:tr>
      <w:tr>
        <w:trPr>
          <w:trHeight w:val="234"/>
        </w:trPr>
        <w:tc>
          <w:tcPr>
            <w:tcW w:w="2580" w:type="dxa"/>
            <w:vAlign w:val="bottom"/>
          </w:tcPr>
          <w:p>
            <w:pPr>
              <w:ind w:left="80"/>
              <w:spacing w:after="0"/>
              <w:rPr>
                <w:sz w:val="20"/>
                <w:szCs w:val="20"/>
                <w:color w:val="auto"/>
              </w:rPr>
            </w:pPr>
            <w:r>
              <w:rPr>
                <w:rFonts w:ascii="Arial" w:cs="Arial" w:eastAsia="Arial" w:hAnsi="Arial"/>
                <w:sz w:val="18"/>
                <w:szCs w:val="18"/>
                <w:b w:val="1"/>
                <w:bCs w:val="1"/>
                <w:color w:val="auto"/>
              </w:rPr>
              <w:t>Named Executive Officer</w:t>
            </w:r>
          </w:p>
        </w:tc>
        <w:tc>
          <w:tcPr>
            <w:tcW w:w="308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7"/>
              </w:rPr>
              <w:t>Opportunity (%)</w:t>
            </w:r>
          </w:p>
        </w:tc>
        <w:tc>
          <w:tcPr>
            <w:tcW w:w="2760" w:type="dxa"/>
            <w:vAlign w:val="bottom"/>
            <w:gridSpan w:val="2"/>
          </w:tcPr>
          <w:p>
            <w:pPr>
              <w:ind w:left="720"/>
              <w:spacing w:after="0"/>
              <w:rPr>
                <w:sz w:val="20"/>
                <w:szCs w:val="20"/>
                <w:color w:val="auto"/>
              </w:rPr>
            </w:pPr>
            <w:r>
              <w:rPr>
                <w:rFonts w:ascii="Arial" w:cs="Arial" w:eastAsia="Arial" w:hAnsi="Arial"/>
                <w:sz w:val="18"/>
                <w:szCs w:val="18"/>
                <w:b w:val="1"/>
                <w:bCs w:val="1"/>
                <w:color w:val="auto"/>
              </w:rPr>
              <w:t>Opportunity (%)</w:t>
            </w: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93"/>
              </w:rPr>
              <w:t>Opportunity ($)</w:t>
            </w:r>
          </w:p>
        </w:tc>
      </w:tr>
      <w:tr>
        <w:trPr>
          <w:trHeight w:val="27"/>
        </w:trPr>
        <w:tc>
          <w:tcPr>
            <w:tcW w:w="2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r>
      <w:tr>
        <w:trPr>
          <w:trHeight w:val="243"/>
        </w:trPr>
        <w:tc>
          <w:tcPr>
            <w:tcW w:w="2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Dev Ittycheria</w:t>
            </w:r>
          </w:p>
        </w:tc>
        <w:tc>
          <w:tcPr>
            <w:tcW w:w="182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89"/>
              </w:rPr>
              <w:t>70</w:t>
            </w:r>
          </w:p>
        </w:tc>
        <w:tc>
          <w:tcPr>
            <w:tcW w:w="1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70</w:t>
            </w:r>
          </w:p>
        </w:tc>
        <w:tc>
          <w:tcPr>
            <w:tcW w:w="1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280,000</w:t>
            </w:r>
          </w:p>
        </w:tc>
      </w:tr>
      <w:tr>
        <w:trPr>
          <w:trHeight w:val="243"/>
        </w:trPr>
        <w:tc>
          <w:tcPr>
            <w:tcW w:w="2580" w:type="dxa"/>
            <w:vAlign w:val="bottom"/>
          </w:tcPr>
          <w:p>
            <w:pPr>
              <w:ind w:left="80"/>
              <w:spacing w:after="0"/>
              <w:rPr>
                <w:sz w:val="20"/>
                <w:szCs w:val="20"/>
                <w:color w:val="auto"/>
              </w:rPr>
            </w:pPr>
            <w:r>
              <w:rPr>
                <w:rFonts w:ascii="Arial" w:cs="Arial" w:eastAsia="Arial" w:hAnsi="Arial"/>
                <w:sz w:val="18"/>
                <w:szCs w:val="18"/>
                <w:color w:val="auto"/>
              </w:rPr>
              <w:t>Eliot Horowitz</w:t>
            </w:r>
          </w:p>
        </w:tc>
        <w:tc>
          <w:tcPr>
            <w:tcW w:w="1820" w:type="dxa"/>
            <w:vAlign w:val="bottom"/>
          </w:tcPr>
          <w:p>
            <w:pPr>
              <w:jc w:val="center"/>
              <w:ind w:left="1510"/>
              <w:spacing w:after="0"/>
              <w:rPr>
                <w:sz w:val="20"/>
                <w:szCs w:val="20"/>
                <w:color w:val="auto"/>
              </w:rPr>
            </w:pPr>
            <w:r>
              <w:rPr>
                <w:rFonts w:ascii="Arial" w:cs="Arial" w:eastAsia="Arial" w:hAnsi="Arial"/>
                <w:sz w:val="18"/>
                <w:szCs w:val="18"/>
                <w:color w:val="auto"/>
                <w:w w:val="89"/>
              </w:rPr>
              <w:t>65</w:t>
            </w:r>
          </w:p>
        </w:tc>
        <w:tc>
          <w:tcPr>
            <w:tcW w:w="1260" w:type="dxa"/>
            <w:vAlign w:val="bottom"/>
          </w:tcPr>
          <w:p>
            <w:pPr>
              <w:spacing w:after="0"/>
              <w:rPr>
                <w:sz w:val="21"/>
                <w:szCs w:val="21"/>
                <w:color w:val="auto"/>
              </w:rPr>
            </w:pPr>
          </w:p>
        </w:tc>
        <w:tc>
          <w:tcPr>
            <w:tcW w:w="1480" w:type="dxa"/>
            <w:vAlign w:val="bottom"/>
          </w:tcPr>
          <w:p>
            <w:pPr>
              <w:jc w:val="center"/>
              <w:ind w:left="1170"/>
              <w:spacing w:after="0"/>
              <w:rPr>
                <w:sz w:val="20"/>
                <w:szCs w:val="20"/>
                <w:color w:val="auto"/>
              </w:rPr>
            </w:pPr>
            <w:r>
              <w:rPr>
                <w:rFonts w:ascii="Arial" w:cs="Arial" w:eastAsia="Arial" w:hAnsi="Arial"/>
                <w:sz w:val="18"/>
                <w:szCs w:val="18"/>
                <w:color w:val="auto"/>
                <w:w w:val="89"/>
              </w:rPr>
              <w:t>65</w:t>
            </w:r>
          </w:p>
        </w:tc>
        <w:tc>
          <w:tcPr>
            <w:tcW w:w="1280" w:type="dxa"/>
            <w:vAlign w:val="bottom"/>
          </w:tcPr>
          <w:p>
            <w:pPr>
              <w:spacing w:after="0"/>
              <w:rPr>
                <w:sz w:val="21"/>
                <w:szCs w:val="21"/>
                <w:color w:val="auto"/>
              </w:rPr>
            </w:pPr>
          </w:p>
        </w:tc>
        <w:tc>
          <w:tcPr>
            <w:tcW w:w="2760" w:type="dxa"/>
            <w:vAlign w:val="bottom"/>
          </w:tcPr>
          <w:p>
            <w:pPr>
              <w:jc w:val="center"/>
              <w:spacing w:after="0"/>
              <w:rPr>
                <w:sz w:val="20"/>
                <w:szCs w:val="20"/>
                <w:color w:val="auto"/>
              </w:rPr>
            </w:pPr>
            <w:r>
              <w:rPr>
                <w:rFonts w:ascii="Arial" w:cs="Arial" w:eastAsia="Arial" w:hAnsi="Arial"/>
                <w:sz w:val="18"/>
                <w:szCs w:val="18"/>
                <w:color w:val="auto"/>
                <w:w w:val="89"/>
              </w:rPr>
              <w:t>211,250</w:t>
            </w:r>
          </w:p>
        </w:tc>
      </w:tr>
      <w:tr>
        <w:trPr>
          <w:trHeight w:val="27"/>
        </w:trPr>
        <w:tc>
          <w:tcPr>
            <w:tcW w:w="25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Michael Gordon</w:t>
            </w:r>
          </w:p>
        </w:tc>
        <w:tc>
          <w:tcPr>
            <w:tcW w:w="182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89"/>
              </w:rPr>
              <w:t>65</w:t>
            </w:r>
          </w:p>
        </w:tc>
        <w:tc>
          <w:tcPr>
            <w:tcW w:w="1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ind w:left="1170"/>
              <w:spacing w:after="0"/>
              <w:rPr>
                <w:sz w:val="20"/>
                <w:szCs w:val="20"/>
                <w:color w:val="auto"/>
              </w:rPr>
            </w:pPr>
            <w:r>
              <w:rPr>
                <w:rFonts w:ascii="Arial" w:cs="Arial" w:eastAsia="Arial" w:hAnsi="Arial"/>
                <w:sz w:val="18"/>
                <w:szCs w:val="18"/>
                <w:color w:val="auto"/>
                <w:w w:val="89"/>
              </w:rPr>
              <w:t>65</w:t>
            </w:r>
          </w:p>
        </w:tc>
        <w:tc>
          <w:tcPr>
            <w:tcW w:w="1280" w:type="dxa"/>
            <w:vAlign w:val="bottom"/>
            <w:tcBorders>
              <w:bottom w:val="single" w:sz="8" w:color="CCEEFF"/>
            </w:tcBorders>
            <w:shd w:val="clear" w:color="auto" w:fill="CCEEFF"/>
          </w:tcPr>
          <w:p>
            <w:pPr>
              <w:spacing w:after="0"/>
              <w:rPr>
                <w:sz w:val="21"/>
                <w:szCs w:val="21"/>
                <w:color w:val="auto"/>
              </w:rPr>
            </w:pPr>
          </w:p>
        </w:tc>
        <w:tc>
          <w:tcPr>
            <w:tcW w:w="2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211,250</w:t>
            </w:r>
          </w:p>
        </w:tc>
      </w:tr>
      <w:tr>
        <w:trPr>
          <w:trHeight w:val="320"/>
        </w:trPr>
        <w:tc>
          <w:tcPr>
            <w:tcW w:w="2580" w:type="dxa"/>
            <w:vAlign w:val="bottom"/>
          </w:tcPr>
          <w:p>
            <w:pPr>
              <w:ind w:left="80"/>
              <w:spacing w:after="0"/>
              <w:rPr>
                <w:sz w:val="20"/>
                <w:szCs w:val="20"/>
                <w:color w:val="auto"/>
              </w:rPr>
            </w:pPr>
            <w:r>
              <w:rPr>
                <w:rFonts w:ascii="Arial" w:cs="Arial" w:eastAsia="Arial" w:hAnsi="Arial"/>
                <w:sz w:val="18"/>
                <w:szCs w:val="18"/>
                <w:color w:val="auto"/>
              </w:rPr>
              <w:t>Cedric Pech</w:t>
            </w:r>
          </w:p>
        </w:tc>
        <w:tc>
          <w:tcPr>
            <w:tcW w:w="3080" w:type="dxa"/>
            <w:vAlign w:val="bottom"/>
            <w:gridSpan w:val="2"/>
          </w:tcPr>
          <w:p>
            <w:pPr>
              <w:jc w:val="center"/>
              <w:ind w:left="250"/>
              <w:spacing w:after="0"/>
              <w:rPr>
                <w:sz w:val="20"/>
                <w:szCs w:val="20"/>
                <w:color w:val="auto"/>
              </w:rPr>
            </w:pPr>
            <w:r>
              <w:rPr>
                <w:rFonts w:ascii="Arial" w:cs="Arial" w:eastAsia="Arial" w:hAnsi="Arial"/>
                <w:sz w:val="18"/>
                <w:szCs w:val="18"/>
                <w:color w:val="auto"/>
                <w:w w:val="91"/>
              </w:rPr>
              <w:t>N/A</w:t>
            </w:r>
            <w:r>
              <w:rPr>
                <w:rFonts w:ascii="Arial" w:cs="Arial" w:eastAsia="Arial" w:hAnsi="Arial"/>
                <w:sz w:val="25"/>
                <w:szCs w:val="25"/>
                <w:color w:val="auto"/>
                <w:w w:val="91"/>
                <w:vertAlign w:val="superscript"/>
              </w:rPr>
              <w:t>(1)</w:t>
            </w:r>
          </w:p>
        </w:tc>
        <w:tc>
          <w:tcPr>
            <w:tcW w:w="2760" w:type="dxa"/>
            <w:vAlign w:val="bottom"/>
            <w:gridSpan w:val="2"/>
          </w:tcPr>
          <w:p>
            <w:pPr>
              <w:jc w:val="center"/>
              <w:spacing w:after="0"/>
              <w:rPr>
                <w:sz w:val="20"/>
                <w:szCs w:val="20"/>
                <w:color w:val="auto"/>
              </w:rPr>
            </w:pPr>
            <w:r>
              <w:rPr>
                <w:rFonts w:ascii="Arial" w:cs="Arial" w:eastAsia="Arial" w:hAnsi="Arial"/>
                <w:sz w:val="18"/>
                <w:szCs w:val="18"/>
                <w:color w:val="auto"/>
                <w:w w:val="86"/>
              </w:rPr>
              <w:t>140</w:t>
            </w:r>
          </w:p>
        </w:tc>
        <w:tc>
          <w:tcPr>
            <w:tcW w:w="2760" w:type="dxa"/>
            <w:vAlign w:val="bottom"/>
          </w:tcPr>
          <w:p>
            <w:pPr>
              <w:jc w:val="center"/>
              <w:spacing w:after="0"/>
              <w:rPr>
                <w:sz w:val="20"/>
                <w:szCs w:val="20"/>
                <w:color w:val="auto"/>
              </w:rPr>
            </w:pPr>
            <w:r>
              <w:rPr>
                <w:rFonts w:ascii="Arial" w:cs="Arial" w:eastAsia="Arial" w:hAnsi="Arial"/>
                <w:sz w:val="18"/>
                <w:szCs w:val="18"/>
                <w:color w:val="auto"/>
                <w:w w:val="84"/>
              </w:rPr>
              <w:t>363,431</w:t>
            </w:r>
            <w:r>
              <w:rPr>
                <w:rFonts w:ascii="Arial" w:cs="Arial" w:eastAsia="Arial" w:hAnsi="Arial"/>
                <w:sz w:val="25"/>
                <w:szCs w:val="25"/>
                <w:color w:val="auto"/>
                <w:w w:val="84"/>
                <w:vertAlign w:val="superscript"/>
              </w:rPr>
              <w:t>(2)</w:t>
            </w:r>
          </w:p>
        </w:tc>
      </w:tr>
    </w:tbl>
    <w:p>
      <w:pPr>
        <w:ind w:left="340" w:hanging="332"/>
        <w:spacing w:after="0" w:line="184" w:lineRule="auto"/>
        <w:tabs>
          <w:tab w:leader="none" w:pos="340" w:val="left"/>
        </w:tabs>
        <w:numPr>
          <w:ilvl w:val="0"/>
          <w:numId w:val="38"/>
        </w:numPr>
        <w:rPr>
          <w:rFonts w:ascii="Arial" w:cs="Arial" w:eastAsia="Arial" w:hAnsi="Arial"/>
          <w:sz w:val="22"/>
          <w:szCs w:val="22"/>
          <w:color w:val="auto"/>
          <w:vertAlign w:val="superscript"/>
        </w:rPr>
      </w:pPr>
      <w:r>
        <w:rPr>
          <w:rFonts w:ascii="Arial" w:cs="Arial" w:eastAsia="Arial" w:hAnsi="Arial"/>
          <w:sz w:val="13"/>
          <w:szCs w:val="13"/>
          <w:color w:val="auto"/>
        </w:rPr>
        <w:t>Mr. Pech was not a named executive officer in fiscal year 2019.</w:t>
      </w:r>
    </w:p>
    <w:p>
      <w:pPr>
        <w:spacing w:after="0" w:line="142" w:lineRule="exact"/>
        <w:rPr>
          <w:rFonts w:ascii="Arial" w:cs="Arial" w:eastAsia="Arial" w:hAnsi="Arial"/>
          <w:sz w:val="22"/>
          <w:szCs w:val="22"/>
          <w:color w:val="auto"/>
          <w:vertAlign w:val="superscript"/>
        </w:rPr>
      </w:pPr>
    </w:p>
    <w:p>
      <w:pPr>
        <w:ind w:left="340" w:right="140" w:hanging="332"/>
        <w:spacing w:after="0" w:line="213"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4"/>
          <w:szCs w:val="14"/>
          <w:color w:val="auto"/>
        </w:rPr>
        <w:t>Mr. Pech’s bonus is paid in Swiss Francs (CHF) and, for the purposes of the table, is converted into U.S. dollars based on the exchange rate as of January 31, 2020 of 1.03 CHF to the U.S. dollar.</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fiscal year 2020, there were no adjustments to target bonus opportunities for any of our named executive officers.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Executive Bonus Goal Setting</w:t>
      </w:r>
      <w:r>
        <w:rPr>
          <w:rFonts w:ascii="Arial" w:cs="Arial" w:eastAsia="Arial" w:hAnsi="Arial"/>
          <w:sz w:val="17"/>
          <w:szCs w:val="17"/>
          <w:color w:val="auto"/>
        </w:rPr>
        <w:t>. The compensation committee approved the performance metrics and their relative weighting for fiscal year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performance-based cash bonus awards in the first quarter of fiscal year 2020. The targets against which performance is measured are generated through our annual budget and strategic planning process, which was reviewed with our board of directors and finalized in the first quarter of fiscal year 2020. For fiscal year 2020, the compensation committee determined that the performance goals for our named executive officers would be comprised entirely of corporate performance goals and that there would no longer be a qualitative component. The compensation committee believes that these goals represent rigorous objectives for our named executive officers and align with stockholder interests. The named executive officers’ fiscal year 2020 performance-based cash bonus awards are tied to the achievement of these goals, as set forth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Weighting</w:t>
            </w:r>
          </w:p>
        </w:tc>
        <w:tc>
          <w:tcPr>
            <w:tcW w:w="222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1"/>
              </w:rPr>
              <w:t>Other Named Executive</w:t>
            </w:r>
          </w:p>
        </w:tc>
      </w:tr>
      <w:tr>
        <w:trPr>
          <w:trHeight w:val="261"/>
        </w:trPr>
        <w:tc>
          <w:tcPr>
            <w:tcW w:w="4480" w:type="dxa"/>
            <w:vAlign w:val="bottom"/>
            <w:tcBorders>
              <w:bottom w:val="single" w:sz="8" w:color="auto"/>
            </w:tcBorders>
          </w:tcPr>
          <w:p>
            <w:pPr>
              <w:ind w:left="1100"/>
              <w:spacing w:after="0" w:line="262" w:lineRule="exact"/>
              <w:rPr>
                <w:sz w:val="20"/>
                <w:szCs w:val="20"/>
                <w:color w:val="auto"/>
              </w:rPr>
            </w:pPr>
            <w:r>
              <w:rPr>
                <w:rFonts w:ascii="Arial" w:cs="Arial" w:eastAsia="Arial" w:hAnsi="Arial"/>
                <w:sz w:val="18"/>
                <w:szCs w:val="18"/>
                <w:b w:val="1"/>
                <w:bCs w:val="1"/>
                <w:color w:val="auto"/>
              </w:rPr>
              <w:t>Company Performance Goal</w:t>
            </w:r>
            <w:r>
              <w:rPr>
                <w:rFonts w:ascii="Arial" w:cs="Arial" w:eastAsia="Arial" w:hAnsi="Arial"/>
                <w:sz w:val="25"/>
                <w:szCs w:val="25"/>
                <w:b w:val="1"/>
                <w:bCs w:val="1"/>
                <w:color w:val="auto"/>
                <w:vertAlign w:val="superscript"/>
              </w:rPr>
              <w:t>(1)</w:t>
            </w:r>
          </w:p>
        </w:tc>
        <w:tc>
          <w:tcPr>
            <w:tcW w:w="228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90"/>
              </w:rPr>
              <w:t>Chief Executive Officer</w:t>
            </w:r>
            <w:r>
              <w:rPr>
                <w:rFonts w:ascii="Arial" w:cs="Arial" w:eastAsia="Arial" w:hAnsi="Arial"/>
                <w:sz w:val="25"/>
                <w:szCs w:val="25"/>
                <w:b w:val="1"/>
                <w:bCs w:val="1"/>
                <w:color w:val="auto"/>
                <w:w w:val="90"/>
                <w:vertAlign w:val="superscript"/>
              </w:rPr>
              <w:t>(2)</w:t>
            </w:r>
          </w:p>
        </w:tc>
        <w:tc>
          <w:tcPr>
            <w:tcW w:w="220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90"/>
              </w:rPr>
              <w:t>Chief Revenue Officer</w:t>
            </w:r>
            <w:r>
              <w:rPr>
                <w:rFonts w:ascii="Arial" w:cs="Arial" w:eastAsia="Arial" w:hAnsi="Arial"/>
                <w:sz w:val="25"/>
                <w:szCs w:val="25"/>
                <w:b w:val="1"/>
                <w:bCs w:val="1"/>
                <w:color w:val="auto"/>
                <w:w w:val="90"/>
                <w:vertAlign w:val="superscript"/>
              </w:rPr>
              <w:t>(3)</w:t>
            </w:r>
          </w:p>
        </w:tc>
        <w:tc>
          <w:tcPr>
            <w:tcW w:w="222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5"/>
              </w:rPr>
              <w:t>Officers</w:t>
            </w:r>
            <w:r>
              <w:rPr>
                <w:rFonts w:ascii="Arial" w:cs="Arial" w:eastAsia="Arial" w:hAnsi="Arial"/>
                <w:sz w:val="25"/>
                <w:szCs w:val="25"/>
                <w:b w:val="1"/>
                <w:bCs w:val="1"/>
                <w:color w:val="auto"/>
                <w:w w:val="85"/>
                <w:vertAlign w:val="superscript"/>
              </w:rPr>
              <w:t>(2)</w:t>
            </w:r>
          </w:p>
        </w:tc>
      </w:tr>
      <w:tr>
        <w:trPr>
          <w:trHeight w:val="244"/>
        </w:trPr>
        <w:tc>
          <w:tcPr>
            <w:tcW w:w="4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New Annual Contract Value</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65%</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r>
      <w:tr>
        <w:trPr>
          <w:trHeight w:val="229"/>
        </w:trPr>
        <w:tc>
          <w:tcPr>
            <w:tcW w:w="4480" w:type="dxa"/>
            <w:vAlign w:val="bottom"/>
          </w:tcPr>
          <w:p>
            <w:pPr>
              <w:ind w:left="80"/>
              <w:spacing w:after="0"/>
              <w:rPr>
                <w:sz w:val="20"/>
                <w:szCs w:val="20"/>
                <w:color w:val="auto"/>
              </w:rPr>
            </w:pPr>
            <w:r>
              <w:rPr>
                <w:rFonts w:ascii="Arial" w:cs="Arial" w:eastAsia="Arial" w:hAnsi="Arial"/>
                <w:sz w:val="18"/>
                <w:szCs w:val="18"/>
                <w:color w:val="auto"/>
                <w:w w:val="98"/>
              </w:rPr>
              <w:t>Non-New Annual Contract Value (Renewal/Professional</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35%</w:t>
            </w: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30"/>
        </w:trPr>
        <w:tc>
          <w:tcPr>
            <w:tcW w:w="4480" w:type="dxa"/>
            <w:vAlign w:val="bottom"/>
          </w:tcPr>
          <w:p>
            <w:pPr>
              <w:ind w:left="80"/>
              <w:spacing w:after="0"/>
              <w:rPr>
                <w:sz w:val="20"/>
                <w:szCs w:val="20"/>
                <w:color w:val="auto"/>
              </w:rPr>
            </w:pPr>
            <w:r>
              <w:rPr>
                <w:rFonts w:ascii="Arial" w:cs="Arial" w:eastAsia="Arial" w:hAnsi="Arial"/>
                <w:sz w:val="18"/>
                <w:szCs w:val="18"/>
                <w:color w:val="auto"/>
              </w:rPr>
              <w:t>Services)</w:t>
            </w:r>
          </w:p>
        </w:tc>
        <w:tc>
          <w:tcPr>
            <w:tcW w:w="22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Operating Cash Flow</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2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25%</w:t>
            </w:r>
          </w:p>
        </w:tc>
      </w:tr>
      <w:tr>
        <w:trPr>
          <w:trHeight w:val="243"/>
        </w:trPr>
        <w:tc>
          <w:tcPr>
            <w:tcW w:w="4480" w:type="dxa"/>
            <w:vAlign w:val="bottom"/>
          </w:tcPr>
          <w:p>
            <w:pPr>
              <w:ind w:left="80"/>
              <w:spacing w:after="0"/>
              <w:rPr>
                <w:sz w:val="20"/>
                <w:szCs w:val="20"/>
                <w:color w:val="auto"/>
              </w:rPr>
            </w:pPr>
            <w:r>
              <w:rPr>
                <w:rFonts w:ascii="Arial" w:cs="Arial" w:eastAsia="Arial" w:hAnsi="Arial"/>
                <w:sz w:val="18"/>
                <w:szCs w:val="18"/>
                <w:color w:val="auto"/>
              </w:rPr>
              <w:t>Revenue</w:t>
            </w:r>
          </w:p>
        </w:tc>
        <w:tc>
          <w:tcPr>
            <w:tcW w:w="2280" w:type="dxa"/>
            <w:vAlign w:val="bottom"/>
          </w:tcPr>
          <w:p>
            <w:pPr>
              <w:jc w:val="center"/>
              <w:spacing w:after="0"/>
              <w:rPr>
                <w:sz w:val="20"/>
                <w:szCs w:val="20"/>
                <w:color w:val="auto"/>
              </w:rPr>
            </w:pPr>
            <w:r>
              <w:rPr>
                <w:rFonts w:ascii="Arial" w:cs="Arial" w:eastAsia="Arial" w:hAnsi="Arial"/>
                <w:sz w:val="18"/>
                <w:szCs w:val="18"/>
                <w:color w:val="auto"/>
                <w:w w:val="88"/>
              </w:rPr>
              <w:t>35%</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35%</w:t>
            </w:r>
          </w:p>
        </w:tc>
      </w:tr>
    </w:tbl>
    <w:p>
      <w:pPr>
        <w:spacing w:after="0" w:line="38"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4"/>
          <w:szCs w:val="14"/>
          <w:color w:val="auto"/>
        </w:rPr>
        <w:t>The performance target (100% attainment) for each company performance goal is 100% of our fiscal year 2020 operating plan.</w:t>
      </w:r>
    </w:p>
    <w:p>
      <w:pPr>
        <w:spacing w:after="0" w:line="141" w:lineRule="exact"/>
        <w:rPr>
          <w:rFonts w:ascii="Arial" w:cs="Arial" w:eastAsia="Arial" w:hAnsi="Arial"/>
          <w:sz w:val="25"/>
          <w:szCs w:val="25"/>
          <w:color w:val="auto"/>
          <w:vertAlign w:val="superscript"/>
        </w:rPr>
      </w:pPr>
    </w:p>
    <w:p>
      <w:pPr>
        <w:jc w:val="both"/>
        <w:ind w:left="340" w:hanging="332"/>
        <w:spacing w:after="0" w:line="275"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4"/>
          <w:szCs w:val="14"/>
          <w:color w:val="auto"/>
        </w:rPr>
        <w:t>Our named executive officers, other than our Chief Revenue Officer, will only earn a bonus if the executive’s attainment in the aggregate is at least 80% of the performance target, up to a maximum of 120%. For purposes of calculating the bonus payout amount, when the executive’s attainment exceeds the performance target, accelerators are triggered in order to reward the higher than expected performance, while decelerators are applied if the actual results are lower than the performance target. The payout range for the performance-based cash bonus awards (after applying the decelerator/accelerator factor) is 50-150% of the executive’s target cash bonus opportunity. Actual payouts for fiscal year 2020 are included in the “Non-Equity Incentive Plan Compensation” column of the “Summary Compensation Table” below.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319" w:right="3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39" w:lineRule="exact"/>
        <w:rPr>
          <w:sz w:val="20"/>
          <w:szCs w:val="20"/>
          <w:color w:val="auto"/>
        </w:rPr>
      </w:pPr>
    </w:p>
    <w:p>
      <w:pPr>
        <w:jc w:val="both"/>
        <w:ind w:left="340" w:right="20" w:hanging="332"/>
        <w:spacing w:after="0" w:line="242" w:lineRule="auto"/>
        <w:tabs>
          <w:tab w:leader="none" w:pos="340" w:val="left"/>
        </w:tabs>
        <w:numPr>
          <w:ilvl w:val="0"/>
          <w:numId w:val="40"/>
        </w:numPr>
        <w:rPr>
          <w:rFonts w:ascii="Arial" w:cs="Arial" w:eastAsia="Arial" w:hAnsi="Arial"/>
          <w:sz w:val="25"/>
          <w:szCs w:val="25"/>
          <w:color w:val="auto"/>
          <w:vertAlign w:val="superscript"/>
        </w:rPr>
      </w:pPr>
      <w:r>
        <w:rPr>
          <w:rFonts w:ascii="Arial" w:cs="Arial" w:eastAsia="Arial" w:hAnsi="Arial"/>
          <w:sz w:val="14"/>
          <w:szCs w:val="14"/>
          <w:color w:val="auto"/>
        </w:rPr>
        <w:t>The Chief Revenue Officer’s achievement scale is linear below 100% and subject to accelerators above 100% with respect to the New Annual Contract Value (“NACV”) performance goal only. For our Chief Revenue Officer, the NACV performance goal includes NACV and monthly recurring revenue from bookings of our self-serve offerings. Actual payout for fiscal year 2020 is included in the “Non-Equity Incentive Plan Compensation” column of the “Summary Compensation Table” below.</w:t>
      </w:r>
    </w:p>
    <w:p>
      <w:pPr>
        <w:spacing w:after="0" w:line="22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FY2020 Bonus Payouts</w:t>
      </w:r>
      <w:r>
        <w:rPr>
          <w:rFonts w:ascii="Arial" w:cs="Arial" w:eastAsia="Arial" w:hAnsi="Arial"/>
          <w:sz w:val="16"/>
          <w:szCs w:val="16"/>
          <w:color w:val="auto"/>
        </w:rPr>
        <w:t>. For our named executive officers other than the Chief Revenue Officer, the compensation committee generally considers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approves actual performance-based cash bonus award payments for the first half of the fiscal year at their first meeting following July 31 of that fiscal year, and considers and approves actual performance-based cash bonus award payments for the second half of the fiscal year in the first quarter of the following fiscal year. When performance for the first half of the fiscal year is tracking at a level that is higher than 100% achievement, the compensation committee will typically approve the mid-year payouts based on 100% achievement, with any additional amounts earned to be paid when performance for the entire year is determined. Conversely, in the event the amounts determined and paid for the first half of the fiscal year are subsequently determined to be higher than the amounts earned based on full year performance, such excess amounts may be deducted from the year-end payouts at the committee’s discretion. For our Chief Revenue Officer, amounts are determined and paid on a monthly basis.</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August 2019, the compensation committee approved payments for the first half of fiscal year 2020 based on 100% achievement for all the named executive officers other than the Chief Revenue Officer, resulting in a bonus payout equal to 50% of these executives’ annual target bonus opportunities. While performance was tracking at a higher level for all of the corporate performance goals, the compensation committee determined that it was prudent to make these payments at the level described above until performance for the entire year could be determined, consistent with past practice. In February 2020, achievement of the corporate performance goals for fiscal year 2020 for these named executive officers was determined to be 115% of target in the aggregate resulting in a 145% payout due to accelerators. The compensation committee approved the actual cash bonus payments to these executives for fiscal year 2020, as set forth in the table below. Only the portion of each bonus set forth below that was earned in excess of the amount determined and paid in August 2019 (as described above) was paid in February 2020.</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our Chief Revenue Officer, the cash bonus was paid monthly based on the achievement against corporate performance metrics set at the beginning of the fiscal year and the terms of the fiscal year 2020 sales variable compensation plan. The actual bonus amount set forth below represents the aggregate amount of the monthly payments earned pursuant to the plan. Achievement under the plan was determined to be 111% of target in the aggregate resulting in a 127% payout due to accelerators.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8"/>
              </w:rPr>
              <w:t>Fiscal 2020 Target Bonus –</w:t>
            </w:r>
          </w:p>
        </w:tc>
        <w:tc>
          <w:tcPr>
            <w:tcW w:w="23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Fiscal 2020 Target Bonus</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Corporate Performance</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0"/>
              </w:rPr>
              <w:t>Actual Annual Cash Bonus</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1"/>
              </w:rPr>
              <w:t>Actual Annual Cash</w:t>
            </w:r>
          </w:p>
        </w:tc>
      </w:tr>
      <w:tr>
        <w:trPr>
          <w:trHeight w:val="216"/>
        </w:trPr>
        <w:tc>
          <w:tcPr>
            <w:tcW w:w="226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5"/>
              </w:rPr>
              <w:t>Opportunity</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Achievement</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1"/>
              </w:rPr>
              <w:t>Earned</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85"/>
              </w:rPr>
              <w:t>Bonus</w:t>
            </w:r>
          </w:p>
        </w:tc>
      </w:tr>
      <w:tr>
        <w:trPr>
          <w:trHeight w:val="234"/>
        </w:trPr>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Named Executive Officer</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(as a % of target bonus)</w:t>
            </w:r>
          </w:p>
        </w:tc>
      </w:tr>
      <w:tr>
        <w:trPr>
          <w:trHeight w:val="27"/>
        </w:trPr>
        <w:tc>
          <w:tcPr>
            <w:tcW w:w="22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r>
      <w:tr>
        <w:trPr>
          <w:trHeight w:val="244"/>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Dev Ittycheria</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280,000</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115</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406,000</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145</w:t>
            </w:r>
          </w:p>
        </w:tc>
      </w:tr>
      <w:tr>
        <w:trPr>
          <w:trHeight w:val="243"/>
        </w:trPr>
        <w:tc>
          <w:tcPr>
            <w:tcW w:w="2260" w:type="dxa"/>
            <w:vAlign w:val="bottom"/>
          </w:tcPr>
          <w:p>
            <w:pPr>
              <w:jc w:val="center"/>
              <w:spacing w:after="0"/>
              <w:rPr>
                <w:sz w:val="20"/>
                <w:szCs w:val="20"/>
                <w:color w:val="auto"/>
              </w:rPr>
            </w:pPr>
            <w:r>
              <w:rPr>
                <w:rFonts w:ascii="Arial" w:cs="Arial" w:eastAsia="Arial" w:hAnsi="Arial"/>
                <w:sz w:val="18"/>
                <w:szCs w:val="18"/>
                <w:color w:val="auto"/>
                <w:w w:val="98"/>
              </w:rPr>
              <w:t>Eliot Horowitz</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211,250</w:t>
            </w: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115</w:t>
            </w: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306,313</w:t>
            </w:r>
          </w:p>
        </w:tc>
        <w:tc>
          <w:tcPr>
            <w:tcW w:w="2180" w:type="dxa"/>
            <w:vAlign w:val="bottom"/>
          </w:tcPr>
          <w:p>
            <w:pPr>
              <w:jc w:val="center"/>
              <w:spacing w:after="0"/>
              <w:rPr>
                <w:sz w:val="20"/>
                <w:szCs w:val="20"/>
                <w:color w:val="auto"/>
              </w:rPr>
            </w:pPr>
            <w:r>
              <w:rPr>
                <w:rFonts w:ascii="Arial" w:cs="Arial" w:eastAsia="Arial" w:hAnsi="Arial"/>
                <w:sz w:val="18"/>
                <w:szCs w:val="18"/>
                <w:color w:val="auto"/>
                <w:w w:val="86"/>
              </w:rPr>
              <w:t>145</w:t>
            </w:r>
          </w:p>
        </w:tc>
      </w:tr>
      <w:tr>
        <w:trPr>
          <w:trHeight w:val="27"/>
        </w:trPr>
        <w:tc>
          <w:tcPr>
            <w:tcW w:w="22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18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Michael Gordon</w:t>
            </w:r>
          </w:p>
        </w:tc>
        <w:tc>
          <w:tcPr>
            <w:tcW w:w="2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211,250</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115</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306,313</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145</w:t>
            </w:r>
          </w:p>
        </w:tc>
      </w:tr>
      <w:tr>
        <w:trPr>
          <w:trHeight w:val="266"/>
        </w:trPr>
        <w:tc>
          <w:tcPr>
            <w:tcW w:w="2260" w:type="dxa"/>
            <w:vAlign w:val="bottom"/>
          </w:tcPr>
          <w:p>
            <w:pPr>
              <w:jc w:val="center"/>
              <w:spacing w:after="0"/>
              <w:rPr>
                <w:sz w:val="20"/>
                <w:szCs w:val="20"/>
                <w:color w:val="auto"/>
              </w:rPr>
            </w:pPr>
            <w:r>
              <w:rPr>
                <w:rFonts w:ascii="Arial" w:cs="Arial" w:eastAsia="Arial" w:hAnsi="Arial"/>
                <w:sz w:val="18"/>
                <w:szCs w:val="18"/>
                <w:color w:val="auto"/>
                <w:w w:val="89"/>
              </w:rPr>
              <w:t>Cedric Pech</w:t>
            </w:r>
          </w:p>
        </w:tc>
        <w:tc>
          <w:tcPr>
            <w:tcW w:w="2220" w:type="dxa"/>
            <w:vAlign w:val="bottom"/>
          </w:tcPr>
          <w:p>
            <w:pPr>
              <w:jc w:val="center"/>
              <w:spacing w:after="0" w:line="265" w:lineRule="exact"/>
              <w:rPr>
                <w:sz w:val="20"/>
                <w:szCs w:val="20"/>
                <w:color w:val="auto"/>
              </w:rPr>
            </w:pPr>
            <w:r>
              <w:rPr>
                <w:rFonts w:ascii="Arial" w:cs="Arial" w:eastAsia="Arial" w:hAnsi="Arial"/>
                <w:sz w:val="18"/>
                <w:szCs w:val="18"/>
                <w:color w:val="auto"/>
                <w:w w:val="86"/>
              </w:rPr>
              <w:t>363,431</w:t>
            </w:r>
            <w:r>
              <w:rPr>
                <w:rFonts w:ascii="Arial" w:cs="Arial" w:eastAsia="Arial" w:hAnsi="Arial"/>
                <w:sz w:val="25"/>
                <w:szCs w:val="25"/>
                <w:color w:val="auto"/>
                <w:w w:val="86"/>
                <w:vertAlign w:val="superscript"/>
              </w:rPr>
              <w:t>(1)</w:t>
            </w: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111</w:t>
            </w:r>
          </w:p>
        </w:tc>
        <w:tc>
          <w:tcPr>
            <w:tcW w:w="2300" w:type="dxa"/>
            <w:vAlign w:val="bottom"/>
          </w:tcPr>
          <w:p>
            <w:pPr>
              <w:jc w:val="center"/>
              <w:spacing w:after="0" w:line="265" w:lineRule="exact"/>
              <w:rPr>
                <w:sz w:val="20"/>
                <w:szCs w:val="20"/>
                <w:color w:val="auto"/>
              </w:rPr>
            </w:pPr>
            <w:r>
              <w:rPr>
                <w:rFonts w:ascii="Arial" w:cs="Arial" w:eastAsia="Arial" w:hAnsi="Arial"/>
                <w:sz w:val="18"/>
                <w:szCs w:val="18"/>
                <w:color w:val="auto"/>
                <w:w w:val="84"/>
              </w:rPr>
              <w:t>462,336</w:t>
            </w:r>
            <w:r>
              <w:rPr>
                <w:rFonts w:ascii="Arial" w:cs="Arial" w:eastAsia="Arial" w:hAnsi="Arial"/>
                <w:sz w:val="25"/>
                <w:szCs w:val="25"/>
                <w:color w:val="auto"/>
                <w:w w:val="84"/>
                <w:vertAlign w:val="superscript"/>
              </w:rPr>
              <w:t>(1)</w:t>
            </w:r>
          </w:p>
        </w:tc>
        <w:tc>
          <w:tcPr>
            <w:tcW w:w="2180" w:type="dxa"/>
            <w:vAlign w:val="bottom"/>
          </w:tcPr>
          <w:p>
            <w:pPr>
              <w:jc w:val="center"/>
              <w:spacing w:after="0" w:line="265" w:lineRule="exact"/>
              <w:rPr>
                <w:sz w:val="20"/>
                <w:szCs w:val="20"/>
                <w:color w:val="auto"/>
              </w:rPr>
            </w:pPr>
            <w:r>
              <w:rPr>
                <w:rFonts w:ascii="Arial" w:cs="Arial" w:eastAsia="Arial" w:hAnsi="Arial"/>
                <w:sz w:val="30"/>
                <w:szCs w:val="30"/>
                <w:color w:val="auto"/>
                <w:w w:val="87"/>
                <w:vertAlign w:val="subscript"/>
              </w:rPr>
              <w:t>127</w:t>
            </w:r>
            <w:r>
              <w:rPr>
                <w:rFonts w:ascii="Arial" w:cs="Arial" w:eastAsia="Arial" w:hAnsi="Arial"/>
                <w:sz w:val="12"/>
                <w:szCs w:val="12"/>
                <w:color w:val="auto"/>
                <w:w w:val="87"/>
              </w:rPr>
              <w:t>(2)</w:t>
            </w:r>
          </w:p>
        </w:tc>
      </w:tr>
    </w:tbl>
    <w:p>
      <w:pPr>
        <w:spacing w:after="0" w:line="13" w:lineRule="exact"/>
        <w:rPr>
          <w:sz w:val="20"/>
          <w:szCs w:val="20"/>
          <w:color w:val="auto"/>
        </w:rPr>
      </w:pPr>
    </w:p>
    <w:p>
      <w:pPr>
        <w:ind w:left="340" w:right="60" w:hanging="332"/>
        <w:spacing w:after="0" w:line="213"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4"/>
          <w:szCs w:val="14"/>
          <w:color w:val="auto"/>
        </w:rPr>
        <w:t>Mr. Pech’s cash bonus is set and paid in Swiss Francs (CHF) and, for the purposes of the table, is converted into U.S. dollars based on the exchange rate as of January 31, 2020 of 1.03 CHF to the U.S. dollar.</w:t>
      </w:r>
    </w:p>
    <w:p>
      <w:pPr>
        <w:spacing w:after="0" w:line="141" w:lineRule="exact"/>
        <w:rPr>
          <w:rFonts w:ascii="Arial" w:cs="Arial" w:eastAsia="Arial" w:hAnsi="Arial"/>
          <w:sz w:val="25"/>
          <w:szCs w:val="25"/>
          <w:color w:val="auto"/>
          <w:vertAlign w:val="superscript"/>
        </w:rPr>
      </w:pPr>
    </w:p>
    <w:p>
      <w:pPr>
        <w:ind w:left="340" w:hanging="332"/>
        <w:spacing w:after="0" w:line="213"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4"/>
          <w:szCs w:val="14"/>
          <w:color w:val="auto"/>
        </w:rPr>
        <w:t>Actual bonus earned, which represents the aggregate amount of monthly payments earned by Mr. Pech over the year, differs from the actual bonus as a percentage of target amount due to rounding.</w:t>
      </w:r>
    </w:p>
    <w:p>
      <w:pPr>
        <w:spacing w:after="0" w:line="22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performance-based cash bonus award payments made to our named executive officers for fiscal year 2020 are set forth in the “Summary Compensation Table” below.</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20" w:top="319"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RSU Awards (Long-Term Incentive Compensation)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Long-term incentive compensation in the form of equity awards is an important tool for us to attract industry leaders of the highest caliber and to retain them for the long term. We provide long-term incentive compensation to ensure that a significant portion of named executive officer compensation is tied to our long-term results and increases in stockholder value. The majority of our named executive officers’ target total direct compensation opportunity in fiscal year 2020 was provided in the form of long-term equity awards. In fiscal year 2020, the compensation committee approved long-term incentive awards to our named executive officers consisting of RSUs.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the initial equity award that each executive officer receives upon being hired, the compensation committee also grants some or all of our executive officers additional equity awards each year as part of our annual review of our executive compensation program. The compensation committee, in consultation with the Chief Executive Officer (except in regard to his equity awards), determines the size and material terms of equity awards granted to our named executive officers, taking into account the role and responsibility of the named executive officer, our philosophy of more heavily weighting equity compensation over cash compensation, individual performance, competitive factors including competition for technology executives, peer group data, the size and value of long-term equity compensation already held by each executive officer and the vested percentage, the total annual target cash compensation opportunity for each named executive officer and retention objectives.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compensation committee approved annual long-term incentive awards, consisting of RSUs, to our named executive officers in the first quarter of fiscal year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5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460" w:type="dxa"/>
            <w:vAlign w:val="bottom"/>
          </w:tcPr>
          <w:p>
            <w:pPr>
              <w:spacing w:after="0"/>
              <w:rPr>
                <w:sz w:val="18"/>
                <w:szCs w:val="18"/>
                <w:color w:val="auto"/>
              </w:rPr>
            </w:pPr>
          </w:p>
        </w:tc>
        <w:tc>
          <w:tcPr>
            <w:tcW w:w="4220" w:type="dxa"/>
            <w:vAlign w:val="bottom"/>
          </w:tcPr>
          <w:p>
            <w:pPr>
              <w:jc w:val="center"/>
              <w:ind w:left="130"/>
              <w:spacing w:after="0"/>
              <w:rPr>
                <w:sz w:val="20"/>
                <w:szCs w:val="20"/>
                <w:color w:val="auto"/>
              </w:rPr>
            </w:pPr>
            <w:r>
              <w:rPr>
                <w:rFonts w:ascii="Arial" w:cs="Arial" w:eastAsia="Arial" w:hAnsi="Arial"/>
                <w:sz w:val="18"/>
                <w:szCs w:val="18"/>
                <w:b w:val="1"/>
                <w:bCs w:val="1"/>
                <w:color w:val="auto"/>
                <w:w w:val="90"/>
              </w:rPr>
              <w:t>Time-Based</w:t>
            </w:r>
          </w:p>
        </w:tc>
        <w:tc>
          <w:tcPr>
            <w:tcW w:w="356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3460" w:type="dxa"/>
            <w:vAlign w:val="bottom"/>
          </w:tcPr>
          <w:p>
            <w:pPr>
              <w:spacing w:after="0"/>
              <w:rPr>
                <w:sz w:val="18"/>
                <w:szCs w:val="18"/>
                <w:color w:val="auto"/>
              </w:rPr>
            </w:pPr>
          </w:p>
        </w:tc>
        <w:tc>
          <w:tcPr>
            <w:tcW w:w="422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RSUs</w:t>
            </w:r>
          </w:p>
        </w:tc>
        <w:tc>
          <w:tcPr>
            <w:tcW w:w="356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r>
      <w:tr>
        <w:trPr>
          <w:trHeight w:val="261"/>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Named Executive Officer</w:t>
            </w:r>
          </w:p>
        </w:tc>
        <w:tc>
          <w:tcPr>
            <w:tcW w:w="42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89"/>
              </w:rPr>
              <w:t>(number of shares)</w:t>
            </w:r>
          </w:p>
        </w:tc>
        <w:tc>
          <w:tcPr>
            <w:tcW w:w="3560" w:type="dxa"/>
            <w:vAlign w:val="bottom"/>
            <w:tcBorders>
              <w:bottom w:val="single" w:sz="8" w:color="auto"/>
            </w:tcBorders>
          </w:tcPr>
          <w:p>
            <w:pPr>
              <w:jc w:val="center"/>
              <w:ind w:right="30"/>
              <w:spacing w:after="0" w:line="262" w:lineRule="exact"/>
              <w:rPr>
                <w:sz w:val="20"/>
                <w:szCs w:val="20"/>
                <w:color w:val="auto"/>
              </w:rPr>
            </w:pPr>
            <w:r>
              <w:rPr>
                <w:rFonts w:ascii="Arial" w:cs="Arial" w:eastAsia="Arial" w:hAnsi="Arial"/>
                <w:sz w:val="18"/>
                <w:szCs w:val="18"/>
                <w:b w:val="1"/>
                <w:bCs w:val="1"/>
                <w:color w:val="auto"/>
                <w:w w:val="84"/>
              </w:rPr>
              <w:t>($)</w:t>
            </w:r>
            <w:r>
              <w:rPr>
                <w:rFonts w:ascii="Arial" w:cs="Arial" w:eastAsia="Arial" w:hAnsi="Arial"/>
                <w:sz w:val="25"/>
                <w:szCs w:val="25"/>
                <w:b w:val="1"/>
                <w:bCs w:val="1"/>
                <w:color w:val="auto"/>
                <w:w w:val="84"/>
                <w:vertAlign w:val="superscript"/>
              </w:rPr>
              <w:t>(1)</w:t>
            </w:r>
          </w:p>
        </w:tc>
      </w:tr>
      <w:tr>
        <w:trPr>
          <w:trHeight w:val="263"/>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 Ittycheria</w:t>
            </w:r>
          </w:p>
        </w:tc>
        <w:tc>
          <w:tcPr>
            <w:tcW w:w="4220" w:type="dxa"/>
            <w:vAlign w:val="bottom"/>
            <w:shd w:val="clear" w:color="auto" w:fill="CCEEFF"/>
          </w:tcPr>
          <w:p>
            <w:pPr>
              <w:jc w:val="center"/>
              <w:ind w:left="130"/>
              <w:spacing w:after="0" w:line="263" w:lineRule="exact"/>
              <w:rPr>
                <w:sz w:val="20"/>
                <w:szCs w:val="20"/>
                <w:color w:val="auto"/>
              </w:rPr>
            </w:pPr>
            <w:r>
              <w:rPr>
                <w:rFonts w:ascii="Arial" w:cs="Arial" w:eastAsia="Arial" w:hAnsi="Arial"/>
                <w:sz w:val="18"/>
                <w:szCs w:val="18"/>
                <w:color w:val="auto"/>
                <w:w w:val="84"/>
              </w:rPr>
              <w:t>61,793</w:t>
            </w:r>
            <w:r>
              <w:rPr>
                <w:rFonts w:ascii="Arial" w:cs="Arial" w:eastAsia="Arial" w:hAnsi="Arial"/>
                <w:sz w:val="25"/>
                <w:szCs w:val="25"/>
                <w:color w:val="auto"/>
                <w:w w:val="84"/>
                <w:vertAlign w:val="superscript"/>
              </w:rPr>
              <w:t>(2)</w:t>
            </w:r>
          </w:p>
        </w:tc>
        <w:tc>
          <w:tcPr>
            <w:tcW w:w="35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8,526,198</w:t>
            </w:r>
          </w:p>
        </w:tc>
      </w:tr>
      <w:tr>
        <w:trPr>
          <w:trHeight w:val="270"/>
        </w:trPr>
        <w:tc>
          <w:tcPr>
            <w:tcW w:w="3460" w:type="dxa"/>
            <w:vAlign w:val="bottom"/>
          </w:tcPr>
          <w:p>
            <w:pPr>
              <w:ind w:left="40"/>
              <w:spacing w:after="0"/>
              <w:rPr>
                <w:sz w:val="20"/>
                <w:szCs w:val="20"/>
                <w:color w:val="auto"/>
              </w:rPr>
            </w:pPr>
            <w:r>
              <w:rPr>
                <w:rFonts w:ascii="Arial" w:cs="Arial" w:eastAsia="Arial" w:hAnsi="Arial"/>
                <w:sz w:val="18"/>
                <w:szCs w:val="18"/>
                <w:color w:val="auto"/>
              </w:rPr>
              <w:t>Eliot Horowitz</w:t>
            </w:r>
          </w:p>
        </w:tc>
        <w:tc>
          <w:tcPr>
            <w:tcW w:w="4220" w:type="dxa"/>
            <w:vAlign w:val="bottom"/>
          </w:tcPr>
          <w:p>
            <w:pPr>
              <w:jc w:val="center"/>
              <w:ind w:left="130"/>
              <w:spacing w:after="0" w:line="270" w:lineRule="exact"/>
              <w:rPr>
                <w:sz w:val="20"/>
                <w:szCs w:val="20"/>
                <w:color w:val="auto"/>
              </w:rPr>
            </w:pPr>
            <w:r>
              <w:rPr>
                <w:rFonts w:ascii="Arial" w:cs="Arial" w:eastAsia="Arial" w:hAnsi="Arial"/>
                <w:sz w:val="18"/>
                <w:szCs w:val="18"/>
                <w:color w:val="auto"/>
                <w:w w:val="84"/>
              </w:rPr>
              <w:t>39,641</w:t>
            </w:r>
            <w:r>
              <w:rPr>
                <w:rFonts w:ascii="Arial" w:cs="Arial" w:eastAsia="Arial" w:hAnsi="Arial"/>
                <w:sz w:val="25"/>
                <w:szCs w:val="25"/>
                <w:color w:val="auto"/>
                <w:w w:val="84"/>
                <w:vertAlign w:val="superscript"/>
              </w:rPr>
              <w:t>(2)</w:t>
            </w:r>
          </w:p>
        </w:tc>
        <w:tc>
          <w:tcPr>
            <w:tcW w:w="3560" w:type="dxa"/>
            <w:vAlign w:val="bottom"/>
          </w:tcPr>
          <w:p>
            <w:pPr>
              <w:jc w:val="center"/>
              <w:ind w:right="30"/>
              <w:spacing w:after="0"/>
              <w:rPr>
                <w:sz w:val="20"/>
                <w:szCs w:val="20"/>
                <w:color w:val="auto"/>
              </w:rPr>
            </w:pPr>
            <w:r>
              <w:rPr>
                <w:rFonts w:ascii="Arial" w:cs="Arial" w:eastAsia="Arial" w:hAnsi="Arial"/>
                <w:sz w:val="18"/>
                <w:szCs w:val="18"/>
                <w:color w:val="auto"/>
                <w:w w:val="89"/>
              </w:rPr>
              <w:t>5,469,665</w:t>
            </w:r>
          </w:p>
        </w:tc>
      </w:tr>
      <w:tr>
        <w:trPr>
          <w:trHeight w:val="27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Michael Gordon</w:t>
            </w:r>
          </w:p>
        </w:tc>
        <w:tc>
          <w:tcPr>
            <w:tcW w:w="4220" w:type="dxa"/>
            <w:vAlign w:val="bottom"/>
            <w:shd w:val="clear" w:color="auto" w:fill="CCEEFF"/>
          </w:tcPr>
          <w:p>
            <w:pPr>
              <w:jc w:val="center"/>
              <w:ind w:left="130"/>
              <w:spacing w:after="0" w:line="270" w:lineRule="exact"/>
              <w:rPr>
                <w:sz w:val="20"/>
                <w:szCs w:val="20"/>
                <w:color w:val="auto"/>
              </w:rPr>
            </w:pPr>
            <w:r>
              <w:rPr>
                <w:rFonts w:ascii="Arial" w:cs="Arial" w:eastAsia="Arial" w:hAnsi="Arial"/>
                <w:sz w:val="18"/>
                <w:szCs w:val="18"/>
                <w:color w:val="auto"/>
                <w:w w:val="84"/>
              </w:rPr>
              <w:t>33,228</w:t>
            </w:r>
            <w:r>
              <w:rPr>
                <w:rFonts w:ascii="Arial" w:cs="Arial" w:eastAsia="Arial" w:hAnsi="Arial"/>
                <w:sz w:val="25"/>
                <w:szCs w:val="25"/>
                <w:color w:val="auto"/>
                <w:w w:val="84"/>
                <w:vertAlign w:val="superscript"/>
              </w:rPr>
              <w:t>(2)</w:t>
            </w:r>
          </w:p>
        </w:tc>
        <w:tc>
          <w:tcPr>
            <w:tcW w:w="35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4,584,799</w:t>
            </w:r>
          </w:p>
        </w:tc>
      </w:tr>
      <w:tr>
        <w:trPr>
          <w:trHeight w:val="266"/>
        </w:trPr>
        <w:tc>
          <w:tcPr>
            <w:tcW w:w="3460" w:type="dxa"/>
            <w:vAlign w:val="bottom"/>
          </w:tcPr>
          <w:p>
            <w:pPr>
              <w:ind w:left="40"/>
              <w:spacing w:after="0"/>
              <w:rPr>
                <w:sz w:val="20"/>
                <w:szCs w:val="20"/>
                <w:color w:val="auto"/>
              </w:rPr>
            </w:pPr>
            <w:r>
              <w:rPr>
                <w:rFonts w:ascii="Arial" w:cs="Arial" w:eastAsia="Arial" w:hAnsi="Arial"/>
                <w:sz w:val="18"/>
                <w:szCs w:val="18"/>
                <w:color w:val="auto"/>
              </w:rPr>
              <w:t>Cedric Pech</w:t>
            </w:r>
          </w:p>
        </w:tc>
        <w:tc>
          <w:tcPr>
            <w:tcW w:w="4220" w:type="dxa"/>
            <w:vAlign w:val="bottom"/>
          </w:tcPr>
          <w:p>
            <w:pPr>
              <w:jc w:val="center"/>
              <w:ind w:left="130"/>
              <w:spacing w:after="0" w:line="265" w:lineRule="exact"/>
              <w:rPr>
                <w:sz w:val="20"/>
                <w:szCs w:val="20"/>
                <w:color w:val="auto"/>
              </w:rPr>
            </w:pPr>
            <w:r>
              <w:rPr>
                <w:rFonts w:ascii="Arial" w:cs="Arial" w:eastAsia="Arial" w:hAnsi="Arial"/>
                <w:sz w:val="18"/>
                <w:szCs w:val="18"/>
                <w:color w:val="auto"/>
                <w:w w:val="84"/>
              </w:rPr>
              <w:t>22,941</w:t>
            </w:r>
            <w:r>
              <w:rPr>
                <w:rFonts w:ascii="Arial" w:cs="Arial" w:eastAsia="Arial" w:hAnsi="Arial"/>
                <w:sz w:val="25"/>
                <w:szCs w:val="25"/>
                <w:color w:val="auto"/>
                <w:w w:val="84"/>
                <w:vertAlign w:val="superscript"/>
              </w:rPr>
              <w:t>(3)</w:t>
            </w:r>
          </w:p>
        </w:tc>
        <w:tc>
          <w:tcPr>
            <w:tcW w:w="3560" w:type="dxa"/>
            <w:vAlign w:val="bottom"/>
          </w:tcPr>
          <w:p>
            <w:pPr>
              <w:jc w:val="center"/>
              <w:ind w:right="30"/>
              <w:spacing w:after="0"/>
              <w:rPr>
                <w:sz w:val="20"/>
                <w:szCs w:val="20"/>
                <w:color w:val="auto"/>
              </w:rPr>
            </w:pPr>
            <w:r>
              <w:rPr>
                <w:rFonts w:ascii="Arial" w:cs="Arial" w:eastAsia="Arial" w:hAnsi="Arial"/>
                <w:sz w:val="18"/>
                <w:szCs w:val="18"/>
                <w:color w:val="auto"/>
                <w:w w:val="89"/>
              </w:rPr>
              <w:t>2,227,342</w:t>
            </w:r>
          </w:p>
        </w:tc>
      </w:tr>
    </w:tbl>
    <w:p>
      <w:pPr>
        <w:ind w:left="340" w:hanging="332"/>
        <w:spacing w:after="0" w:line="184" w:lineRule="auto"/>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3"/>
          <w:szCs w:val="13"/>
          <w:color w:val="auto"/>
        </w:rPr>
        <w:t>The grant date fair value was computed in accordance with ASC 718 based on the closing stock price at the grant date, as reported on Nasdaq.</w:t>
      </w:r>
    </w:p>
    <w:p>
      <w:pPr>
        <w:spacing w:after="0" w:line="124" w:lineRule="exact"/>
        <w:rPr>
          <w:rFonts w:ascii="Arial" w:cs="Arial" w:eastAsia="Arial" w:hAnsi="Arial"/>
          <w:sz w:val="22"/>
          <w:szCs w:val="22"/>
          <w:color w:val="auto"/>
          <w:vertAlign w:val="superscript"/>
        </w:rPr>
      </w:pPr>
    </w:p>
    <w:p>
      <w:pPr>
        <w:ind w:left="340" w:hanging="332"/>
        <w:spacing w:after="0" w:line="181" w:lineRule="auto"/>
        <w:tabs>
          <w:tab w:leader="none" w:pos="340" w:val="left"/>
        </w:tabs>
        <w:numPr>
          <w:ilvl w:val="0"/>
          <w:numId w:val="42"/>
        </w:numPr>
        <w:rPr>
          <w:rFonts w:ascii="Arial" w:cs="Arial" w:eastAsia="Arial" w:hAnsi="Arial"/>
          <w:sz w:val="23"/>
          <w:szCs w:val="23"/>
          <w:color w:val="auto"/>
          <w:vertAlign w:val="superscript"/>
        </w:rPr>
      </w:pPr>
      <w:r>
        <w:rPr>
          <w:rFonts w:ascii="Arial" w:cs="Arial" w:eastAsia="Arial" w:hAnsi="Arial"/>
          <w:sz w:val="13"/>
          <w:szCs w:val="13"/>
          <w:color w:val="auto"/>
        </w:rPr>
        <w:t>Awards granted on March 18, 2019.</w:t>
      </w:r>
    </w:p>
    <w:p>
      <w:pPr>
        <w:spacing w:after="0" w:line="124" w:lineRule="exact"/>
        <w:rPr>
          <w:rFonts w:ascii="Arial" w:cs="Arial" w:eastAsia="Arial" w:hAnsi="Arial"/>
          <w:sz w:val="23"/>
          <w:szCs w:val="23"/>
          <w:color w:val="auto"/>
          <w:vertAlign w:val="superscript"/>
        </w:rPr>
      </w:pPr>
    </w:p>
    <w:p>
      <w:pPr>
        <w:ind w:left="340" w:hanging="332"/>
        <w:spacing w:after="0" w:line="181" w:lineRule="auto"/>
        <w:tabs>
          <w:tab w:leader="none" w:pos="340" w:val="left"/>
        </w:tabs>
        <w:numPr>
          <w:ilvl w:val="0"/>
          <w:numId w:val="42"/>
        </w:numPr>
        <w:rPr>
          <w:rFonts w:ascii="Arial" w:cs="Arial" w:eastAsia="Arial" w:hAnsi="Arial"/>
          <w:sz w:val="23"/>
          <w:szCs w:val="23"/>
          <w:color w:val="auto"/>
          <w:vertAlign w:val="superscript"/>
        </w:rPr>
      </w:pPr>
      <w:r>
        <w:rPr>
          <w:rFonts w:ascii="Arial" w:cs="Arial" w:eastAsia="Arial" w:hAnsi="Arial"/>
          <w:sz w:val="13"/>
          <w:szCs w:val="13"/>
          <w:color w:val="auto"/>
        </w:rPr>
        <w:t>Award granted on February 5, 2019.</w:t>
      </w:r>
    </w:p>
    <w:p>
      <w:pPr>
        <w:spacing w:after="0" w:line="228"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b w:val="1"/>
          <w:bCs w:val="1"/>
          <w:i w:val="1"/>
          <w:iCs w:val="1"/>
          <w:color w:val="auto"/>
        </w:rPr>
        <w:t>RSUs</w:t>
      </w:r>
      <w:r>
        <w:rPr>
          <w:rFonts w:ascii="Arial" w:cs="Arial" w:eastAsia="Arial" w:hAnsi="Arial"/>
          <w:sz w:val="18"/>
          <w:szCs w:val="18"/>
          <w:color w:val="auto"/>
        </w:rPr>
        <w:t>. Each RSU is the economic equivalent of one share of MongoDB’s Class A Common Stock and is settled in shares of MongoDB’s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The RSUs granted to our executive officers for fiscal year 2020 are subject to time-based vesting over four years, with 1/16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shares subject to the award vesting each quarter following the vesting commencement date, subject to their continuous employment with us through each vesting date.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Grant Practices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the following practices regarding equity compensation grants:</w:t>
      </w:r>
    </w:p>
    <w:p>
      <w:pPr>
        <w:spacing w:after="0" w:line="229" w:lineRule="exact"/>
        <w:rPr>
          <w:sz w:val="20"/>
          <w:szCs w:val="20"/>
          <w:color w:val="auto"/>
        </w:rPr>
      </w:pPr>
    </w:p>
    <w:p>
      <w:pPr>
        <w:ind w:left="980" w:right="2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do not strategically time long-term incentive awards in coordination with the release of material non-public information and have never had a practice of doing so.</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have never timed and do not plan to time the release of material non-public information for the purpose of affecting the value of executive compensation.</w:t>
      </w:r>
    </w:p>
    <w:p>
      <w:pPr>
        <w:spacing w:after="0" w:line="129" w:lineRule="exact"/>
        <w:rPr>
          <w:rFonts w:ascii="Arial" w:cs="Arial" w:eastAsia="Arial" w:hAnsi="Arial"/>
          <w:sz w:val="18"/>
          <w:szCs w:val="18"/>
          <w:color w:val="auto"/>
        </w:rPr>
      </w:pPr>
    </w:p>
    <w:p>
      <w:pPr>
        <w:jc w:val="both"/>
        <w:ind w:left="980" w:hanging="324"/>
        <w:spacing w:after="0" w:line="311"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equity grants to our executive officers and other employees, we determine the number of shares based on a target dollar value, calculated using the 60-day volume-weighted average trading price (VWAP) of our stock on, or a few days prior to, the grant date. We believe that using the VWAP mitigates the effect of any variations in stock price that may occur in the final minutes of trading if the closing price were used.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319"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accounting for equity awards granted by us is compliant with accounting principles generally accepted in the United States and is disclosed in our annual and quarterly financial reports filed with the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and Welfare Plans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named executive officers are eligible to receive the same employee benefits that are generally available to all full-time employees in their respective jurisdictions, subject to the satisfaction of certain eligibility requirements.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our US-based named executive officers (Messrs. Ittycheria, Horowitz and Gordon), these benefits include our health, dental and vision plans and life and disability insurance plans, on the same basis as any other salaried U.S. employees. In addition, we maintain a tax-qualified 401(k) retirement plan that provides eligible U.S. employees with an opportunity to save for retirement on a tax-advantaged basis. Plan participants are able to defer eligible compensation subject to the applicable annual limits set forth in the Internal Revenue Code of 1986, as amended (the “Code”). In fiscal year 2020, we did not provide an employer match on employee contributions.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our Switzerland-based named executive officer, Cedric Pech, these benefits include our health, dental and vision plans and life and disability insurance plans, on the same basis as any other salaried Switzerland employees. In addition, we maintain a pension plan that provides benefits to Mr. Pech and other Switzerland-based employees, including old-age retirement pension or capital payment, death lump sum and pension to surviving partner, orphans’ pension and disability pension. Contributions to the pension are paid 50% by us and 50% by the employee, with contribution amounts dependent on an employee's salary and 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Other Personal Benefits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Currently, we do not view perquisites or other personal benefits as a significant component of our executive compensation program. Accordingly, we do not provide significant perquisites or other personal benefits to our executive officers, including our named executive officers, except as generally made available to our employees, or in situations where we believe it is appropriate to assist an individual in the performance of his or her duties, to make our executive officers more efficient and effective, to help ensure the data privacy and cybersecurity of our executive officers and for recruitment and retention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 Letters and Employment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offer letters or employment agreements with each of our named executive officers. The offer letters and employment agreements generally provide for at-will employment and set forth the executive officer’s initial base salary, initial target bonus, initial equity grant amount, eligibility for employee benefits and severance benefits upon a qualifying termination of employment. Each of our named executive officers has also executed our standard form of invention assignment, confidentiality and arbitration agreement. The key terms of employment with our named executive officers are described below.</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Dev Ittycheria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into an amended and restated offer letter with Dev Ittycheria, our President and Chief Executive Officer, dated September 29, 2017, which sets forth the terms and conditions of his employment with us. Mr. Ittycheria’s annual base salary for the fiscal year ended January 31, 2020 was $400,000. Mr. Ittycheria is also eligible to receive an annual target bonus of 70% of his base salary pursuant to our bonus plan. Mr. Ittycheria’s employment is at will and may be terminated at any time, with or without cause.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40"/>
          </w:cols>
          <w:pgMar w:left="320" w:top="319" w:right="3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amended and restated offer letter agreement with Mr. Ittycheria provides that, if we terminate Mr. Ittycheria for any reason other than for “cause,” death or disability, or if Mr. Ittycheria resigns his position with us for “good reason” (as such terms are defined in his offer letter), Mr. Ittycheria would be entitled to receive payment of his then-current base salary for a period of 12 months following his termination date in accordance with our regular payroll practices, and company-paid health insurance coverage for a period of 12 months following his termination date. In addition, if such termination or resignation occurs either in connection with, or within three months prior to or 12 months after, a change in control, Mr. Ittycheria would also be entitled to receive payment of his target bonus for a period of 12 months following his termination date, 100% acceleration of vesting of all then-outstanding time-based unvested equity awards held by Mr. Ittycheria and acceleration of vesting of then-outstanding performance-based unvested equity awards held by Mr. Ittycheria based on the greater of target performance or actual performance. Payment of any of the above-described severance benefits is conditioned on the delivery and non-revocation of a general release of claims in our favor within 50 days after Mr. Ittycheria’s termination.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Eliot Horowitz</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into an offer letter with Eliot Horowitz, our Chief Technology Officer and Co-Founder, dated September 29, 2017, which sets forth the terms and conditions of his employment with us. Mr. Horowitz’s annual base salary for the fiscal year ended January 31, 2020 was $325,000. Mr. Horowitz is also eligible to receive an annual target bonus of 65% of his base salary pursuant to our bonus plan. Mr. Horowitz’s employment is at will and may be terminated at any time, with or without cause.</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offer letter agreement with Mr. Horowitz provides that, if we terminate Mr. Horowitz for any reason other than for “cause,” death or disability, or if Mr. Horowitz resigns his position with us for “good reason” (as such terms are defined in his offer letter), Mr. Horowitz would be entitled to receive payment of his then-current base salary for a period of six months following his termination date in accordance with our regular payroll practices, and company-paid health insurance coverage for a period of six months following his termination date. In addition, if such termination or resignation occurs either in connection with, or within three months prior to or 12 months after, a change in control, Mr. Horowitz would also be entitled to receive payment of his target bonus for a period of six months following his termination date, 100% acceleration of vesting of all then-outstanding time-based unvested equity awards held by Mr. Horowitz and acceleration of vesting of then-outstanding performance-based unvested equity awards held by Mr. Horowitz based on the greater of target performance or actual performance. Payment of any of the above-described severance benefits is conditioned on the delivery and non-revocation of a general release of claims in our favor within 50 days after Mr. Horowitz’s termination. Mr. Horowitz has informed us that he is resigning from his position as Chief Technology Officer and a member of our board of directors, effective on the date of our 2020 annual meeting of stockholders. As a result of his resignation, he is not eligible to receive any of the above-described severance benefits.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Gordon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into an amended and restated offer letter with Michael Gordon, our Chief Operating Officer and Chief Financial Officer, dated September 29, 2017, which sets forth the terms and conditions of his employment with us. Mr. Gordon’s annual base salary for the fiscal year ended January 31, 2020 was $325,000. Mr. Gordon is also eligible to receive an annual target bonus of 65% of his base salary pursuant to our bonus plan. Mr. Gordon’s employment is at will and may be terminated at any time, with or without cause.</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amended and restated offer letter agreement with Mr. Gordon provides that if we terminate Mr. Gordon for any reason other than for “cause,” death or disability, or Mr. Gordon resigns his position with us for “good reason” (as such terms are defined in his offer letter), Mr. Gordon would be entitled to receive payment of his then-current base salary for a period of six months following his termination date in accordance with our regular payroll practices, and company-paid health insurance coverage for a period of six months following his termination date. In addition, in the event such termination or resignation occurs either in connection with, or within three months prior to or 12 months after, a change in control, Mr. Gordon would also be entitled to receive payment of his target bonus for a period of six months following his termination date, 100% acceleration of vesting of all then-outstanding time-based unvested equity awards held by Mr. Gordon and acceleration of vesting of then-outstanding performance-based unvested equity awards held by Mr. Gordon based on the greater of target performance or actual performance. Payment of any of the above-described severance benefits is conditioned on the delivery and non-revocation of a general release of claims in our favor within 50 days after Mr. Gordon’s termination.</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40"/>
          </w:cols>
          <w:pgMar w:left="320" w:top="319" w:right="3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Cedric Pech</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entered into a Swiss-law governed employment agreement with Cedric Pech, our Chief Revenue Officer, dated February 6, 2019, which set forth the terms and conditions of his employment with us. Mr. Pech’s annual base salary for the fiscal year ended January 31, 2020 was $259,594. Mr. Pech is also eligible to receive annual target sales compensation of 140% of his base salary pursuant to our variable compensation plan. Mr. Pech’s employment is at will and may be terminated at any time, with or without cause, subject to jurisdictional notice periods. Mr. Pech’s base salary and target sales compensation are set and paid in CHF and converted into U.S. dollars for purposes of these disclosures based on the exchange rate as of January 31, 2020 of 1.03 CHF to the U.S. dollar.</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employment agreement with Mr. Pech provides that, if we terminate Mr. Pech for any reason other than for “cause,” death or disability, or if Mr. Pech resigns his position with us for “good reason” (as such terms are defined in his employment agreement), Mr. Pech would be entitled to receive payment of his then-current base salary for a period of six months following his termination date in accordance with our regular payroll practices, and an amount equal to six months of his then-current health insurance premium for a period of six months. In addition, if such termination or resignation occurs either in connection with, or within three months prior to or 12 months after, a change in control, Mr. Pech would also be entitled to receive payment of his target bonus for a period of six months following his termination date, 100% acceleration of vesting of all then-outstanding time-based unvested equity awards held by Mr. Pech and acceleration of vesting of then-outstanding performance-based unvested equity awards held by Mr. Pech based on the greater of target performance or actual performance. Payment of any of the above-described severance benefits is conditioned on the delivery and non-revocation of a general release of claims in our favor within 50 days after Mr. Pech’s termination.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and Accounting Implications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Under ASC 718, we are required to estimate and record an expense for each award of equity compensation over the vesting period of the award.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record share-based compensation expense on an ongoing basis according to ASC 718.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Section 162(m) of the Code has historically limited companies to a deduction for federal income tax purposes of not more than $1 million of compensation paid to certain executive officers in a calendar year, subject to certain exceptions, including an exception for certain “performance-based compensation,” as defined in the Code and accompanying regulations. Under a transition rule that applies to newly public companies, we are currently exempt from this limitation. Due to the effects of tax reform, the historical exemption for performance-based compensation will be available only for certain prior “grandfathered” arrangements, and we will continue to review related guidance from the Internal Revenue Service as it becomes available, including proposed regulations released late last year. While the compensation committee may consider the deductibility of awards as one factor in determining executive compensation, the compensation committee may also look at other factors in making its decisions and retains the flexibility to award compensation that it determines to be consistent with the goals of our executive compensation program even if the compensation is not deductible by us for tax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Prohibiting Hedging and Pledging of Our Equity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insider trading policy prohibits our employees, directors and consultants from pledging or engaging in hedging or similar transactions in our stock, such as prepaid variable forwards, equity swaps, collars, puts, calls and short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2019, the board of directors adopted stock ownership guidelines for our executive officers. The guidelines require that, within five years of the date the guidelines were adopted or five years of first becoming one of our executive officers, each executive officer own at least a number of shares of common stock equal to a multiple of the executive’s base salary, as follows: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319" w:right="3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Chief Executive Officer: must hold shares of MongoDB common stock with a value equal to five times his base salary; and</w:t>
      </w:r>
    </w:p>
    <w:p>
      <w:pPr>
        <w:spacing w:after="0" w:line="184" w:lineRule="exact"/>
        <w:rPr>
          <w:rFonts w:ascii="Arial" w:cs="Arial" w:eastAsia="Arial" w:hAnsi="Arial"/>
          <w:sz w:val="18"/>
          <w:szCs w:val="18"/>
          <w:color w:val="auto"/>
        </w:rPr>
      </w:pPr>
    </w:p>
    <w:p>
      <w:pPr>
        <w:ind w:left="660" w:right="1300" w:hanging="4"/>
        <w:spacing w:after="0" w:line="477" w:lineRule="auto"/>
        <w:tabs>
          <w:tab w:leader="none" w:pos="9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other executive officers: must hold shares of MongoDB common stock with a value equal to three times their base salary. The following shares of our common stock count towards compliance with the guidelines:</w:t>
      </w: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owned by the executive officer;</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owned jointly by the executive officer and spouse;</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held in a trust established by the executive officer for the benefit of the executive officer and/or family members;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shares equal to the number of vested deferred stock units credited to the executive officer under any arrangement maintained by us;</w:t>
      </w:r>
    </w:p>
    <w:p>
      <w:pPr>
        <w:spacing w:after="0" w:line="196"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credited to the executive officer’s 401(k) plan account;</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vested shares of time-based restricted stock/restricted stock units;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shares equal to the after-tax in-the-money portion of any vested, unexercised options.</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Unvested and unearned performance-vesting shares/units, unvested restricted shares/units and unvested unexercised stock options do not count towards director or executive officers’ compliance with the guidelines.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Chief Executive Officer and other executive officers currently meet their required ownership level.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Assessment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its oversight of our executive compensation program, the compensation committee reviews and considers any potential risk implications created by its compensation awards. The compensation committee believes that the executive compensation program is designed with the appropriate balance of risk and reward in relation to our overall business strategy and that the balance of compensation elements does not encourage excessive risk taking. The compensation committee will continue to consider compensation risk implications, as appropriate, in designing any new executive compensation components. In connection with its continual risk assessment, the compensation committee notes the following attributes of the executive compensation program:</w:t>
      </w:r>
    </w:p>
    <w:p>
      <w:pPr>
        <w:spacing w:after="0" w:line="192" w:lineRule="exact"/>
        <w:rPr>
          <w:sz w:val="20"/>
          <w:szCs w:val="20"/>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balance between fixed and variable compensation, short- and long-term compensation, and cash and equity payouts;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regular review of the executive compensation program by an independent compensation consultant.</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compensation committee also has oversight over our responsibility to review all our compensation policies and procedures, including the incentives that they create, to determine whether they present a significant risk. In consultation with management and FW Cook, in May 2020, the compensation committee assessed our compensation plans, policies and practices for named executive officers and other employees and concluded that they do not create risks that are reasonably likely to have a material adverse effect on MongoDB. This risk assessment included, among other things, a review of our cash and equity incentive-based compensation plans to ensure that they are aligned with our performance goals and overall target total direct compensation to ensure an appropriate balance between fixed and variable pay components. The compensation committee conducts this assessment annually.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319" w:right="3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Executive Compensation Tables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Summary Compensation Table</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provides information regarding the compensation of our named executive officers for our fiscal year ended January 31, 2020 in accordance with SEC rules.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3"/>
              </w:rPr>
              <w:t>Non-Equity</w:t>
            </w: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c>
          <w:tcPr>
            <w:tcW w:w="1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4"/>
              </w:rPr>
              <w:t>Plan</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7"/>
              </w:rPr>
              <w:t>All Other</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6"/>
              </w:rPr>
              <w:t>Fiscal</w:t>
            </w:r>
          </w:p>
        </w:tc>
        <w:tc>
          <w:tcPr>
            <w:tcW w:w="1000" w:type="dxa"/>
            <w:vAlign w:val="bottom"/>
          </w:tcPr>
          <w:p>
            <w:pPr>
              <w:ind w:left="260"/>
              <w:spacing w:after="0"/>
              <w:rPr>
                <w:sz w:val="20"/>
                <w:szCs w:val="20"/>
                <w:color w:val="auto"/>
              </w:rPr>
            </w:pPr>
            <w:r>
              <w:rPr>
                <w:rFonts w:ascii="Arial" w:cs="Arial" w:eastAsia="Arial" w:hAnsi="Arial"/>
                <w:sz w:val="18"/>
                <w:szCs w:val="18"/>
                <w:b w:val="1"/>
                <w:bCs w:val="1"/>
                <w:color w:val="auto"/>
              </w:rPr>
              <w:t>Salary</w:t>
            </w:r>
          </w:p>
        </w:tc>
        <w:tc>
          <w:tcPr>
            <w:tcW w:w="124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86"/>
              </w:rPr>
              <w:t>Awards</w:t>
            </w:r>
            <w:r>
              <w:rPr>
                <w:rFonts w:ascii="Arial" w:cs="Arial" w:eastAsia="Arial" w:hAnsi="Arial"/>
                <w:sz w:val="25"/>
                <w:szCs w:val="25"/>
                <w:b w:val="1"/>
                <w:bCs w:val="1"/>
                <w:color w:val="auto"/>
                <w:w w:val="86"/>
                <w:vertAlign w:val="superscript"/>
              </w:rPr>
              <w:t>(1)</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2"/>
              </w:rPr>
              <w:t>Awards</w:t>
            </w:r>
          </w:p>
        </w:tc>
        <w:tc>
          <w:tcPr>
            <w:tcW w:w="176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85"/>
              </w:rPr>
              <w:t>Compensation</w:t>
            </w:r>
            <w:r>
              <w:rPr>
                <w:rFonts w:ascii="Arial" w:cs="Arial" w:eastAsia="Arial" w:hAnsi="Arial"/>
                <w:sz w:val="25"/>
                <w:szCs w:val="25"/>
                <w:b w:val="1"/>
                <w:bCs w:val="1"/>
                <w:color w:val="auto"/>
                <w:w w:val="85"/>
                <w:vertAlign w:val="superscript"/>
              </w:rPr>
              <w:t>(2)</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w:t>
            </w: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2600" w:type="dxa"/>
            <w:vAlign w:val="bottom"/>
          </w:tcPr>
          <w:p>
            <w:pPr>
              <w:ind w:left="200"/>
              <w:spacing w:after="0"/>
              <w:rPr>
                <w:sz w:val="20"/>
                <w:szCs w:val="20"/>
                <w:color w:val="auto"/>
              </w:rPr>
            </w:pPr>
            <w:r>
              <w:rPr>
                <w:rFonts w:ascii="Arial" w:cs="Arial" w:eastAsia="Arial" w:hAnsi="Arial"/>
                <w:sz w:val="18"/>
                <w:szCs w:val="18"/>
                <w:b w:val="1"/>
                <w:bCs w:val="1"/>
                <w:color w:val="auto"/>
                <w:w w:val="97"/>
              </w:rPr>
              <w:t>Name and Principal Position</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 Ittycheria</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400,000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8,526,198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406,000</w:t>
            </w:r>
          </w:p>
        </w:tc>
        <w:tc>
          <w:tcPr>
            <w:tcW w:w="1680" w:type="dxa"/>
            <w:vAlign w:val="bottom"/>
            <w:shd w:val="clear" w:color="auto" w:fill="CCEEFF"/>
          </w:tcPr>
          <w:p>
            <w:pPr>
              <w:jc w:val="center"/>
              <w:spacing w:after="0" w:line="222" w:lineRule="exact"/>
              <w:rPr>
                <w:sz w:val="20"/>
                <w:szCs w:val="20"/>
                <w:color w:val="auto"/>
              </w:rPr>
            </w:pPr>
            <w:r>
              <w:rPr>
                <w:rFonts w:ascii="Arial" w:cs="Arial" w:eastAsia="Arial" w:hAnsi="Arial"/>
                <w:sz w:val="18"/>
                <w:szCs w:val="18"/>
                <w:color w:val="auto"/>
                <w:w w:val="84"/>
              </w:rPr>
              <w:t>26,922</w:t>
            </w:r>
            <w:r>
              <w:rPr>
                <w:rFonts w:ascii="Arial" w:cs="Arial" w:eastAsia="Arial" w:hAnsi="Arial"/>
                <w:sz w:val="25"/>
                <w:szCs w:val="25"/>
                <w:color w:val="auto"/>
                <w:w w:val="84"/>
                <w:vertAlign w:val="superscript"/>
              </w:rPr>
              <w:t>(3)</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9,359,120</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President and Chief Executive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400,000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5,287,800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316,400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6,004,200</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Officer</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400,000</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195,400</w:t>
            </w: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595,400</w:t>
            </w:r>
          </w:p>
        </w:tc>
        <w:tc>
          <w:tcPr>
            <w:tcW w:w="0" w:type="dxa"/>
            <w:vAlign w:val="bottom"/>
          </w:tcPr>
          <w:p>
            <w:pPr>
              <w:spacing w:after="0"/>
              <w:rPr>
                <w:sz w:val="1"/>
                <w:szCs w:val="1"/>
                <w:color w:val="auto"/>
              </w:rPr>
            </w:pPr>
          </w:p>
        </w:tc>
      </w:tr>
      <w:tr>
        <w:trPr>
          <w:trHeight w:val="101"/>
        </w:trPr>
        <w:tc>
          <w:tcPr>
            <w:tcW w:w="260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000" w:type="dxa"/>
            <w:vAlign w:val="bottom"/>
            <w:tcBorders>
              <w:bottom w:val="single" w:sz="8" w:color="CCEEFF"/>
            </w:tcBorders>
            <w:vMerge w:val="continue"/>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60" w:type="dxa"/>
            <w:vAlign w:val="bottom"/>
            <w:tcBorders>
              <w:bottom w:val="single" w:sz="8" w:color="CCEEFF"/>
            </w:tcBorders>
            <w:vMerge w:val="continue"/>
            <w:shd w:val="clear" w:color="auto" w:fill="CCEEFF"/>
          </w:tcPr>
          <w:p>
            <w:pPr>
              <w:spacing w:after="0"/>
              <w:rPr>
                <w:sz w:val="8"/>
                <w:szCs w:val="8"/>
                <w:color w:val="auto"/>
              </w:rPr>
            </w:pPr>
          </w:p>
        </w:tc>
        <w:tc>
          <w:tcPr>
            <w:tcW w:w="1760" w:type="dxa"/>
            <w:vAlign w:val="bottom"/>
            <w:tcBorders>
              <w:bottom w:val="single" w:sz="8" w:color="CCEEFF"/>
            </w:tcBorders>
            <w:vMerge w:val="continue"/>
            <w:shd w:val="clear" w:color="auto" w:fill="CCEEFF"/>
          </w:tcPr>
          <w:p>
            <w:pPr>
              <w:spacing w:after="0"/>
              <w:rPr>
                <w:sz w:val="8"/>
                <w:szCs w:val="8"/>
                <w:color w:val="auto"/>
              </w:rPr>
            </w:pPr>
          </w:p>
        </w:tc>
        <w:tc>
          <w:tcPr>
            <w:tcW w:w="1680" w:type="dxa"/>
            <w:vAlign w:val="bottom"/>
            <w:tcBorders>
              <w:bottom w:val="single" w:sz="8" w:color="CCEEFF"/>
            </w:tcBorders>
            <w:vMerge w:val="continue"/>
            <w:shd w:val="clear" w:color="auto" w:fill="CCEEFF"/>
          </w:tcPr>
          <w:p>
            <w:pPr>
              <w:spacing w:after="0"/>
              <w:rPr>
                <w:sz w:val="8"/>
                <w:szCs w:val="8"/>
                <w:color w:val="auto"/>
              </w:rPr>
            </w:pPr>
          </w:p>
        </w:tc>
        <w:tc>
          <w:tcPr>
            <w:tcW w:w="11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rPr>
                <w:sz w:val="20"/>
                <w:szCs w:val="20"/>
                <w:color w:val="auto"/>
              </w:rPr>
            </w:pPr>
            <w:r>
              <w:rPr>
                <w:rFonts w:ascii="Arial" w:cs="Arial" w:eastAsia="Arial" w:hAnsi="Arial"/>
                <w:sz w:val="18"/>
                <w:szCs w:val="18"/>
                <w:color w:val="auto"/>
              </w:rPr>
              <w:t>Eliot Horowitz</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325,000</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5,469,665</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306,313</w:t>
            </w:r>
          </w:p>
        </w:tc>
        <w:tc>
          <w:tcPr>
            <w:tcW w:w="1680" w:type="dxa"/>
            <w:vAlign w:val="bottom"/>
          </w:tcPr>
          <w:p>
            <w:pPr>
              <w:jc w:val="center"/>
              <w:spacing w:after="0" w:line="228" w:lineRule="exact"/>
              <w:rPr>
                <w:sz w:val="20"/>
                <w:szCs w:val="20"/>
                <w:color w:val="auto"/>
              </w:rPr>
            </w:pPr>
            <w:r>
              <w:rPr>
                <w:rFonts w:ascii="Arial" w:cs="Arial" w:eastAsia="Arial" w:hAnsi="Arial"/>
                <w:sz w:val="18"/>
                <w:szCs w:val="18"/>
                <w:color w:val="auto"/>
                <w:w w:val="84"/>
              </w:rPr>
              <w:t>15,750</w:t>
            </w:r>
            <w:r>
              <w:rPr>
                <w:rFonts w:ascii="Arial" w:cs="Arial" w:eastAsia="Arial" w:hAnsi="Arial"/>
                <w:sz w:val="25"/>
                <w:szCs w:val="25"/>
                <w:color w:val="auto"/>
                <w:w w:val="84"/>
                <w:vertAlign w:val="superscript"/>
              </w:rPr>
              <w:t>(3)</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6,116,728</w:t>
            </w: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i w:val="1"/>
                <w:iCs w:val="1"/>
                <w:color w:val="auto"/>
                <w:w w:val="95"/>
              </w:rPr>
              <w:t>Chief Technology Officer and Co-</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325,000</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3,399,300</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238,713</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3,963,013</w:t>
            </w: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i w:val="1"/>
                <w:iCs w:val="1"/>
                <w:color w:val="auto"/>
              </w:rPr>
              <w:t>Founder</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2018</w:t>
            </w:r>
          </w:p>
        </w:tc>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9"/>
              </w:rPr>
              <w:t>325,000</w:t>
            </w: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92"/>
              </w:rPr>
              <w:t>146,550</w:t>
            </w: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ind w:right="10"/>
              <w:spacing w:after="0"/>
              <w:rPr>
                <w:sz w:val="20"/>
                <w:szCs w:val="20"/>
                <w:color w:val="auto"/>
              </w:rPr>
            </w:pPr>
            <w:r>
              <w:rPr>
                <w:rFonts w:ascii="Arial" w:cs="Arial" w:eastAsia="Arial" w:hAnsi="Arial"/>
                <w:sz w:val="18"/>
                <w:szCs w:val="18"/>
                <w:color w:val="auto"/>
              </w:rPr>
              <w:t>471,550</w:t>
            </w:r>
          </w:p>
        </w:tc>
        <w:tc>
          <w:tcPr>
            <w:tcW w:w="0" w:type="dxa"/>
            <w:vAlign w:val="bottom"/>
          </w:tcPr>
          <w:p>
            <w:pPr>
              <w:spacing w:after="0"/>
              <w:rPr>
                <w:sz w:val="1"/>
                <w:szCs w:val="1"/>
                <w:color w:val="auto"/>
              </w:rPr>
            </w:pPr>
          </w:p>
        </w:tc>
      </w:tr>
      <w:tr>
        <w:trPr>
          <w:trHeight w:val="94"/>
        </w:trPr>
        <w:tc>
          <w:tcPr>
            <w:tcW w:w="26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168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Michael Gordon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325,000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4,584,799</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306,313</w:t>
            </w:r>
          </w:p>
        </w:tc>
        <w:tc>
          <w:tcPr>
            <w:tcW w:w="1680" w:type="dxa"/>
            <w:vAlign w:val="bottom"/>
            <w:shd w:val="clear" w:color="auto" w:fill="CCEEFF"/>
          </w:tcPr>
          <w:p>
            <w:pPr>
              <w:jc w:val="center"/>
              <w:spacing w:after="0" w:line="228" w:lineRule="exact"/>
              <w:rPr>
                <w:sz w:val="20"/>
                <w:szCs w:val="20"/>
                <w:color w:val="auto"/>
              </w:rPr>
            </w:pPr>
            <w:r>
              <w:rPr>
                <w:rFonts w:ascii="Arial" w:cs="Arial" w:eastAsia="Arial" w:hAnsi="Arial"/>
                <w:sz w:val="18"/>
                <w:szCs w:val="18"/>
                <w:color w:val="auto"/>
                <w:w w:val="84"/>
              </w:rPr>
              <w:t>26,686</w:t>
            </w:r>
            <w:r>
              <w:rPr>
                <w:rFonts w:ascii="Arial" w:cs="Arial" w:eastAsia="Arial" w:hAnsi="Arial"/>
                <w:sz w:val="25"/>
                <w:szCs w:val="25"/>
                <w:color w:val="auto"/>
                <w:w w:val="84"/>
                <w:vertAlign w:val="superscript"/>
              </w:rPr>
              <w:t>(3)</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5,242,798</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w w:val="95"/>
              </w:rPr>
              <w:t>Chief Operating Officer and Chief</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325,000</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2,832,750</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238,713</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3,396,463</w:t>
            </w:r>
          </w:p>
        </w:tc>
        <w:tc>
          <w:tcPr>
            <w:tcW w:w="0" w:type="dxa"/>
            <w:vAlign w:val="bottom"/>
          </w:tcPr>
          <w:p>
            <w:pPr>
              <w:spacing w:after="0"/>
              <w:rPr>
                <w:sz w:val="1"/>
                <w:szCs w:val="1"/>
                <w:color w:val="auto"/>
              </w:rPr>
            </w:pPr>
          </w:p>
        </w:tc>
      </w:tr>
      <w:tr>
        <w:trPr>
          <w:trHeight w:val="230"/>
        </w:trPr>
        <w:tc>
          <w:tcPr>
            <w:tcW w:w="2600" w:type="dxa"/>
            <w:vAlign w:val="bottom"/>
            <w:shd w:val="clear" w:color="auto" w:fill="CCEEFF"/>
          </w:tcPr>
          <w:p>
            <w:pPr>
              <w:ind w:left="40"/>
              <w:spacing w:after="0"/>
              <w:rPr>
                <w:sz w:val="20"/>
                <w:szCs w:val="20"/>
                <w:color w:val="auto"/>
              </w:rPr>
            </w:pPr>
            <w:r>
              <w:rPr>
                <w:rFonts w:ascii="Arial" w:cs="Arial" w:eastAsia="Arial" w:hAnsi="Arial"/>
                <w:sz w:val="18"/>
                <w:szCs w:val="18"/>
                <w:i w:val="1"/>
                <w:iCs w:val="1"/>
                <w:color w:val="auto"/>
              </w:rPr>
              <w:t>Financial Officer</w:t>
            </w:r>
          </w:p>
        </w:tc>
        <w:tc>
          <w:tcPr>
            <w:tcW w:w="8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325,000</w:t>
            </w:r>
          </w:p>
        </w:tc>
        <w:tc>
          <w:tcPr>
            <w:tcW w:w="1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146,550</w:t>
            </w: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471,550</w:t>
            </w:r>
          </w:p>
        </w:tc>
        <w:tc>
          <w:tcPr>
            <w:tcW w:w="0" w:type="dxa"/>
            <w:vAlign w:val="bottom"/>
          </w:tcPr>
          <w:p>
            <w:pPr>
              <w:spacing w:after="0"/>
              <w:rPr>
                <w:sz w:val="1"/>
                <w:szCs w:val="1"/>
                <w:color w:val="auto"/>
              </w:rPr>
            </w:pPr>
          </w:p>
        </w:tc>
      </w:tr>
      <w:tr>
        <w:trPr>
          <w:trHeight w:val="101"/>
        </w:trPr>
        <w:tc>
          <w:tcPr>
            <w:tcW w:w="2600" w:type="dxa"/>
            <w:vAlign w:val="bottom"/>
            <w:tcBorders>
              <w:bottom w:val="single" w:sz="8" w:color="CCEEFF"/>
            </w:tcBorders>
            <w:shd w:val="clear" w:color="auto" w:fill="CCEEFF"/>
          </w:tcPr>
          <w:p>
            <w:pPr>
              <w:spacing w:after="0"/>
              <w:rPr>
                <w:sz w:val="8"/>
                <w:szCs w:val="8"/>
                <w:color w:val="auto"/>
              </w:rPr>
            </w:pPr>
          </w:p>
        </w:tc>
        <w:tc>
          <w:tcPr>
            <w:tcW w:w="800" w:type="dxa"/>
            <w:vAlign w:val="bottom"/>
            <w:tcBorders>
              <w:bottom w:val="single" w:sz="8" w:color="CCEEFF"/>
            </w:tcBorders>
            <w:vMerge w:val="continue"/>
            <w:shd w:val="clear" w:color="auto" w:fill="CCEEFF"/>
          </w:tcPr>
          <w:p>
            <w:pPr>
              <w:spacing w:after="0"/>
              <w:rPr>
                <w:sz w:val="8"/>
                <w:szCs w:val="8"/>
                <w:color w:val="auto"/>
              </w:rPr>
            </w:pPr>
          </w:p>
        </w:tc>
        <w:tc>
          <w:tcPr>
            <w:tcW w:w="1000" w:type="dxa"/>
            <w:vAlign w:val="bottom"/>
            <w:tcBorders>
              <w:bottom w:val="single" w:sz="8" w:color="CCEEFF"/>
            </w:tcBorders>
            <w:vMerge w:val="continue"/>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1060" w:type="dxa"/>
            <w:vAlign w:val="bottom"/>
            <w:tcBorders>
              <w:bottom w:val="single" w:sz="8" w:color="CCEEFF"/>
            </w:tcBorders>
            <w:vMerge w:val="continue"/>
            <w:shd w:val="clear" w:color="auto" w:fill="CCEEFF"/>
          </w:tcPr>
          <w:p>
            <w:pPr>
              <w:spacing w:after="0"/>
              <w:rPr>
                <w:sz w:val="8"/>
                <w:szCs w:val="8"/>
                <w:color w:val="auto"/>
              </w:rPr>
            </w:pPr>
          </w:p>
        </w:tc>
        <w:tc>
          <w:tcPr>
            <w:tcW w:w="1760" w:type="dxa"/>
            <w:vAlign w:val="bottom"/>
            <w:tcBorders>
              <w:bottom w:val="single" w:sz="8" w:color="CCEEFF"/>
            </w:tcBorders>
            <w:vMerge w:val="continue"/>
            <w:shd w:val="clear" w:color="auto" w:fill="CCEEFF"/>
          </w:tcPr>
          <w:p>
            <w:pPr>
              <w:spacing w:after="0"/>
              <w:rPr>
                <w:sz w:val="8"/>
                <w:szCs w:val="8"/>
                <w:color w:val="auto"/>
              </w:rPr>
            </w:pPr>
          </w:p>
        </w:tc>
        <w:tc>
          <w:tcPr>
            <w:tcW w:w="1680" w:type="dxa"/>
            <w:vAlign w:val="bottom"/>
            <w:tcBorders>
              <w:bottom w:val="single" w:sz="8" w:color="CCEEFF"/>
            </w:tcBorders>
            <w:vMerge w:val="continue"/>
            <w:shd w:val="clear" w:color="auto" w:fill="CCEEFF"/>
          </w:tcPr>
          <w:p>
            <w:pPr>
              <w:spacing w:after="0"/>
              <w:rPr>
                <w:sz w:val="8"/>
                <w:szCs w:val="8"/>
                <w:color w:val="auto"/>
              </w:rPr>
            </w:pPr>
          </w:p>
        </w:tc>
        <w:tc>
          <w:tcPr>
            <w:tcW w:w="11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600" w:type="dxa"/>
            <w:vAlign w:val="bottom"/>
          </w:tcPr>
          <w:p>
            <w:pPr>
              <w:ind w:left="40"/>
              <w:spacing w:after="0" w:line="228" w:lineRule="exact"/>
              <w:rPr>
                <w:sz w:val="20"/>
                <w:szCs w:val="20"/>
                <w:color w:val="auto"/>
              </w:rPr>
            </w:pPr>
            <w:r>
              <w:rPr>
                <w:rFonts w:ascii="Arial" w:cs="Arial" w:eastAsia="Arial" w:hAnsi="Arial"/>
                <w:sz w:val="18"/>
                <w:szCs w:val="18"/>
                <w:color w:val="auto"/>
              </w:rPr>
              <w:t>Cedric Pech</w:t>
            </w:r>
            <w:r>
              <w:rPr>
                <w:rFonts w:ascii="Arial" w:cs="Arial" w:eastAsia="Arial" w:hAnsi="Arial"/>
                <w:sz w:val="25"/>
                <w:szCs w:val="25"/>
                <w:color w:val="auto"/>
                <w:vertAlign w:val="superscript"/>
              </w:rPr>
              <w:t>(4)</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259,594</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2,227,342</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60" w:type="dxa"/>
            <w:vAlign w:val="bottom"/>
          </w:tcPr>
          <w:p>
            <w:pPr>
              <w:jc w:val="center"/>
              <w:spacing w:after="0"/>
              <w:rPr>
                <w:sz w:val="20"/>
                <w:szCs w:val="20"/>
                <w:color w:val="auto"/>
              </w:rPr>
            </w:pPr>
            <w:r>
              <w:rPr>
                <w:rFonts w:ascii="Arial" w:cs="Arial" w:eastAsia="Arial" w:hAnsi="Arial"/>
                <w:sz w:val="18"/>
                <w:szCs w:val="18"/>
                <w:color w:val="auto"/>
                <w:w w:val="92"/>
              </w:rPr>
              <w:t>462,336</w:t>
            </w:r>
          </w:p>
        </w:tc>
        <w:tc>
          <w:tcPr>
            <w:tcW w:w="1680" w:type="dxa"/>
            <w:vAlign w:val="bottom"/>
          </w:tcPr>
          <w:p>
            <w:pPr>
              <w:jc w:val="center"/>
              <w:spacing w:after="0" w:line="228" w:lineRule="exact"/>
              <w:rPr>
                <w:sz w:val="20"/>
                <w:szCs w:val="20"/>
                <w:color w:val="auto"/>
              </w:rPr>
            </w:pPr>
            <w:r>
              <w:rPr>
                <w:rFonts w:ascii="Arial" w:cs="Arial" w:eastAsia="Arial" w:hAnsi="Arial"/>
                <w:sz w:val="18"/>
                <w:szCs w:val="18"/>
                <w:color w:val="auto"/>
                <w:w w:val="84"/>
              </w:rPr>
              <w:t>107,569</w:t>
            </w:r>
            <w:r>
              <w:rPr>
                <w:rFonts w:ascii="Arial" w:cs="Arial" w:eastAsia="Arial" w:hAnsi="Arial"/>
                <w:sz w:val="25"/>
                <w:szCs w:val="25"/>
                <w:color w:val="auto"/>
                <w:w w:val="84"/>
                <w:vertAlign w:val="superscript"/>
              </w:rPr>
              <w:t>(5)</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3,056,841</w:t>
            </w:r>
          </w:p>
        </w:tc>
        <w:tc>
          <w:tcPr>
            <w:tcW w:w="0" w:type="dxa"/>
            <w:vAlign w:val="bottom"/>
          </w:tcPr>
          <w:p>
            <w:pPr>
              <w:spacing w:after="0"/>
              <w:rPr>
                <w:sz w:val="1"/>
                <w:szCs w:val="1"/>
                <w:color w:val="auto"/>
              </w:rPr>
            </w:pPr>
          </w:p>
        </w:tc>
      </w:tr>
      <w:tr>
        <w:trPr>
          <w:trHeight w:val="230"/>
        </w:trPr>
        <w:tc>
          <w:tcPr>
            <w:tcW w:w="2600" w:type="dxa"/>
            <w:vAlign w:val="bottom"/>
          </w:tcPr>
          <w:p>
            <w:pPr>
              <w:ind w:left="40"/>
              <w:spacing w:after="0"/>
              <w:rPr>
                <w:sz w:val="20"/>
                <w:szCs w:val="20"/>
                <w:color w:val="auto"/>
              </w:rPr>
            </w:pPr>
            <w:r>
              <w:rPr>
                <w:rFonts w:ascii="Arial" w:cs="Arial" w:eastAsia="Arial" w:hAnsi="Arial"/>
                <w:sz w:val="18"/>
                <w:szCs w:val="18"/>
                <w:i w:val="1"/>
                <w:iCs w:val="1"/>
                <w:color w:val="auto"/>
              </w:rPr>
              <w:t>Chief Revenue Officer</w:t>
            </w:r>
          </w:p>
        </w:tc>
        <w:tc>
          <w:tcPr>
            <w:tcW w:w="8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340" w:hanging="332"/>
        <w:spacing w:after="0" w:line="242"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4"/>
          <w:szCs w:val="14"/>
          <w:color w:val="auto"/>
        </w:rPr>
        <w:t>The amounts in this column represent the aggregate grant date fair value of RSUs issued under the 2016 Plan, calculated in accordance with ASC 718. Assumptions used in the calculation of such amounts are set forth in note 12 in the notes to our consolidated financial statements for the fiscal year ended January 31, 2020 included in our Annual Report. These amounts do not necessarily correspond to the actual value recognized or that may be recognized by the named executive officers.</w:t>
      </w:r>
    </w:p>
    <w:p>
      <w:pPr>
        <w:spacing w:after="0" w:line="141" w:lineRule="exact"/>
        <w:rPr>
          <w:rFonts w:ascii="Arial" w:cs="Arial" w:eastAsia="Arial" w:hAnsi="Arial"/>
          <w:sz w:val="25"/>
          <w:szCs w:val="25"/>
          <w:color w:val="auto"/>
          <w:vertAlign w:val="superscript"/>
        </w:rPr>
      </w:pPr>
    </w:p>
    <w:p>
      <w:pPr>
        <w:jc w:val="both"/>
        <w:ind w:left="340" w:hanging="332"/>
        <w:spacing w:after="0" w:line="275"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4"/>
          <w:szCs w:val="14"/>
          <w:color w:val="auto"/>
        </w:rPr>
        <w:t>For Messrs. Ittycheria, Horowitz and Gordon, represents annual performance-based cash bonus awards. The amounts reported represent performance-based cash bonus awards earned by each of these named executive officers based on the achievement of certain company goals and the individual's target bonus amount. Bonus awards are paid semi-annually, based on the achievement of the company objectives set at the beginning of the fiscal year. For Mr. Pech, represents annual sales variable compensation earned under our sales variable compensation plan. The amount reported represents compensation earned by Mr. Pech based on the achievement of corporate sales goals and his target bonus amount. Compensation was paid monthly, based on the achievement of sales targets set at the beginning of the fiscal year.</w:t>
      </w:r>
    </w:p>
    <w:p>
      <w:pPr>
        <w:spacing w:after="0" w:line="15"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4"/>
          <w:szCs w:val="14"/>
          <w:color w:val="auto"/>
        </w:rPr>
        <w:t>Represents expenses incurred by us related to a cybersecurity assessment and related services (“Cybersecurity Services”) at the executive’s personal residence.</w:t>
      </w:r>
    </w:p>
    <w:p>
      <w:pPr>
        <w:spacing w:after="0" w:line="141" w:lineRule="exact"/>
        <w:rPr>
          <w:rFonts w:ascii="Arial" w:cs="Arial" w:eastAsia="Arial" w:hAnsi="Arial"/>
          <w:sz w:val="25"/>
          <w:szCs w:val="25"/>
          <w:color w:val="auto"/>
          <w:vertAlign w:val="superscript"/>
        </w:rPr>
      </w:pPr>
    </w:p>
    <w:p>
      <w:pPr>
        <w:ind w:left="340" w:hanging="332"/>
        <w:spacing w:after="0" w:line="213"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4"/>
          <w:szCs w:val="14"/>
          <w:color w:val="auto"/>
        </w:rPr>
        <w:t>Mr. Pech became a named executive officer, effective February 11, 2019. The table includes his compensation for the entire fiscal year 2020. Mr. Pech’s cash compensation was paid in CHF and, for the purposes of the table, converted into U.S. dollars based on the exchange rate as of January 31, 2020 of 1.03 CHF to the U.S. dollar.</w:t>
      </w:r>
    </w:p>
    <w:p>
      <w:pPr>
        <w:spacing w:after="0" w:line="141" w:lineRule="exact"/>
        <w:rPr>
          <w:rFonts w:ascii="Arial" w:cs="Arial" w:eastAsia="Arial" w:hAnsi="Arial"/>
          <w:sz w:val="25"/>
          <w:szCs w:val="25"/>
          <w:color w:val="auto"/>
          <w:vertAlign w:val="superscript"/>
        </w:rPr>
      </w:pPr>
    </w:p>
    <w:p>
      <w:pPr>
        <w:ind w:left="340" w:hanging="332"/>
        <w:spacing w:after="0" w:line="213"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4"/>
          <w:szCs w:val="14"/>
          <w:color w:val="auto"/>
        </w:rPr>
        <w:t>Represents (a) a monthly housing and health coverage allowance of $37,377, (b) a onetime allowance of $45,872 to cover Mr. Pech’s housing expenses while he was temporarily working in New York and (c) $24,320 of expenses incurred by us for Cybersecurity Services at the executive’s personal residence.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319" w:right="3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CEO Pay Ratio</w:t>
      </w:r>
    </w:p>
    <w:p>
      <w:pPr>
        <w:spacing w:after="0" w:line="21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Pursuant to Item 402(u) of Regulation S-K and Section 953(b) of the Dodd-Frank Act, presented below is the ratio of annual total compensation of our Chief Executive Officer to the annual total compensation of our median employee (excluding our Chief Executive Officer).</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ratio presented below is a reasonable estimate calculated in a manner consistent with Item 402(u).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identified our median compensated employee from all full-time and part-time workers who were included as employees on our payroll records as of a determination date of December 1, 2019, based on base salary, bonuses, commissions, allowances and equity awards earned during fiscal year 2020. Conforming adjustments were made for employees who were hired during that period and did not receive pay for the full period, and international employees’ pay was converted to U.S. dollar equivalents using exchange rates as of the determination date.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fiscal year 2020 annual total compensation as determined under Item 402 of Regulation S-K for our Chief Executive Officer was $9,359,120, as reported in the Summary Compensation Table of this proxy statement. The fiscal year 2020 annual total compensation as determined under Item 402 of Regulation S-K for our median employee was $213,800. The ratio of our Chief Executive Officer’s annual total compensation to our median employee’s annual total compensation for fiscal year 2020 is 44 to 1.</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Grants of Plan-Based Awards</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information regarding each plan-based award granted to our named executive officers during the fiscal year ended January 31,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0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88"/>
              </w:rPr>
              <w:t>Estimated Possible Payouts Under</w:t>
            </w:r>
          </w:p>
        </w:tc>
        <w:tc>
          <w:tcPr>
            <w:tcW w:w="1800" w:type="dxa"/>
            <w:vAlign w:val="bottom"/>
          </w:tcPr>
          <w:p>
            <w:pPr>
              <w:jc w:val="center"/>
              <w:ind w:left="90"/>
              <w:spacing w:after="0"/>
              <w:rPr>
                <w:sz w:val="20"/>
                <w:szCs w:val="20"/>
                <w:color w:val="auto"/>
              </w:rPr>
            </w:pPr>
            <w:r>
              <w:rPr>
                <w:rFonts w:ascii="Arial" w:cs="Arial" w:eastAsia="Arial" w:hAnsi="Arial"/>
                <w:sz w:val="18"/>
                <w:szCs w:val="18"/>
                <w:b w:val="1"/>
                <w:bCs w:val="1"/>
                <w:color w:val="auto"/>
                <w:w w:val="93"/>
              </w:rPr>
              <w:t>All Other Stock</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3700" w:type="dxa"/>
            <w:vAlign w:val="bottom"/>
            <w:gridSpan w:val="3"/>
            <w:vMerge w:val="continue"/>
          </w:tcPr>
          <w:p>
            <w:pPr>
              <w:spacing w:after="0"/>
              <w:rPr>
                <w:sz w:val="5"/>
                <w:szCs w:val="5"/>
                <w:color w:val="auto"/>
              </w:rPr>
            </w:pPr>
          </w:p>
        </w:tc>
        <w:tc>
          <w:tcPr>
            <w:tcW w:w="180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93"/>
              </w:rPr>
              <w:t>Awards: Number</w:t>
            </w: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700" w:type="dxa"/>
            <w:vAlign w:val="bottom"/>
            <w:gridSpan w:val="3"/>
          </w:tcPr>
          <w:p>
            <w:pPr>
              <w:jc w:val="center"/>
              <w:spacing w:after="0" w:line="181" w:lineRule="exact"/>
              <w:rPr>
                <w:sz w:val="20"/>
                <w:szCs w:val="20"/>
                <w:color w:val="auto"/>
              </w:rPr>
            </w:pPr>
            <w:r>
              <w:rPr>
                <w:rFonts w:ascii="Arial" w:cs="Arial" w:eastAsia="Arial" w:hAnsi="Arial"/>
                <w:sz w:val="15"/>
                <w:szCs w:val="15"/>
                <w:b w:val="1"/>
                <w:bCs w:val="1"/>
                <w:color w:val="auto"/>
              </w:rPr>
              <w:t>Non-Equity Incentive Plan Awards</w:t>
            </w:r>
            <w:r>
              <w:rPr>
                <w:rFonts w:ascii="Arial" w:cs="Arial" w:eastAsia="Arial" w:hAnsi="Arial"/>
                <w:sz w:val="20"/>
                <w:szCs w:val="20"/>
                <w:b w:val="1"/>
                <w:bCs w:val="1"/>
                <w:color w:val="auto"/>
                <w:vertAlign w:val="superscript"/>
              </w:rPr>
              <w:t>(2)</w:t>
            </w:r>
          </w:p>
        </w:tc>
        <w:tc>
          <w:tcPr>
            <w:tcW w:w="180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800" w:type="dxa"/>
            <w:vAlign w:val="bottom"/>
            <w:vMerge w:val="restart"/>
          </w:tcPr>
          <w:p>
            <w:pPr>
              <w:jc w:val="center"/>
              <w:ind w:left="90"/>
              <w:spacing w:after="0" w:line="184" w:lineRule="exact"/>
              <w:rPr>
                <w:sz w:val="20"/>
                <w:szCs w:val="20"/>
                <w:color w:val="auto"/>
              </w:rPr>
            </w:pPr>
            <w:r>
              <w:rPr>
                <w:rFonts w:ascii="Arial" w:cs="Arial" w:eastAsia="Arial" w:hAnsi="Arial"/>
                <w:sz w:val="18"/>
                <w:szCs w:val="18"/>
                <w:b w:val="1"/>
                <w:bCs w:val="1"/>
                <w:color w:val="auto"/>
                <w:w w:val="87"/>
              </w:rPr>
              <w:t>of Shares of Stock</w:t>
            </w:r>
          </w:p>
        </w:tc>
        <w:tc>
          <w:tcPr>
            <w:tcW w:w="1540" w:type="dxa"/>
            <w:vAlign w:val="bottom"/>
            <w:vMerge w:val="restart"/>
          </w:tcPr>
          <w:p>
            <w:pPr>
              <w:jc w:val="center"/>
              <w:spacing w:after="0" w:line="184" w:lineRule="exact"/>
              <w:rPr>
                <w:sz w:val="20"/>
                <w:szCs w:val="20"/>
                <w:color w:val="auto"/>
              </w:rPr>
            </w:pPr>
            <w:r>
              <w:rPr>
                <w:rFonts w:ascii="Arial" w:cs="Arial" w:eastAsia="Arial" w:hAnsi="Arial"/>
                <w:sz w:val="18"/>
                <w:szCs w:val="18"/>
                <w:b w:val="1"/>
                <w:bCs w:val="1"/>
                <w:color w:val="auto"/>
                <w:w w:val="88"/>
              </w:rPr>
              <w:t>Value of Stock</w:t>
            </w:r>
          </w:p>
        </w:tc>
        <w:tc>
          <w:tcPr>
            <w:tcW w:w="0" w:type="dxa"/>
            <w:vAlign w:val="bottom"/>
          </w:tcPr>
          <w:p>
            <w:pPr>
              <w:spacing w:after="0"/>
              <w:rPr>
                <w:sz w:val="1"/>
                <w:szCs w:val="1"/>
                <w:color w:val="auto"/>
              </w:rPr>
            </w:pPr>
          </w:p>
        </w:tc>
      </w:tr>
      <w:tr>
        <w:trPr>
          <w:trHeight w:val="83"/>
        </w:trPr>
        <w:tc>
          <w:tcPr>
            <w:tcW w:w="14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8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Threshold</w:t>
            </w:r>
          </w:p>
        </w:tc>
        <w:tc>
          <w:tcPr>
            <w:tcW w:w="1220" w:type="dxa"/>
            <w:vAlign w:val="bottom"/>
          </w:tcPr>
          <w:p>
            <w:pPr>
              <w:ind w:left="300"/>
              <w:spacing w:after="0"/>
              <w:rPr>
                <w:sz w:val="20"/>
                <w:szCs w:val="20"/>
                <w:color w:val="auto"/>
              </w:rPr>
            </w:pPr>
            <w:r>
              <w:rPr>
                <w:rFonts w:ascii="Arial" w:cs="Arial" w:eastAsia="Arial" w:hAnsi="Arial"/>
                <w:sz w:val="18"/>
                <w:szCs w:val="18"/>
                <w:b w:val="1"/>
                <w:bCs w:val="1"/>
                <w:color w:val="auto"/>
              </w:rPr>
              <w:t>Target</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rPr>
              <w:t>Maximum</w:t>
            </w:r>
          </w:p>
        </w:tc>
        <w:tc>
          <w:tcPr>
            <w:tcW w:w="180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or Units</w:t>
            </w:r>
          </w:p>
        </w:tc>
        <w:tc>
          <w:tcPr>
            <w:tcW w:w="1540" w:type="dxa"/>
            <w:vAlign w:val="bottom"/>
          </w:tcPr>
          <w:p>
            <w:pPr>
              <w:jc w:val="center"/>
              <w:spacing w:after="0" w:line="216" w:lineRule="exact"/>
              <w:rPr>
                <w:sz w:val="20"/>
                <w:szCs w:val="20"/>
                <w:color w:val="auto"/>
              </w:rPr>
            </w:pPr>
            <w:r>
              <w:rPr>
                <w:rFonts w:ascii="Arial" w:cs="Arial" w:eastAsia="Arial" w:hAnsi="Arial"/>
                <w:sz w:val="18"/>
                <w:szCs w:val="18"/>
                <w:b w:val="1"/>
                <w:bCs w:val="1"/>
                <w:color w:val="auto"/>
                <w:w w:val="84"/>
              </w:rPr>
              <w:t>Awards</w:t>
            </w:r>
            <w:r>
              <w:rPr>
                <w:rFonts w:ascii="Arial" w:cs="Arial" w:eastAsia="Arial" w:hAnsi="Arial"/>
                <w:sz w:val="25"/>
                <w:szCs w:val="25"/>
                <w:b w:val="1"/>
                <w:bCs w:val="1"/>
                <w:color w:val="auto"/>
                <w:w w:val="84"/>
                <w:vertAlign w:val="superscript"/>
              </w:rPr>
              <w:t>(3)</w:t>
            </w:r>
          </w:p>
        </w:tc>
        <w:tc>
          <w:tcPr>
            <w:tcW w:w="0" w:type="dxa"/>
            <w:vAlign w:val="bottom"/>
          </w:tcPr>
          <w:p>
            <w:pPr>
              <w:spacing w:after="0"/>
              <w:rPr>
                <w:sz w:val="1"/>
                <w:szCs w:val="1"/>
                <w:color w:val="auto"/>
              </w:rPr>
            </w:pPr>
          </w:p>
        </w:tc>
      </w:tr>
      <w:tr>
        <w:trPr>
          <w:trHeight w:val="261"/>
        </w:trPr>
        <w:tc>
          <w:tcPr>
            <w:tcW w:w="148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Name</w:t>
            </w:r>
          </w:p>
        </w:tc>
        <w:tc>
          <w:tcPr>
            <w:tcW w:w="1300" w:type="dxa"/>
            <w:vAlign w:val="bottom"/>
            <w:tcBorders>
              <w:bottom w:val="single" w:sz="8" w:color="auto"/>
            </w:tcBorders>
          </w:tcPr>
          <w:p>
            <w:pPr>
              <w:ind w:left="60"/>
              <w:spacing w:after="0" w:line="262" w:lineRule="exact"/>
              <w:rPr>
                <w:sz w:val="20"/>
                <w:szCs w:val="20"/>
                <w:color w:val="auto"/>
              </w:rPr>
            </w:pPr>
            <w:r>
              <w:rPr>
                <w:rFonts w:ascii="Arial" w:cs="Arial" w:eastAsia="Arial" w:hAnsi="Arial"/>
                <w:sz w:val="18"/>
                <w:szCs w:val="18"/>
                <w:b w:val="1"/>
                <w:bCs w:val="1"/>
                <w:color w:val="auto"/>
              </w:rPr>
              <w:t>Grant Date</w:t>
            </w:r>
            <w:r>
              <w:rPr>
                <w:rFonts w:ascii="Arial" w:cs="Arial" w:eastAsia="Arial" w:hAnsi="Arial"/>
                <w:sz w:val="25"/>
                <w:szCs w:val="25"/>
                <w:b w:val="1"/>
                <w:bCs w:val="1"/>
                <w:color w:val="auto"/>
                <w:vertAlign w:val="superscript"/>
              </w:rPr>
              <w:t>(1)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Award Type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180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0" w:type="dxa"/>
            <w:vAlign w:val="bottom"/>
          </w:tcPr>
          <w:p>
            <w:pPr>
              <w:spacing w:after="0"/>
              <w:rPr>
                <w:sz w:val="1"/>
                <w:szCs w:val="1"/>
                <w:color w:val="auto"/>
              </w:rPr>
            </w:pPr>
          </w:p>
        </w:tc>
      </w:tr>
      <w:tr>
        <w:trPr>
          <w:trHeight w:val="237"/>
        </w:trPr>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Dev Ittycheria</w:t>
            </w: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Annual Cash</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140,000</w:t>
            </w:r>
          </w:p>
        </w:tc>
        <w:tc>
          <w:tcPr>
            <w:tcW w:w="12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280,000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420,000</w:t>
            </w:r>
          </w:p>
        </w:tc>
        <w:tc>
          <w:tcPr>
            <w:tcW w:w="18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14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3/18/2019</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RSU</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61,793</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8,526,198</w:t>
            </w:r>
          </w:p>
        </w:tc>
        <w:tc>
          <w:tcPr>
            <w:tcW w:w="0" w:type="dxa"/>
            <w:vAlign w:val="bottom"/>
          </w:tcPr>
          <w:p>
            <w:pPr>
              <w:spacing w:after="0"/>
              <w:rPr>
                <w:sz w:val="1"/>
                <w:szCs w:val="1"/>
                <w:color w:val="auto"/>
              </w:rPr>
            </w:pPr>
          </w:p>
        </w:tc>
      </w:tr>
      <w:tr>
        <w:trPr>
          <w:trHeight w:val="243"/>
        </w:trPr>
        <w:tc>
          <w:tcPr>
            <w:tcW w:w="1480" w:type="dxa"/>
            <w:vAlign w:val="bottom"/>
          </w:tcPr>
          <w:p>
            <w:pPr>
              <w:ind w:left="40"/>
              <w:spacing w:after="0"/>
              <w:rPr>
                <w:sz w:val="20"/>
                <w:szCs w:val="20"/>
                <w:color w:val="auto"/>
              </w:rPr>
            </w:pPr>
            <w:r>
              <w:rPr>
                <w:rFonts w:ascii="Arial" w:cs="Arial" w:eastAsia="Arial" w:hAnsi="Arial"/>
                <w:sz w:val="18"/>
                <w:szCs w:val="18"/>
                <w:color w:val="auto"/>
              </w:rPr>
              <w:t>Eliot Horowitz</w:t>
            </w: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Annual Cash</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105,625</w:t>
            </w: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89"/>
              </w:rPr>
              <w:t>211,250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316,875</w:t>
            </w:r>
          </w:p>
        </w:tc>
        <w:tc>
          <w:tcPr>
            <w:tcW w:w="180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2"/>
              </w:rPr>
              <w:t>3/18/2019</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RSU</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90"/>
              <w:spacing w:after="0"/>
              <w:rPr>
                <w:sz w:val="20"/>
                <w:szCs w:val="20"/>
                <w:color w:val="auto"/>
              </w:rPr>
            </w:pPr>
            <w:r>
              <w:rPr>
                <w:rFonts w:ascii="Arial" w:cs="Arial" w:eastAsia="Arial" w:hAnsi="Arial"/>
                <w:sz w:val="18"/>
                <w:szCs w:val="18"/>
                <w:color w:val="auto"/>
                <w:w w:val="90"/>
              </w:rPr>
              <w:t>39,641</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5,469,665</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Michael Gordon</w:t>
            </w:r>
          </w:p>
        </w:tc>
        <w:tc>
          <w:tcPr>
            <w:tcW w:w="130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Annual Cash</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105,625</w:t>
            </w:r>
          </w:p>
        </w:tc>
        <w:tc>
          <w:tcPr>
            <w:tcW w:w="122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9"/>
              </w:rPr>
              <w:t>211,250</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316,875</w:t>
            </w:r>
          </w:p>
        </w:tc>
        <w:tc>
          <w:tcPr>
            <w:tcW w:w="180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7"/>
        </w:trPr>
        <w:tc>
          <w:tcPr>
            <w:tcW w:w="14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3/18/2019</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RSU</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center"/>
              <w:ind w:left="90"/>
              <w:spacing w:after="0"/>
              <w:rPr>
                <w:sz w:val="20"/>
                <w:szCs w:val="20"/>
                <w:color w:val="auto"/>
              </w:rPr>
            </w:pPr>
            <w:r>
              <w:rPr>
                <w:rFonts w:ascii="Arial" w:cs="Arial" w:eastAsia="Arial" w:hAnsi="Arial"/>
                <w:sz w:val="18"/>
                <w:szCs w:val="18"/>
                <w:color w:val="auto"/>
                <w:w w:val="90"/>
              </w:rPr>
              <w:t>33,228</w:t>
            </w:r>
          </w:p>
        </w:tc>
        <w:tc>
          <w:tcPr>
            <w:tcW w:w="1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4,584,799</w:t>
            </w:r>
          </w:p>
        </w:tc>
        <w:tc>
          <w:tcPr>
            <w:tcW w:w="0" w:type="dxa"/>
            <w:vAlign w:val="bottom"/>
          </w:tcPr>
          <w:p>
            <w:pPr>
              <w:spacing w:after="0"/>
              <w:rPr>
                <w:sz w:val="1"/>
                <w:szCs w:val="1"/>
                <w:color w:val="auto"/>
              </w:rPr>
            </w:pPr>
          </w:p>
        </w:tc>
      </w:tr>
      <w:tr>
        <w:trPr>
          <w:trHeight w:val="283"/>
        </w:trPr>
        <w:tc>
          <w:tcPr>
            <w:tcW w:w="1480" w:type="dxa"/>
            <w:vAlign w:val="bottom"/>
          </w:tcPr>
          <w:p>
            <w:pPr>
              <w:ind w:left="40"/>
              <w:spacing w:after="0"/>
              <w:rPr>
                <w:sz w:val="20"/>
                <w:szCs w:val="20"/>
                <w:color w:val="auto"/>
              </w:rPr>
            </w:pPr>
            <w:r>
              <w:rPr>
                <w:rFonts w:ascii="Arial" w:cs="Arial" w:eastAsia="Arial" w:hAnsi="Arial"/>
                <w:sz w:val="18"/>
                <w:szCs w:val="18"/>
                <w:color w:val="auto"/>
              </w:rPr>
              <w:t>Cedric Pech</w:t>
            </w:r>
          </w:p>
        </w:tc>
        <w:tc>
          <w:tcPr>
            <w:tcW w:w="130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center"/>
              <w:spacing w:after="0"/>
              <w:rPr>
                <w:sz w:val="20"/>
                <w:szCs w:val="20"/>
                <w:color w:val="auto"/>
              </w:rPr>
            </w:pPr>
            <w:r>
              <w:rPr>
                <w:rFonts w:ascii="Arial" w:cs="Arial" w:eastAsia="Arial" w:hAnsi="Arial"/>
                <w:sz w:val="18"/>
                <w:szCs w:val="18"/>
                <w:color w:val="auto"/>
                <w:w w:val="91"/>
              </w:rPr>
              <w:t>Annual Cash</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right="30"/>
              <w:spacing w:after="0" w:line="282" w:lineRule="exact"/>
              <w:rPr>
                <w:sz w:val="20"/>
                <w:szCs w:val="20"/>
                <w:color w:val="auto"/>
              </w:rPr>
            </w:pPr>
            <w:r>
              <w:rPr>
                <w:rFonts w:ascii="Arial" w:cs="Arial" w:eastAsia="Arial" w:hAnsi="Arial"/>
                <w:sz w:val="18"/>
                <w:szCs w:val="18"/>
                <w:color w:val="auto"/>
                <w:w w:val="86"/>
              </w:rPr>
              <w:t>363,431</w:t>
            </w:r>
            <w:r>
              <w:rPr>
                <w:rFonts w:ascii="Arial" w:cs="Arial" w:eastAsia="Arial" w:hAnsi="Arial"/>
                <w:sz w:val="25"/>
                <w:szCs w:val="25"/>
                <w:color w:val="auto"/>
                <w:w w:val="86"/>
                <w:vertAlign w:val="superscript"/>
              </w:rPr>
              <w:t>(4)</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9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48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color w:val="auto"/>
                <w:w w:val="91"/>
              </w:rPr>
              <w:t>2/5/2019</w:t>
            </w: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RSU</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800" w:type="dxa"/>
            <w:vAlign w:val="bottom"/>
          </w:tcPr>
          <w:p>
            <w:pPr>
              <w:jc w:val="center"/>
              <w:ind w:left="90"/>
              <w:spacing w:after="0"/>
              <w:rPr>
                <w:sz w:val="20"/>
                <w:szCs w:val="20"/>
                <w:color w:val="auto"/>
              </w:rPr>
            </w:pPr>
            <w:r>
              <w:rPr>
                <w:rFonts w:ascii="Arial" w:cs="Arial" w:eastAsia="Arial" w:hAnsi="Arial"/>
                <w:sz w:val="18"/>
                <w:szCs w:val="18"/>
                <w:color w:val="auto"/>
                <w:w w:val="90"/>
              </w:rPr>
              <w:t>22,941</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2,227,342</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340" w:hanging="332"/>
        <w:spacing w:after="0" w:line="213"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4"/>
          <w:szCs w:val="14"/>
          <w:color w:val="auto"/>
        </w:rPr>
        <w:t>The RSUs granted to our named executive officers were granted on February 5, 2019 for Cedric Pech and on March 18, 2019 for the other named executive officers under the 2016 Plan (see “Outstanding Equity Awards at Fiscal Year-End” below).</w:t>
      </w:r>
    </w:p>
    <w:p>
      <w:pPr>
        <w:spacing w:after="0" w:line="141" w:lineRule="exact"/>
        <w:rPr>
          <w:rFonts w:ascii="Arial" w:cs="Arial" w:eastAsia="Arial" w:hAnsi="Arial"/>
          <w:sz w:val="25"/>
          <w:szCs w:val="25"/>
          <w:color w:val="auto"/>
          <w:vertAlign w:val="superscript"/>
        </w:rPr>
      </w:pPr>
    </w:p>
    <w:p>
      <w:pPr>
        <w:jc w:val="both"/>
        <w:ind w:left="340" w:hanging="332"/>
        <w:spacing w:after="0" w:line="263"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4"/>
          <w:szCs w:val="14"/>
          <w:color w:val="auto"/>
        </w:rPr>
        <w:t>For Messrs. Ittycheria, Horowitz and Gordon, the amounts represent the threshold (50%), target (100%) and maximum (150%) annual cash bonus award amounts under our fiscal year 2020 annual cash bonus plan. For Mr. Pech, our Chief Revenue Officer, the amount represents his target bonus amount under our sales variable compensation plan. Compensation for Mr. Pech was paid monthly, based on the achievement of corporate sales goals set by the compensation committee at the beginning of the fiscal year. Actual payouts are reported in the “Summary Compensation Table” in the “Non-Equity Incentive Plan Compensation” column.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319" w:right="3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39" w:lineRule="exact"/>
        <w:rPr>
          <w:sz w:val="20"/>
          <w:szCs w:val="20"/>
          <w:color w:val="auto"/>
        </w:rPr>
      </w:pPr>
    </w:p>
    <w:p>
      <w:pPr>
        <w:jc w:val="both"/>
        <w:ind w:left="340" w:hanging="332"/>
        <w:spacing w:after="0" w:line="242" w:lineRule="auto"/>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14"/>
          <w:szCs w:val="14"/>
          <w:color w:val="auto"/>
        </w:rPr>
        <w:t>For RSU awards, the grant date fair value was computed in accordance with ASC 718 based on the stock price at the grant date. The stock price at the grant date was based on the closing price per share of our Class A Common Stock on the grant date, as reported on Nasdaq as follows: February 5, 2019 ($97.09) and March 18, 2019 ($137.98). RSUs will vest in equal quarterly installments over four years.</w:t>
      </w:r>
    </w:p>
    <w:p>
      <w:pPr>
        <w:spacing w:after="0" w:line="141" w:lineRule="exact"/>
        <w:rPr>
          <w:rFonts w:ascii="Arial" w:cs="Arial" w:eastAsia="Arial" w:hAnsi="Arial"/>
          <w:sz w:val="25"/>
          <w:szCs w:val="25"/>
          <w:color w:val="auto"/>
          <w:vertAlign w:val="superscript"/>
        </w:rPr>
      </w:pPr>
    </w:p>
    <w:p>
      <w:pPr>
        <w:ind w:left="340" w:hanging="332"/>
        <w:spacing w:after="0" w:line="213" w:lineRule="auto"/>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14"/>
          <w:szCs w:val="14"/>
          <w:color w:val="auto"/>
        </w:rPr>
        <w:t>Mr. Pech’s cash bonus target is set and paid in CHF and, for the purposes of the table, converted into U.S. dollars based on the exchange rate as of January 31, 2020 of 1.03 CHF to the U.S. dollar.</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Outstanding Equity Awards at Fiscal Year-End</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information regarding outstanding equity awards held by our named executive officers as of January 31, 2020. All awards were granted under our 2008 Stock Plan (the “2008 Plan”) or the 2016 Plan.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ind w:left="820"/>
              <w:spacing w:after="0"/>
              <w:rPr>
                <w:sz w:val="20"/>
                <w:szCs w:val="20"/>
                <w:color w:val="auto"/>
              </w:rPr>
            </w:pPr>
            <w:r>
              <w:rPr>
                <w:rFonts w:ascii="Arial" w:cs="Arial" w:eastAsia="Arial" w:hAnsi="Arial"/>
                <w:sz w:val="15"/>
                <w:szCs w:val="15"/>
                <w:b w:val="1"/>
                <w:bCs w:val="1"/>
                <w:color w:val="auto"/>
              </w:rPr>
              <w:t>Option Awards</w:t>
            </w:r>
            <w:r>
              <w:rPr>
                <w:rFonts w:ascii="Arial" w:cs="Arial" w:eastAsia="Arial" w:hAnsi="Arial"/>
                <w:sz w:val="25"/>
                <w:szCs w:val="25"/>
                <w:b w:val="1"/>
                <w:bCs w:val="1"/>
                <w:color w:val="auto"/>
                <w:vertAlign w:val="superscript"/>
              </w:rPr>
              <w:t>(2)</w:t>
            </w:r>
          </w:p>
        </w:tc>
        <w:tc>
          <w:tcPr>
            <w:tcW w:w="1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tcBorders>
              <w:bottom w:val="single" w:sz="8" w:color="auto"/>
            </w:tcBorders>
            <w:gridSpan w:val="2"/>
          </w:tcPr>
          <w:p>
            <w:pPr>
              <w:ind w:left="900"/>
              <w:spacing w:after="0"/>
              <w:rPr>
                <w:sz w:val="20"/>
                <w:szCs w:val="20"/>
                <w:color w:val="auto"/>
              </w:rPr>
            </w:pPr>
            <w:r>
              <w:rPr>
                <w:rFonts w:ascii="Arial" w:cs="Arial" w:eastAsia="Arial" w:hAnsi="Arial"/>
                <w:sz w:val="15"/>
                <w:szCs w:val="15"/>
                <w:b w:val="1"/>
                <w:bCs w:val="1"/>
                <w:color w:val="auto"/>
              </w:rPr>
              <w:t>Stock Awards</w:t>
            </w:r>
          </w:p>
        </w:tc>
      </w:tr>
      <w:tr>
        <w:trPr>
          <w:trHeight w:val="165"/>
        </w:trPr>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3"/>
              </w:rPr>
              <w:t>Number of</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5"/>
              </w:rPr>
              <w:t>Number of</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6"/>
              </w:rPr>
              <w:t>Securities</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Securities</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4"/>
              </w:rPr>
              <w:t>Underlying</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2"/>
              </w:rPr>
              <w:t>Number of Shares</w:t>
            </w:r>
          </w:p>
        </w:tc>
        <w:tc>
          <w:tcPr>
            <w:tcW w:w="13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7"/>
              </w:rPr>
              <w:t>Market Value of</w:t>
            </w:r>
          </w:p>
        </w:tc>
      </w:tr>
      <w:tr>
        <w:trPr>
          <w:trHeight w:val="162"/>
        </w:trPr>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tcPr>
          <w:p>
            <w:pPr>
              <w:jc w:val="center"/>
              <w:ind w:left="4"/>
              <w:spacing w:after="0" w:line="162" w:lineRule="exact"/>
              <w:rPr>
                <w:sz w:val="20"/>
                <w:szCs w:val="20"/>
                <w:color w:val="auto"/>
              </w:rPr>
            </w:pPr>
            <w:r>
              <w:rPr>
                <w:rFonts w:ascii="Arial" w:cs="Arial" w:eastAsia="Arial" w:hAnsi="Arial"/>
                <w:sz w:val="15"/>
                <w:szCs w:val="15"/>
                <w:b w:val="1"/>
                <w:bCs w:val="1"/>
                <w:color w:val="auto"/>
                <w:w w:val="94"/>
              </w:rPr>
              <w:t>Underlying</w:t>
            </w: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7"/>
              </w:rPr>
              <w:t>Unexercised</w:t>
            </w: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or Units of Stock</w:t>
            </w:r>
          </w:p>
        </w:tc>
        <w:tc>
          <w:tcPr>
            <w:tcW w:w="132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89"/>
              </w:rPr>
              <w:t>Shares or Units of</w:t>
            </w:r>
          </w:p>
        </w:tc>
      </w:tr>
      <w:tr>
        <w:trPr>
          <w:trHeight w:val="160"/>
        </w:trPr>
        <w:tc>
          <w:tcPr>
            <w:tcW w:w="1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5"/>
              </w:rPr>
              <w:t>Award</w:t>
            </w:r>
          </w:p>
        </w:tc>
        <w:tc>
          <w:tcPr>
            <w:tcW w:w="134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89"/>
              </w:rPr>
              <w:t>Unexercised</w:t>
            </w:r>
          </w:p>
        </w:tc>
        <w:tc>
          <w:tcPr>
            <w:tcW w:w="136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3"/>
              </w:rPr>
              <w:t>Options (#)</w:t>
            </w:r>
          </w:p>
        </w:tc>
        <w:tc>
          <w:tcPr>
            <w:tcW w:w="134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1"/>
              </w:rPr>
              <w:t>Option Exercise</w:t>
            </w:r>
          </w:p>
        </w:tc>
        <w:tc>
          <w:tcPr>
            <w:tcW w:w="1460" w:type="dxa"/>
            <w:vAlign w:val="bottom"/>
            <w:gridSpan w:val="2"/>
          </w:tcPr>
          <w:p>
            <w:pPr>
              <w:jc w:val="center"/>
              <w:ind w:right="40"/>
              <w:spacing w:after="0" w:line="160" w:lineRule="exact"/>
              <w:rPr>
                <w:sz w:val="20"/>
                <w:szCs w:val="20"/>
                <w:color w:val="auto"/>
              </w:rPr>
            </w:pPr>
            <w:r>
              <w:rPr>
                <w:rFonts w:ascii="Arial" w:cs="Arial" w:eastAsia="Arial" w:hAnsi="Arial"/>
                <w:sz w:val="15"/>
                <w:szCs w:val="15"/>
                <w:b w:val="1"/>
                <w:bCs w:val="1"/>
                <w:color w:val="auto"/>
                <w:w w:val="96"/>
              </w:rPr>
              <w:t>Option Expiration</w:t>
            </w:r>
          </w:p>
        </w:tc>
        <w:tc>
          <w:tcPr>
            <w:tcW w:w="136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5"/>
              </w:rPr>
              <w:t>That Have Not</w:t>
            </w:r>
          </w:p>
        </w:tc>
        <w:tc>
          <w:tcPr>
            <w:tcW w:w="1320" w:type="dxa"/>
            <w:vAlign w:val="bottom"/>
          </w:tcPr>
          <w:p>
            <w:pPr>
              <w:jc w:val="center"/>
              <w:spacing w:after="0" w:line="160" w:lineRule="exact"/>
              <w:rPr>
                <w:sz w:val="20"/>
                <w:szCs w:val="20"/>
                <w:color w:val="auto"/>
              </w:rPr>
            </w:pPr>
            <w:r>
              <w:rPr>
                <w:rFonts w:ascii="Arial" w:cs="Arial" w:eastAsia="Arial" w:hAnsi="Arial"/>
                <w:sz w:val="15"/>
                <w:szCs w:val="15"/>
                <w:b w:val="1"/>
                <w:bCs w:val="1"/>
                <w:color w:val="auto"/>
                <w:w w:val="92"/>
              </w:rPr>
              <w:t>Stock That Have</w:t>
            </w:r>
          </w:p>
        </w:tc>
      </w:tr>
      <w:tr>
        <w:trPr>
          <w:trHeight w:val="209"/>
        </w:trPr>
        <w:tc>
          <w:tcPr>
            <w:tcW w:w="1240" w:type="dxa"/>
            <w:vAlign w:val="bottom"/>
          </w:tcPr>
          <w:p>
            <w:pPr>
              <w:ind w:left="440"/>
              <w:spacing w:after="0"/>
              <w:rPr>
                <w:sz w:val="20"/>
                <w:szCs w:val="20"/>
                <w:color w:val="auto"/>
              </w:rPr>
            </w:pPr>
            <w:r>
              <w:rPr>
                <w:rFonts w:ascii="Arial" w:cs="Arial" w:eastAsia="Arial" w:hAnsi="Arial"/>
                <w:sz w:val="15"/>
                <w:szCs w:val="15"/>
                <w:b w:val="1"/>
                <w:bCs w:val="1"/>
                <w:color w:val="auto"/>
              </w:rPr>
              <w:t>Name</w:t>
            </w:r>
          </w:p>
        </w:tc>
        <w:tc>
          <w:tcPr>
            <w:tcW w:w="1140" w:type="dxa"/>
            <w:vAlign w:val="bottom"/>
          </w:tcPr>
          <w:p>
            <w:pPr>
              <w:ind w:left="160"/>
              <w:spacing w:after="0" w:line="209" w:lineRule="exact"/>
              <w:rPr>
                <w:sz w:val="20"/>
                <w:szCs w:val="20"/>
                <w:color w:val="auto"/>
              </w:rPr>
            </w:pPr>
            <w:r>
              <w:rPr>
                <w:rFonts w:ascii="Arial" w:cs="Arial" w:eastAsia="Arial" w:hAnsi="Arial"/>
                <w:sz w:val="15"/>
                <w:szCs w:val="15"/>
                <w:b w:val="1"/>
                <w:bCs w:val="1"/>
                <w:color w:val="auto"/>
                <w:w w:val="99"/>
              </w:rPr>
              <w:t>Grant Date</w:t>
            </w:r>
            <w:r>
              <w:rPr>
                <w:rFonts w:ascii="Arial" w:cs="Arial" w:eastAsia="Arial" w:hAnsi="Arial"/>
                <w:sz w:val="24"/>
                <w:szCs w:val="24"/>
                <w:b w:val="1"/>
                <w:bCs w:val="1"/>
                <w:color w:val="auto"/>
                <w:w w:val="99"/>
                <w:vertAlign w:val="superscript"/>
              </w:rPr>
              <w:t>(1)</w:t>
            </w:r>
          </w:p>
        </w:tc>
        <w:tc>
          <w:tcPr>
            <w:tcW w:w="680" w:type="dxa"/>
            <w:vAlign w:val="bottom"/>
          </w:tcPr>
          <w:p>
            <w:pPr>
              <w:jc w:val="center"/>
              <w:spacing w:after="0"/>
              <w:rPr>
                <w:sz w:val="20"/>
                <w:szCs w:val="20"/>
                <w:color w:val="auto"/>
              </w:rPr>
            </w:pPr>
            <w:r>
              <w:rPr>
                <w:rFonts w:ascii="Arial" w:cs="Arial" w:eastAsia="Arial" w:hAnsi="Arial"/>
                <w:sz w:val="15"/>
                <w:szCs w:val="15"/>
                <w:b w:val="1"/>
                <w:bCs w:val="1"/>
                <w:color w:val="auto"/>
                <w:w w:val="91"/>
              </w:rPr>
              <w:t>Type</w:t>
            </w:r>
          </w:p>
        </w:tc>
        <w:tc>
          <w:tcPr>
            <w:tcW w:w="1340" w:type="dxa"/>
            <w:vAlign w:val="bottom"/>
          </w:tcPr>
          <w:p>
            <w:pPr>
              <w:jc w:val="center"/>
              <w:spacing w:after="0"/>
              <w:rPr>
                <w:sz w:val="20"/>
                <w:szCs w:val="20"/>
                <w:color w:val="auto"/>
              </w:rPr>
            </w:pPr>
            <w:r>
              <w:rPr>
                <w:rFonts w:ascii="Arial" w:cs="Arial" w:eastAsia="Arial" w:hAnsi="Arial"/>
                <w:sz w:val="15"/>
                <w:szCs w:val="15"/>
                <w:b w:val="1"/>
                <w:bCs w:val="1"/>
                <w:color w:val="auto"/>
                <w:w w:val="90"/>
              </w:rPr>
              <w:t>Options (#) Vested</w:t>
            </w:r>
          </w:p>
        </w:tc>
        <w:tc>
          <w:tcPr>
            <w:tcW w:w="1360" w:type="dxa"/>
            <w:vAlign w:val="bottom"/>
          </w:tcPr>
          <w:p>
            <w:pPr>
              <w:jc w:val="center"/>
              <w:spacing w:after="0" w:line="209" w:lineRule="exact"/>
              <w:rPr>
                <w:sz w:val="20"/>
                <w:szCs w:val="20"/>
                <w:color w:val="auto"/>
              </w:rPr>
            </w:pPr>
            <w:r>
              <w:rPr>
                <w:rFonts w:ascii="Arial" w:cs="Arial" w:eastAsia="Arial" w:hAnsi="Arial"/>
                <w:sz w:val="15"/>
                <w:szCs w:val="15"/>
                <w:b w:val="1"/>
                <w:bCs w:val="1"/>
                <w:color w:val="auto"/>
                <w:w w:val="84"/>
              </w:rPr>
              <w:t>Unvested</w:t>
            </w:r>
            <w:r>
              <w:rPr>
                <w:rFonts w:ascii="Arial" w:cs="Arial" w:eastAsia="Arial" w:hAnsi="Arial"/>
                <w:sz w:val="24"/>
                <w:szCs w:val="24"/>
                <w:b w:val="1"/>
                <w:bCs w:val="1"/>
                <w:color w:val="auto"/>
                <w:w w:val="84"/>
                <w:vertAlign w:val="superscript"/>
              </w:rPr>
              <w:t>(3)(4)</w:t>
            </w:r>
          </w:p>
        </w:tc>
        <w:tc>
          <w:tcPr>
            <w:tcW w:w="1340" w:type="dxa"/>
            <w:vAlign w:val="bottom"/>
          </w:tcPr>
          <w:p>
            <w:pPr>
              <w:jc w:val="center"/>
              <w:spacing w:after="0" w:line="209" w:lineRule="exact"/>
              <w:rPr>
                <w:sz w:val="20"/>
                <w:szCs w:val="20"/>
                <w:color w:val="auto"/>
              </w:rPr>
            </w:pPr>
            <w:r>
              <w:rPr>
                <w:rFonts w:ascii="Arial" w:cs="Arial" w:eastAsia="Arial" w:hAnsi="Arial"/>
                <w:sz w:val="15"/>
                <w:szCs w:val="15"/>
                <w:b w:val="1"/>
                <w:bCs w:val="1"/>
                <w:color w:val="auto"/>
                <w:w w:val="91"/>
              </w:rPr>
              <w:t>Price ($)</w:t>
            </w:r>
            <w:r>
              <w:rPr>
                <w:rFonts w:ascii="Arial" w:cs="Arial" w:eastAsia="Arial" w:hAnsi="Arial"/>
                <w:sz w:val="24"/>
                <w:szCs w:val="24"/>
                <w:b w:val="1"/>
                <w:bCs w:val="1"/>
                <w:color w:val="auto"/>
                <w:w w:val="91"/>
                <w:vertAlign w:val="superscript"/>
              </w:rPr>
              <w:t>(1)</w:t>
            </w:r>
          </w:p>
        </w:tc>
        <w:tc>
          <w:tcPr>
            <w:tcW w:w="146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2"/>
              </w:rPr>
              <w:t>Date</w:t>
            </w:r>
          </w:p>
        </w:tc>
        <w:tc>
          <w:tcPr>
            <w:tcW w:w="1360" w:type="dxa"/>
            <w:vAlign w:val="bottom"/>
          </w:tcPr>
          <w:p>
            <w:pPr>
              <w:jc w:val="center"/>
              <w:spacing w:after="0" w:line="209" w:lineRule="exact"/>
              <w:rPr>
                <w:sz w:val="20"/>
                <w:szCs w:val="20"/>
                <w:color w:val="auto"/>
              </w:rPr>
            </w:pPr>
            <w:r>
              <w:rPr>
                <w:rFonts w:ascii="Arial" w:cs="Arial" w:eastAsia="Arial" w:hAnsi="Arial"/>
                <w:sz w:val="15"/>
                <w:szCs w:val="15"/>
                <w:b w:val="1"/>
                <w:bCs w:val="1"/>
                <w:color w:val="auto"/>
                <w:w w:val="87"/>
              </w:rPr>
              <w:t>Vested</w:t>
            </w:r>
            <w:r>
              <w:rPr>
                <w:rFonts w:ascii="Arial" w:cs="Arial" w:eastAsia="Arial" w:hAnsi="Arial"/>
                <w:sz w:val="24"/>
                <w:szCs w:val="24"/>
                <w:b w:val="1"/>
                <w:bCs w:val="1"/>
                <w:color w:val="auto"/>
                <w:w w:val="87"/>
                <w:vertAlign w:val="superscript"/>
              </w:rPr>
              <w:t>(5)</w:t>
            </w:r>
            <w:r>
              <w:rPr>
                <w:rFonts w:ascii="Arial" w:cs="Arial" w:eastAsia="Arial" w:hAnsi="Arial"/>
                <w:sz w:val="15"/>
                <w:szCs w:val="15"/>
                <w:b w:val="1"/>
                <w:bCs w:val="1"/>
                <w:color w:val="auto"/>
                <w:w w:val="87"/>
              </w:rPr>
              <w:t xml:space="preserve"> (#)</w:t>
            </w:r>
          </w:p>
        </w:tc>
        <w:tc>
          <w:tcPr>
            <w:tcW w:w="1320" w:type="dxa"/>
            <w:vAlign w:val="bottom"/>
          </w:tcPr>
          <w:p>
            <w:pPr>
              <w:jc w:val="center"/>
              <w:spacing w:after="0" w:line="209" w:lineRule="exact"/>
              <w:rPr>
                <w:sz w:val="20"/>
                <w:szCs w:val="20"/>
                <w:color w:val="auto"/>
              </w:rPr>
            </w:pPr>
            <w:r>
              <w:rPr>
                <w:rFonts w:ascii="Arial" w:cs="Arial" w:eastAsia="Arial" w:hAnsi="Arial"/>
                <w:sz w:val="15"/>
                <w:szCs w:val="15"/>
                <w:b w:val="1"/>
                <w:bCs w:val="1"/>
                <w:color w:val="auto"/>
                <w:w w:val="85"/>
              </w:rPr>
              <w:t>Not Vested</w:t>
            </w:r>
            <w:r>
              <w:rPr>
                <w:rFonts w:ascii="Arial" w:cs="Arial" w:eastAsia="Arial" w:hAnsi="Arial"/>
                <w:sz w:val="24"/>
                <w:szCs w:val="24"/>
                <w:b w:val="1"/>
                <w:bCs w:val="1"/>
                <w:color w:val="auto"/>
                <w:w w:val="85"/>
                <w:vertAlign w:val="superscript"/>
              </w:rPr>
              <w:t>(6)(7)</w:t>
            </w:r>
            <w:r>
              <w:rPr>
                <w:rFonts w:ascii="Arial" w:cs="Arial" w:eastAsia="Arial" w:hAnsi="Arial"/>
                <w:sz w:val="15"/>
                <w:szCs w:val="15"/>
                <w:b w:val="1"/>
                <w:bCs w:val="1"/>
                <w:color w:val="auto"/>
                <w:w w:val="85"/>
              </w:rPr>
              <w:t xml:space="preserve"> ($)</w:t>
            </w:r>
          </w:p>
        </w:tc>
      </w:tr>
      <w:tr>
        <w:trPr>
          <w:trHeight w:val="250"/>
        </w:trPr>
        <w:tc>
          <w:tcPr>
            <w:tcW w:w="1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Dev Ittycheria</w:t>
            </w: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2"/>
              </w:rPr>
              <w:t>9/12/2014</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2"/>
              </w:rPr>
              <w:t>ISO</w:t>
            </w:r>
          </w:p>
        </w:tc>
        <w:tc>
          <w:tcPr>
            <w:tcW w:w="1340" w:type="dxa"/>
            <w:vAlign w:val="bottom"/>
            <w:tcBorders>
              <w:top w:val="single" w:sz="8" w:color="auto"/>
            </w:tcBorders>
            <w:shd w:val="clear" w:color="auto" w:fill="CCEEFF"/>
          </w:tcPr>
          <w:p>
            <w:pPr>
              <w:jc w:val="center"/>
              <w:spacing w:after="0" w:line="250" w:lineRule="exact"/>
              <w:rPr>
                <w:sz w:val="20"/>
                <w:szCs w:val="20"/>
                <w:color w:val="auto"/>
              </w:rPr>
            </w:pPr>
            <w:r>
              <w:rPr>
                <w:rFonts w:ascii="Arial" w:cs="Arial" w:eastAsia="Arial" w:hAnsi="Arial"/>
                <w:sz w:val="15"/>
                <w:szCs w:val="15"/>
                <w:color w:val="auto"/>
                <w:w w:val="87"/>
              </w:rPr>
              <w:t>63,855</w:t>
            </w:r>
            <w:r>
              <w:rPr>
                <w:rFonts w:ascii="Arial" w:cs="Arial" w:eastAsia="Arial" w:hAnsi="Arial"/>
                <w:sz w:val="25"/>
                <w:szCs w:val="25"/>
                <w:color w:val="auto"/>
                <w:w w:val="87"/>
                <w:vertAlign w:val="superscript"/>
              </w:rPr>
              <w:t>(8)</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6.50</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2"/>
              </w:rPr>
              <w:t>9/12/2024</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235"/>
        </w:trPr>
        <w:tc>
          <w:tcPr>
            <w:tcW w:w="124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9/12/2014</w:t>
            </w:r>
          </w:p>
        </w:tc>
        <w:tc>
          <w:tcPr>
            <w:tcW w:w="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NQ</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1,219,181</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6.50</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9/12/2024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270"/>
        </w:trPr>
        <w:tc>
          <w:tcPr>
            <w:tcW w:w="124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9/12/2014</w:t>
            </w:r>
          </w:p>
        </w:tc>
        <w:tc>
          <w:tcPr>
            <w:tcW w:w="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NQ</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200,000</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6.50</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9/12/2024</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305"/>
        </w:trPr>
        <w:tc>
          <w:tcPr>
            <w:tcW w:w="124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4/13/2016</w:t>
            </w:r>
          </w:p>
        </w:tc>
        <w:tc>
          <w:tcPr>
            <w:tcW w:w="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NQ</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437,500</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5"/>
              </w:rPr>
              <w:t>312,500</w:t>
            </w:r>
            <w:r>
              <w:rPr>
                <w:rFonts w:ascii="Arial" w:cs="Arial" w:eastAsia="Arial" w:hAnsi="Arial"/>
                <w:sz w:val="25"/>
                <w:szCs w:val="25"/>
                <w:color w:val="auto"/>
                <w:w w:val="85"/>
                <w:vertAlign w:val="superscript"/>
              </w:rPr>
              <w:t>(9)</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6.50</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4/13/2026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235"/>
        </w:trPr>
        <w:tc>
          <w:tcPr>
            <w:tcW w:w="124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4/20/2018</w:t>
            </w:r>
          </w:p>
        </w:tc>
        <w:tc>
          <w:tcPr>
            <w:tcW w:w="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RSU</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105,000</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17,210,550</w:t>
            </w:r>
          </w:p>
        </w:tc>
      </w:tr>
      <w:tr>
        <w:trPr>
          <w:trHeight w:val="285"/>
        </w:trPr>
        <w:tc>
          <w:tcPr>
            <w:tcW w:w="1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2"/>
              </w:rPr>
              <w:t>3/18/2019</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4"/>
              </w:rPr>
              <w:t>RSU</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1"/>
              </w:rPr>
              <w:t>50,207</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2"/>
              </w:rPr>
              <w:t>8,229,429</w:t>
            </w:r>
          </w:p>
        </w:tc>
      </w:tr>
      <w:tr>
        <w:trPr>
          <w:trHeight w:val="235"/>
        </w:trPr>
        <w:tc>
          <w:tcPr>
            <w:tcW w:w="1240" w:type="dxa"/>
            <w:vAlign w:val="bottom"/>
          </w:tcPr>
          <w:p>
            <w:pPr>
              <w:ind w:left="40"/>
              <w:spacing w:after="0"/>
              <w:rPr>
                <w:sz w:val="20"/>
                <w:szCs w:val="20"/>
                <w:color w:val="auto"/>
              </w:rPr>
            </w:pPr>
            <w:r>
              <w:rPr>
                <w:rFonts w:ascii="Arial" w:cs="Arial" w:eastAsia="Arial" w:hAnsi="Arial"/>
                <w:sz w:val="15"/>
                <w:szCs w:val="15"/>
                <w:color w:val="auto"/>
              </w:rPr>
              <w:t>Eliot Horowitz</w:t>
            </w:r>
          </w:p>
        </w:tc>
        <w:tc>
          <w:tcPr>
            <w:tcW w:w="1140" w:type="dxa"/>
            <w:vAlign w:val="bottom"/>
          </w:tcPr>
          <w:p>
            <w:pPr>
              <w:jc w:val="center"/>
              <w:spacing w:after="0"/>
              <w:rPr>
                <w:sz w:val="20"/>
                <w:szCs w:val="20"/>
                <w:color w:val="auto"/>
              </w:rPr>
            </w:pPr>
            <w:r>
              <w:rPr>
                <w:rFonts w:ascii="Arial" w:cs="Arial" w:eastAsia="Arial" w:hAnsi="Arial"/>
                <w:sz w:val="15"/>
                <w:szCs w:val="15"/>
                <w:color w:val="auto"/>
                <w:w w:val="92"/>
              </w:rPr>
              <w:t>3/7/2013</w:t>
            </w:r>
          </w:p>
        </w:tc>
        <w:tc>
          <w:tcPr>
            <w:tcW w:w="680" w:type="dxa"/>
            <w:vAlign w:val="bottom"/>
          </w:tcPr>
          <w:p>
            <w:pPr>
              <w:jc w:val="center"/>
              <w:spacing w:after="0"/>
              <w:rPr>
                <w:sz w:val="20"/>
                <w:szCs w:val="20"/>
                <w:color w:val="auto"/>
              </w:rPr>
            </w:pPr>
            <w:r>
              <w:rPr>
                <w:rFonts w:ascii="Arial" w:cs="Arial" w:eastAsia="Arial" w:hAnsi="Arial"/>
                <w:sz w:val="15"/>
                <w:szCs w:val="15"/>
                <w:color w:val="auto"/>
                <w:w w:val="97"/>
              </w:rPr>
              <w:t>NQ</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225,000</w:t>
            </w:r>
          </w:p>
        </w:tc>
        <w:tc>
          <w:tcPr>
            <w:tcW w:w="1360" w:type="dxa"/>
            <w:vAlign w:val="bottom"/>
          </w:tcPr>
          <w:p>
            <w:pPr>
              <w:jc w:val="center"/>
              <w:spacing w:after="0"/>
              <w:rPr>
                <w:sz w:val="20"/>
                <w:szCs w:val="20"/>
                <w:color w:val="auto"/>
              </w:rPr>
            </w:pPr>
            <w:r>
              <w:rPr>
                <w:rFonts w:ascii="Arial" w:cs="Arial" w:eastAsia="Arial" w:hAnsi="Arial"/>
                <w:sz w:val="15"/>
                <w:szCs w:val="15"/>
                <w:color w:val="auto"/>
              </w:rPr>
              <w:t>—</w:t>
            </w:r>
          </w:p>
        </w:tc>
        <w:tc>
          <w:tcPr>
            <w:tcW w:w="1340" w:type="dxa"/>
            <w:vAlign w:val="bottom"/>
          </w:tcPr>
          <w:p>
            <w:pPr>
              <w:jc w:val="center"/>
              <w:spacing w:after="0"/>
              <w:rPr>
                <w:sz w:val="20"/>
                <w:szCs w:val="20"/>
                <w:color w:val="auto"/>
              </w:rPr>
            </w:pPr>
            <w:r>
              <w:rPr>
                <w:rFonts w:ascii="Arial" w:cs="Arial" w:eastAsia="Arial" w:hAnsi="Arial"/>
                <w:sz w:val="15"/>
                <w:szCs w:val="15"/>
                <w:color w:val="auto"/>
                <w:w w:val="88"/>
              </w:rPr>
              <w:t>5.72</w:t>
            </w:r>
          </w:p>
        </w:tc>
        <w:tc>
          <w:tcPr>
            <w:tcW w:w="1360" w:type="dxa"/>
            <w:vAlign w:val="bottom"/>
          </w:tcPr>
          <w:p>
            <w:pPr>
              <w:jc w:val="center"/>
              <w:spacing w:after="0"/>
              <w:rPr>
                <w:sz w:val="20"/>
                <w:szCs w:val="20"/>
                <w:color w:val="auto"/>
              </w:rPr>
            </w:pPr>
            <w:r>
              <w:rPr>
                <w:rFonts w:ascii="Arial" w:cs="Arial" w:eastAsia="Arial" w:hAnsi="Arial"/>
                <w:sz w:val="15"/>
                <w:szCs w:val="15"/>
                <w:color w:val="auto"/>
                <w:w w:val="92"/>
              </w:rPr>
              <w:t>3/7/2023</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w:t>
            </w:r>
          </w:p>
        </w:tc>
        <w:tc>
          <w:tcPr>
            <w:tcW w:w="1320" w:type="dxa"/>
            <w:vAlign w:val="bottom"/>
          </w:tcPr>
          <w:p>
            <w:pPr>
              <w:jc w:val="center"/>
              <w:spacing w:after="0"/>
              <w:rPr>
                <w:sz w:val="20"/>
                <w:szCs w:val="20"/>
                <w:color w:val="auto"/>
              </w:rPr>
            </w:pPr>
            <w:r>
              <w:rPr>
                <w:rFonts w:ascii="Arial" w:cs="Arial" w:eastAsia="Arial" w:hAnsi="Arial"/>
                <w:sz w:val="15"/>
                <w:szCs w:val="15"/>
                <w:color w:val="auto"/>
                <w:w w:val="93"/>
              </w:rPr>
              <w:t>—</w:t>
            </w:r>
          </w:p>
        </w:tc>
      </w:tr>
      <w:tr>
        <w:trPr>
          <w:trHeight w:val="270"/>
        </w:trPr>
        <w:tc>
          <w:tcPr>
            <w:tcW w:w="12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2"/>
              </w:rPr>
              <w:t>4/22/2015</w:t>
            </w:r>
          </w:p>
        </w:tc>
        <w:tc>
          <w:tcPr>
            <w:tcW w:w="680" w:type="dxa"/>
            <w:vAlign w:val="bottom"/>
          </w:tcPr>
          <w:p>
            <w:pPr>
              <w:jc w:val="center"/>
              <w:spacing w:after="0"/>
              <w:rPr>
                <w:sz w:val="20"/>
                <w:szCs w:val="20"/>
                <w:color w:val="auto"/>
              </w:rPr>
            </w:pPr>
            <w:r>
              <w:rPr>
                <w:rFonts w:ascii="Arial" w:cs="Arial" w:eastAsia="Arial" w:hAnsi="Arial"/>
                <w:sz w:val="15"/>
                <w:szCs w:val="15"/>
                <w:color w:val="auto"/>
                <w:w w:val="97"/>
              </w:rPr>
              <w:t>NQ</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100,000</w:t>
            </w:r>
          </w:p>
        </w:tc>
        <w:tc>
          <w:tcPr>
            <w:tcW w:w="1360" w:type="dxa"/>
            <w:vAlign w:val="bottom"/>
          </w:tcPr>
          <w:p>
            <w:pPr>
              <w:jc w:val="center"/>
              <w:spacing w:after="0"/>
              <w:rPr>
                <w:sz w:val="20"/>
                <w:szCs w:val="20"/>
                <w:color w:val="auto"/>
              </w:rPr>
            </w:pPr>
            <w:r>
              <w:rPr>
                <w:rFonts w:ascii="Arial" w:cs="Arial" w:eastAsia="Arial" w:hAnsi="Arial"/>
                <w:sz w:val="15"/>
                <w:szCs w:val="15"/>
                <w:color w:val="auto"/>
              </w:rPr>
              <w:t>—</w:t>
            </w:r>
          </w:p>
        </w:tc>
        <w:tc>
          <w:tcPr>
            <w:tcW w:w="1340" w:type="dxa"/>
            <w:vAlign w:val="bottom"/>
          </w:tcPr>
          <w:p>
            <w:pPr>
              <w:jc w:val="center"/>
              <w:spacing w:after="0"/>
              <w:rPr>
                <w:sz w:val="20"/>
                <w:szCs w:val="20"/>
                <w:color w:val="auto"/>
              </w:rPr>
            </w:pPr>
            <w:r>
              <w:rPr>
                <w:rFonts w:ascii="Arial" w:cs="Arial" w:eastAsia="Arial" w:hAnsi="Arial"/>
                <w:sz w:val="15"/>
                <w:szCs w:val="15"/>
                <w:color w:val="auto"/>
                <w:w w:val="88"/>
              </w:rPr>
              <w:t>6.50</w:t>
            </w:r>
          </w:p>
        </w:tc>
        <w:tc>
          <w:tcPr>
            <w:tcW w:w="1360" w:type="dxa"/>
            <w:vAlign w:val="bottom"/>
          </w:tcPr>
          <w:p>
            <w:pPr>
              <w:jc w:val="center"/>
              <w:spacing w:after="0"/>
              <w:rPr>
                <w:sz w:val="20"/>
                <w:szCs w:val="20"/>
                <w:color w:val="auto"/>
              </w:rPr>
            </w:pPr>
            <w:r>
              <w:rPr>
                <w:rFonts w:ascii="Arial" w:cs="Arial" w:eastAsia="Arial" w:hAnsi="Arial"/>
                <w:sz w:val="15"/>
                <w:szCs w:val="15"/>
                <w:color w:val="auto"/>
                <w:w w:val="92"/>
              </w:rPr>
              <w:t>4/22/2025</w:t>
            </w:r>
          </w:p>
        </w:tc>
        <w:tc>
          <w:tcPr>
            <w:tcW w:w="10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w:t>
            </w:r>
          </w:p>
        </w:tc>
        <w:tc>
          <w:tcPr>
            <w:tcW w:w="1320" w:type="dxa"/>
            <w:vAlign w:val="bottom"/>
          </w:tcPr>
          <w:p>
            <w:pPr>
              <w:jc w:val="center"/>
              <w:spacing w:after="0"/>
              <w:rPr>
                <w:sz w:val="20"/>
                <w:szCs w:val="20"/>
                <w:color w:val="auto"/>
              </w:rPr>
            </w:pPr>
            <w:r>
              <w:rPr>
                <w:rFonts w:ascii="Arial" w:cs="Arial" w:eastAsia="Arial" w:hAnsi="Arial"/>
                <w:sz w:val="15"/>
                <w:szCs w:val="15"/>
                <w:color w:val="auto"/>
                <w:w w:val="93"/>
              </w:rPr>
              <w:t>—</w:t>
            </w:r>
          </w:p>
        </w:tc>
      </w:tr>
      <w:tr>
        <w:trPr>
          <w:trHeight w:val="346"/>
        </w:trPr>
        <w:tc>
          <w:tcPr>
            <w:tcW w:w="124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2"/>
              </w:rPr>
              <w:t>4/13/2016</w:t>
            </w:r>
          </w:p>
        </w:tc>
        <w:tc>
          <w:tcPr>
            <w:tcW w:w="680" w:type="dxa"/>
            <w:vAlign w:val="bottom"/>
          </w:tcPr>
          <w:p>
            <w:pPr>
              <w:jc w:val="center"/>
              <w:spacing w:after="0"/>
              <w:rPr>
                <w:sz w:val="20"/>
                <w:szCs w:val="20"/>
                <w:color w:val="auto"/>
              </w:rPr>
            </w:pPr>
            <w:r>
              <w:rPr>
                <w:rFonts w:ascii="Arial" w:cs="Arial" w:eastAsia="Arial" w:hAnsi="Arial"/>
                <w:sz w:val="15"/>
                <w:szCs w:val="15"/>
                <w:color w:val="auto"/>
                <w:w w:val="97"/>
              </w:rPr>
              <w:t>NQ</w:t>
            </w:r>
          </w:p>
        </w:tc>
        <w:tc>
          <w:tcPr>
            <w:tcW w:w="1340" w:type="dxa"/>
            <w:vAlign w:val="bottom"/>
          </w:tcPr>
          <w:p>
            <w:pPr>
              <w:jc w:val="center"/>
              <w:spacing w:after="0"/>
              <w:rPr>
                <w:sz w:val="20"/>
                <w:szCs w:val="20"/>
                <w:color w:val="auto"/>
              </w:rPr>
            </w:pPr>
            <w:r>
              <w:rPr>
                <w:rFonts w:ascii="Arial" w:cs="Arial" w:eastAsia="Arial" w:hAnsi="Arial"/>
                <w:sz w:val="15"/>
                <w:szCs w:val="15"/>
                <w:color w:val="auto"/>
                <w:w w:val="92"/>
              </w:rPr>
              <w:t>137,489</w:t>
            </w:r>
          </w:p>
        </w:tc>
        <w:tc>
          <w:tcPr>
            <w:tcW w:w="1360" w:type="dxa"/>
            <w:vAlign w:val="bottom"/>
          </w:tcPr>
          <w:p>
            <w:pPr>
              <w:jc w:val="center"/>
              <w:spacing w:after="0"/>
              <w:rPr>
                <w:sz w:val="20"/>
                <w:szCs w:val="20"/>
                <w:color w:val="auto"/>
              </w:rPr>
            </w:pPr>
            <w:r>
              <w:rPr>
                <w:rFonts w:ascii="Arial" w:cs="Arial" w:eastAsia="Arial" w:hAnsi="Arial"/>
                <w:sz w:val="15"/>
                <w:szCs w:val="15"/>
                <w:color w:val="auto"/>
                <w:w w:val="82"/>
              </w:rPr>
              <w:t>62,511</w:t>
            </w:r>
            <w:r>
              <w:rPr>
                <w:rFonts w:ascii="Arial" w:cs="Arial" w:eastAsia="Arial" w:hAnsi="Arial"/>
                <w:sz w:val="25"/>
                <w:szCs w:val="25"/>
                <w:color w:val="auto"/>
                <w:w w:val="82"/>
                <w:vertAlign w:val="superscript"/>
              </w:rPr>
              <w:t>(10)</w:t>
            </w:r>
          </w:p>
        </w:tc>
        <w:tc>
          <w:tcPr>
            <w:tcW w:w="1340" w:type="dxa"/>
            <w:vAlign w:val="bottom"/>
          </w:tcPr>
          <w:p>
            <w:pPr>
              <w:jc w:val="center"/>
              <w:spacing w:after="0"/>
              <w:rPr>
                <w:sz w:val="20"/>
                <w:szCs w:val="20"/>
                <w:color w:val="auto"/>
              </w:rPr>
            </w:pPr>
            <w:r>
              <w:rPr>
                <w:rFonts w:ascii="Arial" w:cs="Arial" w:eastAsia="Arial" w:hAnsi="Arial"/>
                <w:sz w:val="15"/>
                <w:szCs w:val="15"/>
                <w:color w:val="auto"/>
                <w:w w:val="88"/>
              </w:rPr>
              <w:t>6.50</w:t>
            </w:r>
          </w:p>
        </w:tc>
        <w:tc>
          <w:tcPr>
            <w:tcW w:w="1360" w:type="dxa"/>
            <w:vAlign w:val="bottom"/>
          </w:tcPr>
          <w:p>
            <w:pPr>
              <w:jc w:val="center"/>
              <w:spacing w:after="0"/>
              <w:rPr>
                <w:sz w:val="20"/>
                <w:szCs w:val="20"/>
                <w:color w:val="auto"/>
              </w:rPr>
            </w:pPr>
            <w:r>
              <w:rPr>
                <w:rFonts w:ascii="Arial" w:cs="Arial" w:eastAsia="Arial" w:hAnsi="Arial"/>
                <w:sz w:val="15"/>
                <w:szCs w:val="15"/>
                <w:color w:val="auto"/>
                <w:w w:val="92"/>
              </w:rPr>
              <w:t>4/13/2026</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w:t>
            </w:r>
          </w:p>
        </w:tc>
        <w:tc>
          <w:tcPr>
            <w:tcW w:w="1320" w:type="dxa"/>
            <w:vAlign w:val="bottom"/>
          </w:tcPr>
          <w:p>
            <w:pPr>
              <w:jc w:val="center"/>
              <w:spacing w:after="0"/>
              <w:rPr>
                <w:sz w:val="20"/>
                <w:szCs w:val="20"/>
                <w:color w:val="auto"/>
              </w:rPr>
            </w:pPr>
            <w:r>
              <w:rPr>
                <w:rFonts w:ascii="Arial" w:cs="Arial" w:eastAsia="Arial" w:hAnsi="Arial"/>
                <w:sz w:val="15"/>
                <w:szCs w:val="15"/>
                <w:color w:val="auto"/>
                <w:w w:val="93"/>
              </w:rPr>
              <w:t>—</w:t>
            </w:r>
          </w:p>
        </w:tc>
      </w:tr>
      <w:tr>
        <w:trPr>
          <w:trHeight w:val="194"/>
        </w:trPr>
        <w:tc>
          <w:tcPr>
            <w:tcW w:w="1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2"/>
              </w:rPr>
              <w:t>4/20/2018</w:t>
            </w:r>
          </w:p>
        </w:tc>
        <w:tc>
          <w:tcPr>
            <w:tcW w:w="680" w:type="dxa"/>
            <w:vAlign w:val="bottom"/>
          </w:tcPr>
          <w:p>
            <w:pPr>
              <w:jc w:val="center"/>
              <w:spacing w:after="0"/>
              <w:rPr>
                <w:sz w:val="20"/>
                <w:szCs w:val="20"/>
                <w:color w:val="auto"/>
              </w:rPr>
            </w:pPr>
            <w:r>
              <w:rPr>
                <w:rFonts w:ascii="Arial" w:cs="Arial" w:eastAsia="Arial" w:hAnsi="Arial"/>
                <w:sz w:val="15"/>
                <w:szCs w:val="15"/>
                <w:color w:val="auto"/>
                <w:w w:val="94"/>
              </w:rPr>
              <w:t>RSU</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1360" w:type="dxa"/>
            <w:vAlign w:val="bottom"/>
          </w:tcPr>
          <w:p>
            <w:pPr>
              <w:jc w:val="center"/>
              <w:spacing w:after="0"/>
              <w:rPr>
                <w:sz w:val="20"/>
                <w:szCs w:val="20"/>
                <w:color w:val="auto"/>
              </w:rPr>
            </w:pPr>
            <w:r>
              <w:rPr>
                <w:rFonts w:ascii="Arial" w:cs="Arial" w:eastAsia="Arial" w:hAnsi="Arial"/>
                <w:sz w:val="15"/>
                <w:szCs w:val="15"/>
                <w:color w:val="auto"/>
              </w:rPr>
              <w:t>—</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right="100"/>
              <w:spacing w:after="0"/>
              <w:rPr>
                <w:sz w:val="20"/>
                <w:szCs w:val="20"/>
                <w:color w:val="auto"/>
              </w:rPr>
            </w:pPr>
            <w:r>
              <w:rPr>
                <w:rFonts w:ascii="Arial" w:cs="Arial" w:eastAsia="Arial" w:hAnsi="Arial"/>
                <w:sz w:val="15"/>
                <w:szCs w:val="15"/>
                <w:color w:val="auto"/>
              </w:rPr>
              <w:t>—</w:t>
            </w:r>
          </w:p>
        </w:tc>
        <w:tc>
          <w:tcPr>
            <w:tcW w:w="1360" w:type="dxa"/>
            <w:vAlign w:val="bottom"/>
          </w:tcPr>
          <w:p>
            <w:pPr>
              <w:jc w:val="center"/>
              <w:spacing w:after="0"/>
              <w:rPr>
                <w:sz w:val="20"/>
                <w:szCs w:val="20"/>
                <w:color w:val="auto"/>
              </w:rPr>
            </w:pPr>
            <w:r>
              <w:rPr>
                <w:rFonts w:ascii="Arial" w:cs="Arial" w:eastAsia="Arial" w:hAnsi="Arial"/>
                <w:sz w:val="15"/>
                <w:szCs w:val="15"/>
                <w:color w:val="auto"/>
                <w:w w:val="91"/>
              </w:rPr>
              <w:t>50,625</w:t>
            </w:r>
          </w:p>
        </w:tc>
        <w:tc>
          <w:tcPr>
            <w:tcW w:w="1320" w:type="dxa"/>
            <w:vAlign w:val="bottom"/>
          </w:tcPr>
          <w:p>
            <w:pPr>
              <w:jc w:val="center"/>
              <w:spacing w:after="0"/>
              <w:rPr>
                <w:sz w:val="20"/>
                <w:szCs w:val="20"/>
                <w:color w:val="auto"/>
              </w:rPr>
            </w:pPr>
            <w:r>
              <w:rPr>
                <w:rFonts w:ascii="Arial" w:cs="Arial" w:eastAsia="Arial" w:hAnsi="Arial"/>
                <w:sz w:val="15"/>
                <w:szCs w:val="15"/>
                <w:color w:val="auto"/>
                <w:w w:val="92"/>
              </w:rPr>
              <w:t>8,297,944</w:t>
            </w:r>
          </w:p>
        </w:tc>
      </w:tr>
      <w:tr>
        <w:trPr>
          <w:trHeight w:val="270"/>
        </w:trPr>
        <w:tc>
          <w:tcPr>
            <w:tcW w:w="12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2"/>
              </w:rPr>
              <w:t>3/18/2019</w:t>
            </w:r>
          </w:p>
        </w:tc>
        <w:tc>
          <w:tcPr>
            <w:tcW w:w="680" w:type="dxa"/>
            <w:vAlign w:val="bottom"/>
          </w:tcPr>
          <w:p>
            <w:pPr>
              <w:jc w:val="center"/>
              <w:spacing w:after="0"/>
              <w:rPr>
                <w:sz w:val="20"/>
                <w:szCs w:val="20"/>
                <w:color w:val="auto"/>
              </w:rPr>
            </w:pPr>
            <w:r>
              <w:rPr>
                <w:rFonts w:ascii="Arial" w:cs="Arial" w:eastAsia="Arial" w:hAnsi="Arial"/>
                <w:sz w:val="15"/>
                <w:szCs w:val="15"/>
                <w:color w:val="auto"/>
                <w:w w:val="94"/>
              </w:rPr>
              <w:t>RSU</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1360" w:type="dxa"/>
            <w:vAlign w:val="bottom"/>
          </w:tcPr>
          <w:p>
            <w:pPr>
              <w:jc w:val="center"/>
              <w:spacing w:after="0"/>
              <w:rPr>
                <w:sz w:val="20"/>
                <w:szCs w:val="20"/>
                <w:color w:val="auto"/>
              </w:rPr>
            </w:pPr>
            <w:r>
              <w:rPr>
                <w:rFonts w:ascii="Arial" w:cs="Arial" w:eastAsia="Arial" w:hAnsi="Arial"/>
                <w:sz w:val="15"/>
                <w:szCs w:val="15"/>
                <w:color w:val="auto"/>
              </w:rPr>
              <w:t>—</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right="100"/>
              <w:spacing w:after="0"/>
              <w:rPr>
                <w:sz w:val="20"/>
                <w:szCs w:val="20"/>
                <w:color w:val="auto"/>
              </w:rPr>
            </w:pPr>
            <w:r>
              <w:rPr>
                <w:rFonts w:ascii="Arial" w:cs="Arial" w:eastAsia="Arial" w:hAnsi="Arial"/>
                <w:sz w:val="15"/>
                <w:szCs w:val="15"/>
                <w:color w:val="auto"/>
              </w:rPr>
              <w:t>—</w:t>
            </w:r>
          </w:p>
        </w:tc>
        <w:tc>
          <w:tcPr>
            <w:tcW w:w="1360" w:type="dxa"/>
            <w:vAlign w:val="bottom"/>
          </w:tcPr>
          <w:p>
            <w:pPr>
              <w:jc w:val="center"/>
              <w:spacing w:after="0"/>
              <w:rPr>
                <w:sz w:val="20"/>
                <w:szCs w:val="20"/>
                <w:color w:val="auto"/>
              </w:rPr>
            </w:pPr>
            <w:r>
              <w:rPr>
                <w:rFonts w:ascii="Arial" w:cs="Arial" w:eastAsia="Arial" w:hAnsi="Arial"/>
                <w:sz w:val="15"/>
                <w:szCs w:val="15"/>
                <w:color w:val="auto"/>
                <w:w w:val="91"/>
              </w:rPr>
              <w:t>32,209</w:t>
            </w:r>
          </w:p>
        </w:tc>
        <w:tc>
          <w:tcPr>
            <w:tcW w:w="1320" w:type="dxa"/>
            <w:vAlign w:val="bottom"/>
          </w:tcPr>
          <w:p>
            <w:pPr>
              <w:jc w:val="center"/>
              <w:spacing w:after="0"/>
              <w:rPr>
                <w:sz w:val="20"/>
                <w:szCs w:val="20"/>
                <w:color w:val="auto"/>
              </w:rPr>
            </w:pPr>
            <w:r>
              <w:rPr>
                <w:rFonts w:ascii="Arial" w:cs="Arial" w:eastAsia="Arial" w:hAnsi="Arial"/>
                <w:sz w:val="15"/>
                <w:szCs w:val="15"/>
                <w:color w:val="auto"/>
                <w:w w:val="92"/>
              </w:rPr>
              <w:t>5,279,377</w:t>
            </w:r>
          </w:p>
        </w:tc>
      </w:tr>
      <w:tr>
        <w:trPr>
          <w:trHeight w:val="35"/>
        </w:trPr>
        <w:tc>
          <w:tcPr>
            <w:tcW w:w="12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35"/>
        </w:trPr>
        <w:tc>
          <w:tcPr>
            <w:tcW w:w="1240" w:type="dxa"/>
            <w:vAlign w:val="bottom"/>
            <w:shd w:val="clear" w:color="auto" w:fill="CCEEFF"/>
          </w:tcPr>
          <w:p>
            <w:pPr>
              <w:ind w:left="40"/>
              <w:spacing w:after="0"/>
              <w:rPr>
                <w:sz w:val="20"/>
                <w:szCs w:val="20"/>
                <w:color w:val="auto"/>
              </w:rPr>
            </w:pPr>
            <w:r>
              <w:rPr>
                <w:rFonts w:ascii="Arial" w:cs="Arial" w:eastAsia="Arial" w:hAnsi="Arial"/>
                <w:sz w:val="15"/>
                <w:szCs w:val="15"/>
                <w:color w:val="auto"/>
              </w:rPr>
              <w:t>Michael Gordon</w:t>
            </w: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7/15/2015</w:t>
            </w:r>
          </w:p>
        </w:tc>
        <w:tc>
          <w:tcPr>
            <w:tcW w:w="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NQ</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238,859</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6.50</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7/15/2025</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305"/>
        </w:trPr>
        <w:tc>
          <w:tcPr>
            <w:tcW w:w="1240" w:type="dxa"/>
            <w:vAlign w:val="bottom"/>
            <w:shd w:val="clear" w:color="auto" w:fill="CCEEFF"/>
          </w:tcPr>
          <w:p>
            <w:pPr>
              <w:spacing w:after="0"/>
              <w:rPr>
                <w:sz w:val="24"/>
                <w:szCs w:val="24"/>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4/13/2016</w:t>
            </w:r>
          </w:p>
        </w:tc>
        <w:tc>
          <w:tcPr>
            <w:tcW w:w="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NQ</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76,038</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123,962</w:t>
            </w:r>
            <w:r>
              <w:rPr>
                <w:rFonts w:ascii="Arial" w:cs="Arial" w:eastAsia="Arial" w:hAnsi="Arial"/>
                <w:sz w:val="25"/>
                <w:szCs w:val="25"/>
                <w:color w:val="auto"/>
                <w:w w:val="83"/>
                <w:vertAlign w:val="superscript"/>
              </w:rPr>
              <w:t>(11)</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8"/>
              </w:rPr>
              <w:t>6.50</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4/13/2026</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r>
      <w:tr>
        <w:trPr>
          <w:trHeight w:val="235"/>
        </w:trPr>
        <w:tc>
          <w:tcPr>
            <w:tcW w:w="1240" w:type="dxa"/>
            <w:vAlign w:val="bottom"/>
            <w:shd w:val="clear" w:color="auto" w:fill="CCEEFF"/>
          </w:tcPr>
          <w:p>
            <w:pPr>
              <w:spacing w:after="0"/>
              <w:rPr>
                <w:sz w:val="20"/>
                <w:szCs w:val="20"/>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4/20/2018</w:t>
            </w:r>
          </w:p>
        </w:tc>
        <w:tc>
          <w:tcPr>
            <w:tcW w:w="6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RSU</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1"/>
              </w:rPr>
              <w:t>56,250</w:t>
            </w:r>
          </w:p>
        </w:tc>
        <w:tc>
          <w:tcPr>
            <w:tcW w:w="132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2"/>
              </w:rPr>
              <w:t>9,219,938</w:t>
            </w:r>
          </w:p>
        </w:tc>
      </w:tr>
      <w:tr>
        <w:trPr>
          <w:trHeight w:val="285"/>
        </w:trPr>
        <w:tc>
          <w:tcPr>
            <w:tcW w:w="12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2"/>
              </w:rPr>
              <w:t>3/18/2019</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4"/>
              </w:rPr>
              <w:t>RSU</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5"/>
                <w:szCs w:val="15"/>
                <w:color w:val="auto"/>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1"/>
              </w:rPr>
              <w:t>26,998</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2"/>
              </w:rPr>
              <w:t>4,425,242</w:t>
            </w:r>
          </w:p>
        </w:tc>
      </w:tr>
      <w:tr>
        <w:trPr>
          <w:trHeight w:val="311"/>
        </w:trPr>
        <w:tc>
          <w:tcPr>
            <w:tcW w:w="1240" w:type="dxa"/>
            <w:vAlign w:val="bottom"/>
          </w:tcPr>
          <w:p>
            <w:pPr>
              <w:ind w:left="40"/>
              <w:spacing w:after="0"/>
              <w:rPr>
                <w:sz w:val="20"/>
                <w:szCs w:val="20"/>
                <w:color w:val="auto"/>
              </w:rPr>
            </w:pPr>
            <w:r>
              <w:rPr>
                <w:rFonts w:ascii="Arial" w:cs="Arial" w:eastAsia="Arial" w:hAnsi="Arial"/>
                <w:sz w:val="15"/>
                <w:szCs w:val="15"/>
                <w:color w:val="auto"/>
              </w:rPr>
              <w:t>Cedric Pech</w:t>
            </w:r>
          </w:p>
        </w:tc>
        <w:tc>
          <w:tcPr>
            <w:tcW w:w="1140" w:type="dxa"/>
            <w:vAlign w:val="bottom"/>
          </w:tcPr>
          <w:p>
            <w:pPr>
              <w:jc w:val="center"/>
              <w:spacing w:after="0"/>
              <w:rPr>
                <w:sz w:val="20"/>
                <w:szCs w:val="20"/>
                <w:color w:val="auto"/>
              </w:rPr>
            </w:pPr>
            <w:r>
              <w:rPr>
                <w:rFonts w:ascii="Arial" w:cs="Arial" w:eastAsia="Arial" w:hAnsi="Arial"/>
                <w:sz w:val="15"/>
                <w:szCs w:val="15"/>
                <w:color w:val="auto"/>
                <w:w w:val="92"/>
              </w:rPr>
              <w:t>4/5/2017</w:t>
            </w:r>
          </w:p>
        </w:tc>
        <w:tc>
          <w:tcPr>
            <w:tcW w:w="680" w:type="dxa"/>
            <w:vAlign w:val="bottom"/>
          </w:tcPr>
          <w:p>
            <w:pPr>
              <w:jc w:val="center"/>
              <w:spacing w:after="0"/>
              <w:rPr>
                <w:sz w:val="20"/>
                <w:szCs w:val="20"/>
                <w:color w:val="auto"/>
              </w:rPr>
            </w:pPr>
            <w:r>
              <w:rPr>
                <w:rFonts w:ascii="Arial" w:cs="Arial" w:eastAsia="Arial" w:hAnsi="Arial"/>
                <w:sz w:val="15"/>
                <w:szCs w:val="15"/>
                <w:color w:val="auto"/>
                <w:w w:val="97"/>
              </w:rPr>
              <w:t>NQ</w:t>
            </w:r>
          </w:p>
        </w:tc>
        <w:tc>
          <w:tcPr>
            <w:tcW w:w="1340" w:type="dxa"/>
            <w:vAlign w:val="bottom"/>
          </w:tcPr>
          <w:p>
            <w:pPr>
              <w:jc w:val="center"/>
              <w:spacing w:after="0"/>
              <w:rPr>
                <w:sz w:val="20"/>
                <w:szCs w:val="20"/>
                <w:color w:val="auto"/>
              </w:rPr>
            </w:pPr>
            <w:r>
              <w:rPr>
                <w:rFonts w:ascii="Arial" w:cs="Arial" w:eastAsia="Arial" w:hAnsi="Arial"/>
                <w:sz w:val="15"/>
                <w:szCs w:val="15"/>
                <w:color w:val="auto"/>
                <w:w w:val="91"/>
              </w:rPr>
              <w:t>12,205</w:t>
            </w:r>
          </w:p>
        </w:tc>
        <w:tc>
          <w:tcPr>
            <w:tcW w:w="1360" w:type="dxa"/>
            <w:vAlign w:val="bottom"/>
          </w:tcPr>
          <w:p>
            <w:pPr>
              <w:jc w:val="center"/>
              <w:spacing w:after="0"/>
              <w:rPr>
                <w:sz w:val="20"/>
                <w:szCs w:val="20"/>
                <w:color w:val="auto"/>
              </w:rPr>
            </w:pPr>
            <w:r>
              <w:rPr>
                <w:rFonts w:ascii="Arial" w:cs="Arial" w:eastAsia="Arial" w:hAnsi="Arial"/>
                <w:sz w:val="15"/>
                <w:szCs w:val="15"/>
                <w:color w:val="auto"/>
                <w:w w:val="85"/>
              </w:rPr>
              <w:t>103,125</w:t>
            </w:r>
            <w:r>
              <w:rPr>
                <w:rFonts w:ascii="Arial" w:cs="Arial" w:eastAsia="Arial" w:hAnsi="Arial"/>
                <w:sz w:val="25"/>
                <w:szCs w:val="25"/>
                <w:color w:val="auto"/>
                <w:w w:val="85"/>
                <w:vertAlign w:val="superscript"/>
              </w:rPr>
              <w:t>(12)</w:t>
            </w:r>
          </w:p>
        </w:tc>
        <w:tc>
          <w:tcPr>
            <w:tcW w:w="1340" w:type="dxa"/>
            <w:vAlign w:val="bottom"/>
          </w:tcPr>
          <w:p>
            <w:pPr>
              <w:jc w:val="center"/>
              <w:spacing w:after="0"/>
              <w:rPr>
                <w:sz w:val="20"/>
                <w:szCs w:val="20"/>
                <w:color w:val="auto"/>
              </w:rPr>
            </w:pPr>
            <w:r>
              <w:rPr>
                <w:rFonts w:ascii="Arial" w:cs="Arial" w:eastAsia="Arial" w:hAnsi="Arial"/>
                <w:sz w:val="15"/>
                <w:szCs w:val="15"/>
                <w:color w:val="auto"/>
                <w:w w:val="88"/>
              </w:rPr>
              <w:t>8.40</w:t>
            </w:r>
          </w:p>
        </w:tc>
        <w:tc>
          <w:tcPr>
            <w:tcW w:w="1360" w:type="dxa"/>
            <w:vAlign w:val="bottom"/>
          </w:tcPr>
          <w:p>
            <w:pPr>
              <w:jc w:val="center"/>
              <w:spacing w:after="0"/>
              <w:rPr>
                <w:sz w:val="20"/>
                <w:szCs w:val="20"/>
                <w:color w:val="auto"/>
              </w:rPr>
            </w:pPr>
            <w:r>
              <w:rPr>
                <w:rFonts w:ascii="Arial" w:cs="Arial" w:eastAsia="Arial" w:hAnsi="Arial"/>
                <w:sz w:val="15"/>
                <w:szCs w:val="15"/>
                <w:color w:val="auto"/>
                <w:w w:val="92"/>
              </w:rPr>
              <w:t>4/5/2027</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w:t>
            </w:r>
          </w:p>
        </w:tc>
        <w:tc>
          <w:tcPr>
            <w:tcW w:w="1320" w:type="dxa"/>
            <w:vAlign w:val="bottom"/>
          </w:tcPr>
          <w:p>
            <w:pPr>
              <w:jc w:val="center"/>
              <w:spacing w:after="0"/>
              <w:rPr>
                <w:sz w:val="20"/>
                <w:szCs w:val="20"/>
                <w:color w:val="auto"/>
              </w:rPr>
            </w:pPr>
            <w:r>
              <w:rPr>
                <w:rFonts w:ascii="Arial" w:cs="Arial" w:eastAsia="Arial" w:hAnsi="Arial"/>
                <w:sz w:val="15"/>
                <w:szCs w:val="15"/>
                <w:color w:val="auto"/>
                <w:w w:val="93"/>
              </w:rPr>
              <w:t>—</w:t>
            </w:r>
          </w:p>
        </w:tc>
      </w:tr>
      <w:tr>
        <w:trPr>
          <w:trHeight w:val="194"/>
        </w:trPr>
        <w:tc>
          <w:tcPr>
            <w:tcW w:w="124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2"/>
              </w:rPr>
              <w:t>5/31/2018</w:t>
            </w:r>
          </w:p>
        </w:tc>
        <w:tc>
          <w:tcPr>
            <w:tcW w:w="680" w:type="dxa"/>
            <w:vAlign w:val="bottom"/>
          </w:tcPr>
          <w:p>
            <w:pPr>
              <w:jc w:val="center"/>
              <w:spacing w:after="0"/>
              <w:rPr>
                <w:sz w:val="20"/>
                <w:szCs w:val="20"/>
                <w:color w:val="auto"/>
              </w:rPr>
            </w:pPr>
            <w:r>
              <w:rPr>
                <w:rFonts w:ascii="Arial" w:cs="Arial" w:eastAsia="Arial" w:hAnsi="Arial"/>
                <w:sz w:val="15"/>
                <w:szCs w:val="15"/>
                <w:color w:val="auto"/>
                <w:w w:val="94"/>
              </w:rPr>
              <w:t>RSU</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1360" w:type="dxa"/>
            <w:vAlign w:val="bottom"/>
          </w:tcPr>
          <w:p>
            <w:pPr>
              <w:jc w:val="center"/>
              <w:spacing w:after="0"/>
              <w:rPr>
                <w:sz w:val="20"/>
                <w:szCs w:val="20"/>
                <w:color w:val="auto"/>
              </w:rPr>
            </w:pPr>
            <w:r>
              <w:rPr>
                <w:rFonts w:ascii="Arial" w:cs="Arial" w:eastAsia="Arial" w:hAnsi="Arial"/>
                <w:sz w:val="15"/>
                <w:szCs w:val="15"/>
                <w:color w:val="auto"/>
              </w:rPr>
              <w:t>—</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right="100"/>
              <w:spacing w:after="0"/>
              <w:rPr>
                <w:sz w:val="20"/>
                <w:szCs w:val="20"/>
                <w:color w:val="auto"/>
              </w:rPr>
            </w:pPr>
            <w:r>
              <w:rPr>
                <w:rFonts w:ascii="Arial" w:cs="Arial" w:eastAsia="Arial" w:hAnsi="Arial"/>
                <w:sz w:val="15"/>
                <w:szCs w:val="15"/>
                <w:color w:val="auto"/>
              </w:rPr>
              <w:t>—</w:t>
            </w:r>
          </w:p>
        </w:tc>
        <w:tc>
          <w:tcPr>
            <w:tcW w:w="1360" w:type="dxa"/>
            <w:vAlign w:val="bottom"/>
          </w:tcPr>
          <w:p>
            <w:pPr>
              <w:jc w:val="center"/>
              <w:spacing w:after="0"/>
              <w:rPr>
                <w:sz w:val="20"/>
                <w:szCs w:val="20"/>
                <w:color w:val="auto"/>
              </w:rPr>
            </w:pPr>
            <w:r>
              <w:rPr>
                <w:rFonts w:ascii="Arial" w:cs="Arial" w:eastAsia="Arial" w:hAnsi="Arial"/>
                <w:sz w:val="15"/>
                <w:szCs w:val="15"/>
                <w:color w:val="auto"/>
                <w:w w:val="90"/>
              </w:rPr>
              <w:t>6,250</w:t>
            </w:r>
          </w:p>
        </w:tc>
        <w:tc>
          <w:tcPr>
            <w:tcW w:w="1320" w:type="dxa"/>
            <w:vAlign w:val="bottom"/>
          </w:tcPr>
          <w:p>
            <w:pPr>
              <w:jc w:val="center"/>
              <w:spacing w:after="0"/>
              <w:rPr>
                <w:sz w:val="20"/>
                <w:szCs w:val="20"/>
                <w:color w:val="auto"/>
              </w:rPr>
            </w:pPr>
            <w:r>
              <w:rPr>
                <w:rFonts w:ascii="Arial" w:cs="Arial" w:eastAsia="Arial" w:hAnsi="Arial"/>
                <w:sz w:val="15"/>
                <w:szCs w:val="15"/>
                <w:color w:val="auto"/>
                <w:w w:val="92"/>
              </w:rPr>
              <w:t>1,024,438</w:t>
            </w:r>
          </w:p>
        </w:tc>
      </w:tr>
      <w:tr>
        <w:trPr>
          <w:trHeight w:val="270"/>
        </w:trPr>
        <w:tc>
          <w:tcPr>
            <w:tcW w:w="124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5"/>
                <w:szCs w:val="15"/>
                <w:color w:val="auto"/>
                <w:w w:val="92"/>
              </w:rPr>
              <w:t>2/5/2019</w:t>
            </w:r>
          </w:p>
        </w:tc>
        <w:tc>
          <w:tcPr>
            <w:tcW w:w="680" w:type="dxa"/>
            <w:vAlign w:val="bottom"/>
          </w:tcPr>
          <w:p>
            <w:pPr>
              <w:jc w:val="center"/>
              <w:spacing w:after="0"/>
              <w:rPr>
                <w:sz w:val="20"/>
                <w:szCs w:val="20"/>
                <w:color w:val="auto"/>
              </w:rPr>
            </w:pPr>
            <w:r>
              <w:rPr>
                <w:rFonts w:ascii="Arial" w:cs="Arial" w:eastAsia="Arial" w:hAnsi="Arial"/>
                <w:sz w:val="15"/>
                <w:szCs w:val="15"/>
                <w:color w:val="auto"/>
                <w:w w:val="94"/>
              </w:rPr>
              <w:t>RSU</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1360" w:type="dxa"/>
            <w:vAlign w:val="bottom"/>
          </w:tcPr>
          <w:p>
            <w:pPr>
              <w:jc w:val="center"/>
              <w:spacing w:after="0"/>
              <w:rPr>
                <w:sz w:val="20"/>
                <w:szCs w:val="20"/>
                <w:color w:val="auto"/>
              </w:rPr>
            </w:pPr>
            <w:r>
              <w:rPr>
                <w:rFonts w:ascii="Arial" w:cs="Arial" w:eastAsia="Arial" w:hAnsi="Arial"/>
                <w:sz w:val="15"/>
                <w:szCs w:val="15"/>
                <w:color w:val="auto"/>
              </w:rPr>
              <w:t>—</w:t>
            </w:r>
          </w:p>
        </w:tc>
        <w:tc>
          <w:tcPr>
            <w:tcW w:w="1340" w:type="dxa"/>
            <w:vAlign w:val="bottom"/>
          </w:tcPr>
          <w:p>
            <w:pPr>
              <w:jc w:val="center"/>
              <w:spacing w:after="0"/>
              <w:rPr>
                <w:sz w:val="20"/>
                <w:szCs w:val="20"/>
                <w:color w:val="auto"/>
              </w:rPr>
            </w:pPr>
            <w:r>
              <w:rPr>
                <w:rFonts w:ascii="Arial" w:cs="Arial" w:eastAsia="Arial" w:hAnsi="Arial"/>
                <w:sz w:val="15"/>
                <w:szCs w:val="15"/>
                <w:color w:val="auto"/>
              </w:rPr>
              <w:t>—</w:t>
            </w:r>
          </w:p>
        </w:tc>
        <w:tc>
          <w:tcPr>
            <w:tcW w:w="1460" w:type="dxa"/>
            <w:vAlign w:val="bottom"/>
            <w:gridSpan w:val="2"/>
          </w:tcPr>
          <w:p>
            <w:pPr>
              <w:jc w:val="center"/>
              <w:ind w:right="100"/>
              <w:spacing w:after="0"/>
              <w:rPr>
                <w:sz w:val="20"/>
                <w:szCs w:val="20"/>
                <w:color w:val="auto"/>
              </w:rPr>
            </w:pPr>
            <w:r>
              <w:rPr>
                <w:rFonts w:ascii="Arial" w:cs="Arial" w:eastAsia="Arial" w:hAnsi="Arial"/>
                <w:sz w:val="15"/>
                <w:szCs w:val="15"/>
                <w:color w:val="auto"/>
              </w:rPr>
              <w:t>—</w:t>
            </w:r>
          </w:p>
        </w:tc>
        <w:tc>
          <w:tcPr>
            <w:tcW w:w="1360" w:type="dxa"/>
            <w:vAlign w:val="bottom"/>
          </w:tcPr>
          <w:p>
            <w:pPr>
              <w:jc w:val="center"/>
              <w:spacing w:after="0"/>
              <w:rPr>
                <w:sz w:val="20"/>
                <w:szCs w:val="20"/>
                <w:color w:val="auto"/>
              </w:rPr>
            </w:pPr>
            <w:r>
              <w:rPr>
                <w:rFonts w:ascii="Arial" w:cs="Arial" w:eastAsia="Arial" w:hAnsi="Arial"/>
                <w:sz w:val="15"/>
                <w:szCs w:val="15"/>
                <w:color w:val="auto"/>
                <w:w w:val="91"/>
              </w:rPr>
              <w:t>18,640</w:t>
            </w:r>
          </w:p>
        </w:tc>
        <w:tc>
          <w:tcPr>
            <w:tcW w:w="1320" w:type="dxa"/>
            <w:vAlign w:val="bottom"/>
          </w:tcPr>
          <w:p>
            <w:pPr>
              <w:jc w:val="center"/>
              <w:spacing w:after="0"/>
              <w:rPr>
                <w:sz w:val="20"/>
                <w:szCs w:val="20"/>
                <w:color w:val="auto"/>
              </w:rPr>
            </w:pPr>
            <w:r>
              <w:rPr>
                <w:rFonts w:ascii="Arial" w:cs="Arial" w:eastAsia="Arial" w:hAnsi="Arial"/>
                <w:sz w:val="15"/>
                <w:szCs w:val="15"/>
                <w:color w:val="auto"/>
                <w:w w:val="92"/>
              </w:rPr>
              <w:t>3,055,282</w:t>
            </w:r>
          </w:p>
        </w:tc>
      </w:tr>
    </w:tbl>
    <w:p>
      <w:pPr>
        <w:ind w:left="340" w:hanging="332"/>
        <w:spacing w:after="0" w:line="188"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4"/>
          <w:szCs w:val="14"/>
          <w:color w:val="auto"/>
        </w:rPr>
        <w:t>On April 13, 2016, we amended the exercise prices of all of our outstanding option awards previously granted at an exercise price greater than $6.50 to $6.50.</w:t>
      </w:r>
    </w:p>
    <w:p>
      <w:pPr>
        <w:spacing w:after="0" w:line="142" w:lineRule="exact"/>
        <w:rPr>
          <w:rFonts w:ascii="Arial" w:cs="Arial" w:eastAsia="Arial" w:hAnsi="Arial"/>
          <w:sz w:val="25"/>
          <w:szCs w:val="25"/>
          <w:color w:val="auto"/>
          <w:vertAlign w:val="superscript"/>
        </w:rPr>
      </w:pPr>
    </w:p>
    <w:p>
      <w:pPr>
        <w:ind w:left="340" w:right="20" w:hanging="332"/>
        <w:spacing w:after="0" w:line="213"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4"/>
          <w:szCs w:val="14"/>
          <w:color w:val="auto"/>
        </w:rPr>
        <w:t>The option awards in this table relate to options to purchase shares of our Class B common stock for Messrs. Ittycheria, Horowitz and Gordon and options to purchase shares of our Class A common stock for Mr. Pech.</w:t>
      </w:r>
    </w:p>
    <w:p>
      <w:pPr>
        <w:spacing w:after="0" w:line="141" w:lineRule="exact"/>
        <w:rPr>
          <w:rFonts w:ascii="Arial" w:cs="Arial" w:eastAsia="Arial" w:hAnsi="Arial"/>
          <w:sz w:val="25"/>
          <w:szCs w:val="25"/>
          <w:color w:val="auto"/>
          <w:vertAlign w:val="superscript"/>
        </w:rPr>
      </w:pPr>
    </w:p>
    <w:p>
      <w:pPr>
        <w:ind w:left="340" w:right="20" w:hanging="332"/>
        <w:spacing w:after="0" w:line="213"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4"/>
          <w:szCs w:val="14"/>
          <w:color w:val="auto"/>
        </w:rPr>
        <w:t>All of the option awards listed in this column are immediately exercisable, subject to a repurchase right in our favor which lapses in accordance with the respective option vesting schedules.</w:t>
      </w:r>
    </w:p>
    <w:p>
      <w:pPr>
        <w:spacing w:after="0" w:line="141" w:lineRule="exact"/>
        <w:rPr>
          <w:rFonts w:ascii="Arial" w:cs="Arial" w:eastAsia="Arial" w:hAnsi="Arial"/>
          <w:sz w:val="25"/>
          <w:szCs w:val="25"/>
          <w:color w:val="auto"/>
          <w:vertAlign w:val="superscript"/>
        </w:rPr>
      </w:pPr>
    </w:p>
    <w:p>
      <w:pPr>
        <w:jc w:val="both"/>
        <w:ind w:left="340" w:right="20" w:hanging="332"/>
        <w:spacing w:after="0" w:line="242"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4"/>
          <w:szCs w:val="14"/>
          <w:color w:val="auto"/>
        </w:rPr>
        <w:t>All unvested shares of Class B or Class A common stock, as applicable, underlying the option awards listed in this column will accelerate and vest in full if the executive officer is terminated without “cause” or resigns for “good reason” (as such terms are defined in the executive officer’s offer letter or employment agreement) in connection with, or within three months prior to or 12 months following, a change of control of MongoDB.</w:t>
      </w:r>
    </w:p>
    <w:p>
      <w:pPr>
        <w:spacing w:after="0" w:line="141" w:lineRule="exact"/>
        <w:rPr>
          <w:rFonts w:ascii="Arial" w:cs="Arial" w:eastAsia="Arial" w:hAnsi="Arial"/>
          <w:sz w:val="25"/>
          <w:szCs w:val="25"/>
          <w:color w:val="auto"/>
          <w:vertAlign w:val="superscript"/>
        </w:rPr>
      </w:pPr>
    </w:p>
    <w:p>
      <w:pPr>
        <w:jc w:val="both"/>
        <w:ind w:left="340" w:hanging="332"/>
        <w:spacing w:after="0" w:line="275"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4"/>
          <w:szCs w:val="14"/>
          <w:color w:val="auto"/>
        </w:rPr>
        <w:t>The RSUs granted to Messrs. Ittycheria and Gordon on April 20, 2018 vest quarterly, measured from April 1, 2018, as follows: 10% of the RSUs vest in the first year, 20% of the RSUs vest in the second year, 30% of the RSUs vest in the third year, and 40% of the RSUs vest in the fourth year . The RSUs granted to Mr. Horowitz on April 20, 2018 vest in equal quarterly installments over four years measured from April 1, 2018. The RSUs granted to Mr. Pech on May 31, 2018 vest in equal quarterly installments over four years measured from July 1, 2018. The RSUs granted to Mr. Pech on February 5, 2019 and to Messrs. Ittycheria, Horowitz and Gordon on March 18, 2019 vest in equal quarterly installments over four years measured from April 1, 2019.</w:t>
      </w:r>
    </w:p>
    <w:p>
      <w:pPr>
        <w:spacing w:after="0" w:line="15"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4"/>
          <w:szCs w:val="14"/>
          <w:color w:val="auto"/>
        </w:rPr>
        <w:t>Market value is calculated based on the closing price of our Class A Common Stock on January 31, 2020, as reported on Nasdaq.</w:t>
      </w:r>
    </w:p>
    <w:p>
      <w:pPr>
        <w:sectPr>
          <w:pgSz w:w="11900" w:h="16838" w:orient="portrait"/>
          <w:cols w:equalWidth="0" w:num="1">
            <w:col w:w="11240"/>
          </w:cols>
          <w:pgMar w:left="320" w:top="319"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240"/>
          </w:cols>
          <w:pgMar w:left="320" w:top="319" w:right="339" w:bottom="1440" w:gutter="0" w:footer="0" w:header="0"/>
          <w:type w:val="continuous"/>
        </w:sectPr>
      </w:pPr>
    </w:p>
    <w:bookmarkStart w:id="47" w:name="page48"/>
    <w:bookmarkEnd w:id="4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39" w:lineRule="exact"/>
        <w:rPr>
          <w:sz w:val="20"/>
          <w:szCs w:val="20"/>
          <w:color w:val="auto"/>
        </w:rPr>
      </w:pPr>
    </w:p>
    <w:p>
      <w:pPr>
        <w:jc w:val="both"/>
        <w:ind w:left="340" w:hanging="332"/>
        <w:spacing w:after="0" w:line="242"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4"/>
          <w:szCs w:val="14"/>
          <w:color w:val="auto"/>
        </w:rPr>
        <w:t>All unvested shares of Class A common stock underlying the RSUs listed in this column will accelerate and vest in full if the executive officer is terminated without “cause” or resigns for “good reason” (as such terms are defined in the executive officer’s offer letter or employment agreement) in connection with, or within three months prior to or 12 months following, a change of control of MongoDB.</w:t>
      </w:r>
    </w:p>
    <w:p>
      <w:pPr>
        <w:spacing w:after="0" w:line="141" w:lineRule="exact"/>
        <w:rPr>
          <w:rFonts w:ascii="Arial" w:cs="Arial" w:eastAsia="Arial" w:hAnsi="Arial"/>
          <w:sz w:val="25"/>
          <w:szCs w:val="25"/>
          <w:color w:val="auto"/>
          <w:vertAlign w:val="superscript"/>
        </w:rPr>
      </w:pPr>
    </w:p>
    <w:p>
      <w:pPr>
        <w:ind w:left="340" w:right="20" w:hanging="332"/>
        <w:spacing w:after="0" w:line="213"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4"/>
          <w:szCs w:val="14"/>
          <w:color w:val="auto"/>
        </w:rPr>
        <w:t>19,157 shares of Class B common stock underlying this option are unexercisable, and become exercisable in three equal installments on each of January 1, 2021, January 1, 2022 and January 1, 2023.</w:t>
      </w:r>
    </w:p>
    <w:p>
      <w:pPr>
        <w:spacing w:after="0" w:line="141" w:lineRule="exact"/>
        <w:rPr>
          <w:rFonts w:ascii="Arial" w:cs="Arial" w:eastAsia="Arial" w:hAnsi="Arial"/>
          <w:sz w:val="25"/>
          <w:szCs w:val="25"/>
          <w:color w:val="auto"/>
          <w:vertAlign w:val="superscript"/>
        </w:rPr>
      </w:pPr>
    </w:p>
    <w:p>
      <w:pPr>
        <w:ind w:left="340" w:right="20" w:hanging="332"/>
        <w:spacing w:after="0" w:line="213"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4"/>
          <w:szCs w:val="14"/>
          <w:color w:val="auto"/>
        </w:rPr>
        <w:t>The shares of Class B common stock underlying this option vest in 36 equal monthly installments, beginning May 13, 2018, subject to the executive officer’s continuous service through each such vesting date.</w:t>
      </w:r>
    </w:p>
    <w:p>
      <w:pPr>
        <w:spacing w:after="0" w:line="141" w:lineRule="exact"/>
        <w:rPr>
          <w:rFonts w:ascii="Arial" w:cs="Arial" w:eastAsia="Arial" w:hAnsi="Arial"/>
          <w:sz w:val="25"/>
          <w:szCs w:val="25"/>
          <w:color w:val="auto"/>
          <w:vertAlign w:val="superscript"/>
        </w:rPr>
      </w:pPr>
    </w:p>
    <w:p>
      <w:pPr>
        <w:jc w:val="both"/>
        <w:ind w:left="340" w:hanging="332"/>
        <w:spacing w:after="0" w:line="275"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4"/>
          <w:szCs w:val="14"/>
          <w:color w:val="auto"/>
        </w:rPr>
        <w:t>12,496 shares of Class B common stock underlying this option vested in equal monthly installments beginning May 13, 2016 to April 13, 2017, 42,496 shares of Class B common stock underlying this option vested in equal monthly installments beginning May 13, 2017 to April 13, 2018, 45,000 shares of Class B common stock underlying this option vested in equal monthly installments beginning May 13, 2018 to April 13, 2019, 49,996 shares of Class B common stock underlying this option vested in equal monthly installments beginning May 13, 2019 to April 13, 2020 and 50,012 shares of Class B common stock underlying this option vest in equal monthly installments beginning May 13, 2020 to April 13, 2021, in each case, subject to the executive officer’s continuous service through each such vesting date.</w:t>
      </w:r>
    </w:p>
    <w:p>
      <w:pPr>
        <w:spacing w:after="0" w:line="120" w:lineRule="exact"/>
        <w:rPr>
          <w:rFonts w:ascii="Arial" w:cs="Arial" w:eastAsia="Arial" w:hAnsi="Arial"/>
          <w:sz w:val="25"/>
          <w:szCs w:val="25"/>
          <w:color w:val="auto"/>
          <w:vertAlign w:val="superscript"/>
        </w:rPr>
      </w:pPr>
    </w:p>
    <w:p>
      <w:pPr>
        <w:jc w:val="both"/>
        <w:ind w:left="340" w:hanging="332"/>
        <w:spacing w:after="0" w:line="269" w:lineRule="auto"/>
        <w:tabs>
          <w:tab w:leader="none" w:pos="340" w:val="left"/>
        </w:tabs>
        <w:numPr>
          <w:ilvl w:val="0"/>
          <w:numId w:val="51"/>
        </w:numPr>
        <w:rPr>
          <w:rFonts w:ascii="Arial" w:cs="Arial" w:eastAsia="Arial" w:hAnsi="Arial"/>
          <w:sz w:val="23"/>
          <w:szCs w:val="23"/>
          <w:color w:val="auto"/>
          <w:vertAlign w:val="superscript"/>
        </w:rPr>
      </w:pPr>
      <w:r>
        <w:rPr>
          <w:rFonts w:ascii="Arial" w:cs="Arial" w:eastAsia="Arial" w:hAnsi="Arial"/>
          <w:sz w:val="13"/>
          <w:szCs w:val="13"/>
          <w:color w:val="auto"/>
        </w:rPr>
        <w:t>16,665 shares of Class B common stock underlying this option vested in equal monthly installments beginning May 13, 2018 to April 13, 2019, 79,164 shares of Class B common stock underlying this option vested in equal monthly installments beginning May 13, 2019 to April 13, 2020 and 104,171 shares of Class B common stock underlying this option vest in equal monthly installments beginning May 13, 2020 to April 13, 2021, in each case, subject to the executive officer’s continuous service through each such vesting date.</w:t>
      </w:r>
    </w:p>
    <w:p>
      <w:pPr>
        <w:spacing w:after="0" w:line="124" w:lineRule="exact"/>
        <w:rPr>
          <w:rFonts w:ascii="Arial" w:cs="Arial" w:eastAsia="Arial" w:hAnsi="Arial"/>
          <w:sz w:val="23"/>
          <w:szCs w:val="23"/>
          <w:color w:val="auto"/>
          <w:vertAlign w:val="superscript"/>
        </w:rPr>
      </w:pPr>
    </w:p>
    <w:p>
      <w:pPr>
        <w:ind w:left="340" w:right="20" w:hanging="332"/>
        <w:spacing w:after="0" w:line="213" w:lineRule="auto"/>
        <w:tabs>
          <w:tab w:leader="none" w:pos="340" w:val="left"/>
        </w:tabs>
        <w:numPr>
          <w:ilvl w:val="0"/>
          <w:numId w:val="51"/>
        </w:numPr>
        <w:rPr>
          <w:rFonts w:ascii="Arial" w:cs="Arial" w:eastAsia="Arial" w:hAnsi="Arial"/>
          <w:sz w:val="25"/>
          <w:szCs w:val="25"/>
          <w:color w:val="auto"/>
          <w:vertAlign w:val="superscript"/>
        </w:rPr>
      </w:pPr>
      <w:r>
        <w:rPr>
          <w:rFonts w:ascii="Arial" w:cs="Arial" w:eastAsia="Arial" w:hAnsi="Arial"/>
          <w:sz w:val="14"/>
          <w:szCs w:val="14"/>
          <w:color w:val="auto"/>
        </w:rPr>
        <w:t>25% of the shares of Class A common stock underlying this option vested on July 1, 2018, with the remainder vesting in 36 equal monthly installments thereafter, subject to the executive officer’s continuous service through each such vesting date.</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Option Exercises and Stock Vested</w:t>
      </w:r>
    </w:p>
    <w:p>
      <w:pPr>
        <w:spacing w:after="0" w:line="21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information concerning the exercise of all stock options and vesting of all stock awards for the named executive officers during the fiscal year ended January 31, 2020.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660" w:type="dxa"/>
            <w:vAlign w:val="bottom"/>
          </w:tcPr>
          <w:p>
            <w:pPr>
              <w:spacing w:after="0"/>
              <w:rPr>
                <w:sz w:val="24"/>
                <w:szCs w:val="24"/>
                <w:color w:val="auto"/>
              </w:rPr>
            </w:pPr>
          </w:p>
        </w:tc>
        <w:tc>
          <w:tcPr>
            <w:tcW w:w="4660" w:type="dxa"/>
            <w:vAlign w:val="bottom"/>
            <w:tcBorders>
              <w:bottom w:val="single" w:sz="8" w:color="auto"/>
            </w:tcBorders>
            <w:gridSpan w:val="2"/>
          </w:tcPr>
          <w:p>
            <w:pPr>
              <w:ind w:left="1680"/>
              <w:spacing w:after="0"/>
              <w:rPr>
                <w:sz w:val="20"/>
                <w:szCs w:val="20"/>
                <w:color w:val="auto"/>
              </w:rPr>
            </w:pPr>
            <w:r>
              <w:rPr>
                <w:rFonts w:ascii="Arial" w:cs="Arial" w:eastAsia="Arial" w:hAnsi="Arial"/>
                <w:sz w:val="18"/>
                <w:szCs w:val="18"/>
                <w:b w:val="1"/>
                <w:bCs w:val="1"/>
                <w:color w:val="auto"/>
              </w:rPr>
              <w:t>Option Awards</w:t>
            </w:r>
            <w:r>
              <w:rPr>
                <w:rFonts w:ascii="Arial" w:cs="Arial" w:eastAsia="Arial" w:hAnsi="Arial"/>
                <w:sz w:val="25"/>
                <w:szCs w:val="25"/>
                <w:b w:val="1"/>
                <w:bCs w:val="1"/>
                <w:color w:val="auto"/>
                <w:vertAlign w:val="superscript"/>
              </w:rPr>
              <w:t>(1)</w:t>
            </w:r>
          </w:p>
        </w:tc>
        <w:tc>
          <w:tcPr>
            <w:tcW w:w="120" w:type="dxa"/>
            <w:vAlign w:val="bottom"/>
          </w:tcPr>
          <w:p>
            <w:pPr>
              <w:spacing w:after="0"/>
              <w:rPr>
                <w:sz w:val="24"/>
                <w:szCs w:val="24"/>
                <w:color w:val="auto"/>
              </w:rPr>
            </w:pPr>
          </w:p>
        </w:tc>
        <w:tc>
          <w:tcPr>
            <w:tcW w:w="4620" w:type="dxa"/>
            <w:vAlign w:val="bottom"/>
            <w:tcBorders>
              <w:bottom w:val="single" w:sz="8" w:color="auto"/>
            </w:tcBorders>
            <w:gridSpan w:val="2"/>
          </w:tcPr>
          <w:p>
            <w:pPr>
              <w:ind w:left="1780"/>
              <w:spacing w:after="0"/>
              <w:rPr>
                <w:sz w:val="20"/>
                <w:szCs w:val="20"/>
                <w:color w:val="auto"/>
              </w:rPr>
            </w:pPr>
            <w:r>
              <w:rPr>
                <w:rFonts w:ascii="Arial" w:cs="Arial" w:eastAsia="Arial" w:hAnsi="Arial"/>
                <w:sz w:val="18"/>
                <w:szCs w:val="18"/>
                <w:b w:val="1"/>
                <w:bCs w:val="1"/>
                <w:color w:val="auto"/>
              </w:rPr>
              <w:t>Stock Awards</w:t>
            </w:r>
          </w:p>
        </w:tc>
      </w:tr>
      <w:tr>
        <w:trPr>
          <w:trHeight w:val="250"/>
        </w:trPr>
        <w:tc>
          <w:tcPr>
            <w:tcW w:w="16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Shares Acquired</w:t>
            </w:r>
          </w:p>
        </w:tc>
        <w:tc>
          <w:tcPr>
            <w:tcW w:w="242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Value Realized on Exercise</w:t>
            </w:r>
          </w:p>
        </w:tc>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Shares Acquired</w:t>
            </w:r>
          </w:p>
        </w:tc>
        <w:tc>
          <w:tcPr>
            <w:tcW w:w="2340" w:type="dxa"/>
            <w:vAlign w:val="bottom"/>
          </w:tcPr>
          <w:p>
            <w:pPr>
              <w:ind w:left="60"/>
              <w:spacing w:after="0"/>
              <w:rPr>
                <w:sz w:val="20"/>
                <w:szCs w:val="20"/>
                <w:color w:val="auto"/>
              </w:rPr>
            </w:pPr>
            <w:r>
              <w:rPr>
                <w:rFonts w:ascii="Arial" w:cs="Arial" w:eastAsia="Arial" w:hAnsi="Arial"/>
                <w:sz w:val="18"/>
                <w:szCs w:val="18"/>
                <w:b w:val="1"/>
                <w:bCs w:val="1"/>
                <w:color w:val="auto"/>
                <w:w w:val="90"/>
              </w:rPr>
              <w:t>Value Realized on Vesting ($)</w:t>
            </w:r>
          </w:p>
        </w:tc>
      </w:tr>
      <w:tr>
        <w:trPr>
          <w:trHeight w:val="230"/>
        </w:trPr>
        <w:tc>
          <w:tcPr>
            <w:tcW w:w="166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on Exercise (#)</w:t>
            </w:r>
          </w:p>
        </w:tc>
        <w:tc>
          <w:tcPr>
            <w:tcW w:w="230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26"/>
                <w:szCs w:val="26"/>
                <w:b w:val="1"/>
                <w:bCs w:val="1"/>
                <w:color w:val="auto"/>
                <w:w w:val="98"/>
                <w:vertAlign w:val="subscript"/>
              </w:rPr>
              <w:t>($)</w:t>
            </w:r>
            <w:r>
              <w:rPr>
                <w:rFonts w:ascii="Arial" w:cs="Arial" w:eastAsia="Arial" w:hAnsi="Arial"/>
                <w:sz w:val="11"/>
                <w:szCs w:val="11"/>
                <w:b w:val="1"/>
                <w:bCs w:val="1"/>
                <w:color w:val="auto"/>
                <w:w w:val="98"/>
              </w:rPr>
              <w:t>(2)</w:t>
            </w:r>
          </w:p>
        </w:tc>
        <w:tc>
          <w:tcPr>
            <w:tcW w:w="12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on Vesting (#)</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w:t>
            </w:r>
          </w:p>
        </w:tc>
      </w:tr>
      <w:tr>
        <w:trPr>
          <w:trHeight w:val="243"/>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 Ittycheria</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359,000</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46,402,676</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36,086</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4,908,028</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Eliot Horowitz</w:t>
            </w:r>
          </w:p>
        </w:tc>
        <w:tc>
          <w:tcPr>
            <w:tcW w:w="2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2280" w:type="dxa"/>
            <w:vAlign w:val="bottom"/>
          </w:tcPr>
          <w:p>
            <w:pPr>
              <w:jc w:val="center"/>
              <w:spacing w:after="0"/>
              <w:rPr>
                <w:sz w:val="20"/>
                <w:szCs w:val="20"/>
                <w:color w:val="auto"/>
              </w:rPr>
            </w:pPr>
            <w:r>
              <w:rPr>
                <w:rFonts w:ascii="Arial" w:cs="Arial" w:eastAsia="Arial" w:hAnsi="Arial"/>
                <w:sz w:val="18"/>
                <w:szCs w:val="18"/>
                <w:color w:val="auto"/>
                <w:w w:val="90"/>
              </w:rPr>
              <w:t>29,932</w:t>
            </w: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4,107,006</w:t>
            </w:r>
          </w:p>
        </w:tc>
      </w:tr>
      <w:tr>
        <w:trPr>
          <w:trHeight w:val="27"/>
        </w:trPr>
        <w:tc>
          <w:tcPr>
            <w:tcW w:w="1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1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Michael Gordon</w:t>
            </w:r>
          </w:p>
        </w:tc>
        <w:tc>
          <w:tcPr>
            <w:tcW w:w="2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120,000</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15,494,442</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19,355</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2,632,411</w:t>
            </w:r>
          </w:p>
        </w:tc>
      </w:tr>
      <w:tr>
        <w:trPr>
          <w:trHeight w:val="243"/>
        </w:trPr>
        <w:tc>
          <w:tcPr>
            <w:tcW w:w="1660" w:type="dxa"/>
            <w:vAlign w:val="bottom"/>
          </w:tcPr>
          <w:p>
            <w:pPr>
              <w:ind w:left="40"/>
              <w:spacing w:after="0"/>
              <w:rPr>
                <w:sz w:val="20"/>
                <w:szCs w:val="20"/>
                <w:color w:val="auto"/>
              </w:rPr>
            </w:pPr>
            <w:r>
              <w:rPr>
                <w:rFonts w:ascii="Arial" w:cs="Arial" w:eastAsia="Arial" w:hAnsi="Arial"/>
                <w:sz w:val="18"/>
                <w:szCs w:val="18"/>
                <w:color w:val="auto"/>
              </w:rPr>
              <w:t>Cedric Pech</w:t>
            </w:r>
          </w:p>
        </w:tc>
        <w:tc>
          <w:tcPr>
            <w:tcW w:w="2360" w:type="dxa"/>
            <w:vAlign w:val="bottom"/>
          </w:tcPr>
          <w:p>
            <w:pPr>
              <w:jc w:val="center"/>
              <w:spacing w:after="0"/>
              <w:rPr>
                <w:sz w:val="20"/>
                <w:szCs w:val="20"/>
                <w:color w:val="auto"/>
              </w:rPr>
            </w:pPr>
            <w:r>
              <w:rPr>
                <w:rFonts w:ascii="Arial" w:cs="Arial" w:eastAsia="Arial" w:hAnsi="Arial"/>
                <w:sz w:val="18"/>
                <w:szCs w:val="18"/>
                <w:color w:val="auto"/>
                <w:w w:val="90"/>
              </w:rPr>
              <w:t>56,545</w:t>
            </w:r>
          </w:p>
        </w:tc>
        <w:tc>
          <w:tcPr>
            <w:tcW w:w="2300" w:type="dxa"/>
            <w:vAlign w:val="bottom"/>
          </w:tcPr>
          <w:p>
            <w:pPr>
              <w:jc w:val="center"/>
              <w:spacing w:after="0"/>
              <w:rPr>
                <w:sz w:val="20"/>
                <w:szCs w:val="20"/>
                <w:color w:val="auto"/>
              </w:rPr>
            </w:pPr>
            <w:r>
              <w:rPr>
                <w:rFonts w:ascii="Arial" w:cs="Arial" w:eastAsia="Arial" w:hAnsi="Arial"/>
                <w:sz w:val="18"/>
                <w:szCs w:val="18"/>
                <w:color w:val="auto"/>
                <w:w w:val="89"/>
              </w:rPr>
              <w:t>8,517,617</w:t>
            </w:r>
          </w:p>
        </w:tc>
        <w:tc>
          <w:tcPr>
            <w:tcW w:w="12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6,801</w:t>
            </w:r>
          </w:p>
        </w:tc>
        <w:tc>
          <w:tcPr>
            <w:tcW w:w="2340" w:type="dxa"/>
            <w:vAlign w:val="bottom"/>
          </w:tcPr>
          <w:p>
            <w:pPr>
              <w:jc w:val="center"/>
              <w:spacing w:after="0"/>
              <w:rPr>
                <w:sz w:val="20"/>
                <w:szCs w:val="20"/>
                <w:color w:val="auto"/>
              </w:rPr>
            </w:pPr>
            <w:r>
              <w:rPr>
                <w:rFonts w:ascii="Arial" w:cs="Arial" w:eastAsia="Arial" w:hAnsi="Arial"/>
                <w:sz w:val="18"/>
                <w:szCs w:val="18"/>
                <w:color w:val="auto"/>
                <w:w w:val="89"/>
              </w:rPr>
              <w:t>924,523</w:t>
            </w:r>
          </w:p>
        </w:tc>
      </w:tr>
    </w:tbl>
    <w:p>
      <w:pPr>
        <w:spacing w:after="0" w:line="143" w:lineRule="exact"/>
        <w:rPr>
          <w:sz w:val="20"/>
          <w:szCs w:val="20"/>
          <w:color w:val="auto"/>
        </w:rPr>
      </w:pPr>
    </w:p>
    <w:p>
      <w:pPr>
        <w:jc w:val="both"/>
        <w:ind w:left="340" w:hanging="332"/>
        <w:spacing w:after="0" w:line="242" w:lineRule="auto"/>
        <w:tabs>
          <w:tab w:leader="none" w:pos="340" w:val="left"/>
        </w:tabs>
        <w:numPr>
          <w:ilvl w:val="0"/>
          <w:numId w:val="52"/>
        </w:numPr>
        <w:rPr>
          <w:rFonts w:ascii="Arial" w:cs="Arial" w:eastAsia="Arial" w:hAnsi="Arial"/>
          <w:sz w:val="25"/>
          <w:szCs w:val="25"/>
          <w:color w:val="auto"/>
          <w:vertAlign w:val="superscript"/>
        </w:rPr>
      </w:pPr>
      <w:r>
        <w:rPr>
          <w:rFonts w:ascii="Arial" w:cs="Arial" w:eastAsia="Arial" w:hAnsi="Arial"/>
          <w:sz w:val="14"/>
          <w:szCs w:val="14"/>
          <w:color w:val="auto"/>
        </w:rPr>
        <w:t>The option awards in this table relate to options to purchase shares of our Class B common stock for Messrs. Ittycheria, Horowitz and Gordon and options to purchase shares of our Class A common stock for Mr. Pech. Each share of Class B Common Stock automatically converts into one share of Class A Common Stock upon any transfer, whether or not for value, except for certain “Permitted Transfers” as defined in our restated certificate of incorporation.</w:t>
      </w:r>
    </w:p>
    <w:p>
      <w:pPr>
        <w:spacing w:after="0" w:line="141" w:lineRule="exact"/>
        <w:rPr>
          <w:rFonts w:ascii="Arial" w:cs="Arial" w:eastAsia="Arial" w:hAnsi="Arial"/>
          <w:sz w:val="25"/>
          <w:szCs w:val="25"/>
          <w:color w:val="auto"/>
          <w:vertAlign w:val="superscript"/>
        </w:rPr>
      </w:pPr>
    </w:p>
    <w:p>
      <w:pPr>
        <w:ind w:left="340" w:hanging="332"/>
        <w:spacing w:after="0" w:line="213" w:lineRule="auto"/>
        <w:tabs>
          <w:tab w:leader="none" w:pos="340" w:val="left"/>
        </w:tabs>
        <w:numPr>
          <w:ilvl w:val="0"/>
          <w:numId w:val="52"/>
        </w:numPr>
        <w:rPr>
          <w:rFonts w:ascii="Arial" w:cs="Arial" w:eastAsia="Arial" w:hAnsi="Arial"/>
          <w:sz w:val="25"/>
          <w:szCs w:val="25"/>
          <w:color w:val="auto"/>
          <w:vertAlign w:val="superscript"/>
        </w:rPr>
      </w:pPr>
      <w:r>
        <w:rPr>
          <w:rFonts w:ascii="Arial" w:cs="Arial" w:eastAsia="Arial" w:hAnsi="Arial"/>
          <w:sz w:val="14"/>
          <w:szCs w:val="14"/>
          <w:color w:val="auto"/>
        </w:rPr>
        <w:t>The value realized on exercise is calculated as the difference between the market value of our Class A Common Stock underlying the options on the date of exercise and the applicable exercise price of those options. The value does not reflect actual proceeds received.</w:t>
      </w:r>
    </w:p>
    <w:p>
      <w:pPr>
        <w:spacing w:after="0" w:line="141" w:lineRule="exact"/>
        <w:rPr>
          <w:rFonts w:ascii="Arial" w:cs="Arial" w:eastAsia="Arial" w:hAnsi="Arial"/>
          <w:sz w:val="25"/>
          <w:szCs w:val="25"/>
          <w:color w:val="auto"/>
          <w:vertAlign w:val="superscript"/>
        </w:rPr>
      </w:pPr>
    </w:p>
    <w:p>
      <w:pPr>
        <w:ind w:left="340" w:hanging="332"/>
        <w:spacing w:after="0" w:line="213" w:lineRule="auto"/>
        <w:tabs>
          <w:tab w:leader="none" w:pos="340" w:val="left"/>
        </w:tabs>
        <w:numPr>
          <w:ilvl w:val="0"/>
          <w:numId w:val="52"/>
        </w:numPr>
        <w:rPr>
          <w:rFonts w:ascii="Arial" w:cs="Arial" w:eastAsia="Arial" w:hAnsi="Arial"/>
          <w:sz w:val="25"/>
          <w:szCs w:val="25"/>
          <w:color w:val="auto"/>
          <w:vertAlign w:val="superscript"/>
        </w:rPr>
      </w:pPr>
      <w:r>
        <w:rPr>
          <w:rFonts w:ascii="Arial" w:cs="Arial" w:eastAsia="Arial" w:hAnsi="Arial"/>
          <w:sz w:val="14"/>
          <w:szCs w:val="14"/>
          <w:color w:val="auto"/>
        </w:rPr>
        <w:t>The value realized on vesting is calculated by multiplying the number of shares of Class A Common Stock by the market value of our Class A Common Stock on the applicable vesting date and does not reflect actual proceeds received.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40"/>
          </w:cols>
          <w:pgMar w:left="320" w:top="319" w:right="3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 Upon Termination or Change in Control</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table below provides information with respect to potential payments and benefits to which our named executive officers would be entitled under the arrangements set forth in their respective offer letters or employment agreement, as described above under the section titled, “Employment, Severance and Change in Control Agreements,” assuming their employment was terminated as of January 31, 2020, including in connection with a change in control as of January 31, 2020. There are no potential payments or benefits in the case of termination for cause, voluntary termination, disability or death.</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0"/>
              </w:rPr>
              <w:t>Accelerated</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3"/>
              </w:rPr>
              <w:t>Continuation of</w:t>
            </w:r>
          </w:p>
        </w:tc>
        <w:tc>
          <w:tcPr>
            <w:tcW w:w="10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Vesting of Equity</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Insurance</w:t>
            </w:r>
          </w:p>
        </w:tc>
        <w:tc>
          <w:tcPr>
            <w:tcW w:w="10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300" w:type="dxa"/>
            <w:vAlign w:val="bottom"/>
          </w:tcPr>
          <w:p>
            <w:pPr>
              <w:ind w:left="300"/>
              <w:spacing w:after="0"/>
              <w:rPr>
                <w:sz w:val="20"/>
                <w:szCs w:val="20"/>
                <w:color w:val="auto"/>
              </w:rPr>
            </w:pPr>
            <w:r>
              <w:rPr>
                <w:rFonts w:ascii="Arial" w:cs="Arial" w:eastAsia="Arial" w:hAnsi="Arial"/>
                <w:sz w:val="16"/>
                <w:szCs w:val="16"/>
                <w:b w:val="1"/>
                <w:bCs w:val="1"/>
                <w:color w:val="auto"/>
              </w:rPr>
              <w:t>Base Salary</w:t>
            </w:r>
          </w:p>
        </w:tc>
        <w:tc>
          <w:tcPr>
            <w:tcW w:w="880" w:type="dxa"/>
            <w:vAlign w:val="bottom"/>
          </w:tcPr>
          <w:p>
            <w:pPr>
              <w:ind w:left="260"/>
              <w:spacing w:after="0"/>
              <w:rPr>
                <w:sz w:val="20"/>
                <w:szCs w:val="20"/>
                <w:color w:val="auto"/>
              </w:rPr>
            </w:pPr>
            <w:r>
              <w:rPr>
                <w:rFonts w:ascii="Arial" w:cs="Arial" w:eastAsia="Arial" w:hAnsi="Arial"/>
                <w:sz w:val="16"/>
                <w:szCs w:val="16"/>
                <w:b w:val="1"/>
                <w:bCs w:val="1"/>
                <w:color w:val="auto"/>
              </w:rPr>
              <w:t>Bonus</w:t>
            </w:r>
          </w:p>
        </w:tc>
        <w:tc>
          <w:tcPr>
            <w:tcW w:w="1420" w:type="dxa"/>
            <w:vAlign w:val="bottom"/>
          </w:tcPr>
          <w:p>
            <w:pPr>
              <w:jc w:val="center"/>
              <w:spacing w:after="0" w:line="203" w:lineRule="exact"/>
              <w:rPr>
                <w:sz w:val="20"/>
                <w:szCs w:val="20"/>
                <w:color w:val="auto"/>
              </w:rPr>
            </w:pPr>
            <w:r>
              <w:rPr>
                <w:rFonts w:ascii="Arial" w:cs="Arial" w:eastAsia="Arial" w:hAnsi="Arial"/>
                <w:sz w:val="16"/>
                <w:szCs w:val="16"/>
                <w:b w:val="1"/>
                <w:bCs w:val="1"/>
                <w:color w:val="auto"/>
                <w:w w:val="85"/>
              </w:rPr>
              <w:t>Awards</w:t>
            </w:r>
            <w:r>
              <w:rPr>
                <w:rFonts w:ascii="Arial" w:cs="Arial" w:eastAsia="Arial" w:hAnsi="Arial"/>
                <w:sz w:val="21"/>
                <w:szCs w:val="21"/>
                <w:b w:val="1"/>
                <w:bCs w:val="1"/>
                <w:color w:val="auto"/>
                <w:w w:val="85"/>
                <w:vertAlign w:val="superscript"/>
              </w:rPr>
              <w:t>(1)</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Coverage</w:t>
            </w:r>
          </w:p>
        </w:tc>
        <w:tc>
          <w:tcPr>
            <w:tcW w:w="104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210"/>
        </w:trPr>
        <w:tc>
          <w:tcPr>
            <w:tcW w:w="1480" w:type="dxa"/>
            <w:vAlign w:val="bottom"/>
          </w:tcPr>
          <w:p>
            <w:pPr>
              <w:ind w:left="40"/>
              <w:spacing w:after="0"/>
              <w:rPr>
                <w:sz w:val="20"/>
                <w:szCs w:val="20"/>
                <w:color w:val="auto"/>
              </w:rPr>
            </w:pPr>
            <w:r>
              <w:rPr>
                <w:rFonts w:ascii="Arial" w:cs="Arial" w:eastAsia="Arial" w:hAnsi="Arial"/>
                <w:sz w:val="16"/>
                <w:szCs w:val="16"/>
                <w:b w:val="1"/>
                <w:bCs w:val="1"/>
                <w:color w:val="auto"/>
              </w:rPr>
              <w:t>Name</w:t>
            </w:r>
          </w:p>
        </w:tc>
        <w:tc>
          <w:tcPr>
            <w:tcW w:w="3740" w:type="dxa"/>
            <w:vAlign w:val="bottom"/>
          </w:tcPr>
          <w:p>
            <w:pPr>
              <w:ind w:left="1480"/>
              <w:spacing w:after="0"/>
              <w:rPr>
                <w:sz w:val="20"/>
                <w:szCs w:val="20"/>
                <w:color w:val="auto"/>
              </w:rPr>
            </w:pPr>
            <w:r>
              <w:rPr>
                <w:rFonts w:ascii="Arial" w:cs="Arial" w:eastAsia="Arial" w:hAnsi="Arial"/>
                <w:sz w:val="16"/>
                <w:szCs w:val="16"/>
                <w:b w:val="1"/>
                <w:bCs w:val="1"/>
                <w:color w:val="auto"/>
              </w:rPr>
              <w:t>Termination</w:t>
            </w:r>
          </w:p>
        </w:tc>
        <w:tc>
          <w:tcPr>
            <w:tcW w:w="1300" w:type="dxa"/>
            <w:vAlign w:val="bottom"/>
          </w:tcPr>
          <w:p>
            <w:pPr>
              <w:jc w:val="center"/>
              <w:ind w:left="1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33"/>
        </w:trPr>
        <w:tc>
          <w:tcPr>
            <w:tcW w:w="14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0"/>
        </w:trPr>
        <w:tc>
          <w:tcPr>
            <w:tcW w:w="1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 Ittycheria</w:t>
            </w: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Termination Without Cause or Resignation for Good</w:t>
            </w:r>
          </w:p>
        </w:tc>
        <w:tc>
          <w:tcPr>
            <w:tcW w:w="13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400,000</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33,655</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433,655</w:t>
            </w:r>
          </w:p>
        </w:tc>
      </w:tr>
      <w:tr>
        <w:trPr>
          <w:trHeight w:val="206"/>
        </w:trPr>
        <w:tc>
          <w:tcPr>
            <w:tcW w:w="1480" w:type="dxa"/>
            <w:vAlign w:val="bottom"/>
            <w:shd w:val="clear" w:color="auto" w:fill="CCEEFF"/>
          </w:tcPr>
          <w:p>
            <w:pPr>
              <w:spacing w:after="0"/>
              <w:rPr>
                <w:sz w:val="17"/>
                <w:szCs w:val="17"/>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Reason</w:t>
            </w:r>
          </w:p>
        </w:tc>
        <w:tc>
          <w:tcPr>
            <w:tcW w:w="1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53"/>
        </w:trPr>
        <w:tc>
          <w:tcPr>
            <w:tcW w:w="1480" w:type="dxa"/>
            <w:vAlign w:val="bottom"/>
            <w:shd w:val="clear" w:color="auto" w:fill="CCEEFF"/>
          </w:tcPr>
          <w:p>
            <w:pPr>
              <w:spacing w:after="0"/>
              <w:rPr>
                <w:sz w:val="21"/>
                <w:szCs w:val="21"/>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Termination Without Cause or Resignation for Good</w:t>
            </w:r>
          </w:p>
        </w:tc>
        <w:tc>
          <w:tcPr>
            <w:tcW w:w="13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400,000</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280,000</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74,630,604</w:t>
            </w:r>
          </w:p>
        </w:tc>
        <w:tc>
          <w:tcPr>
            <w:tcW w:w="13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89"/>
              </w:rPr>
              <w:t>33,655</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75,344,259</w:t>
            </w:r>
          </w:p>
        </w:tc>
      </w:tr>
      <w:tr>
        <w:trPr>
          <w:trHeight w:val="239"/>
        </w:trPr>
        <w:tc>
          <w:tcPr>
            <w:tcW w:w="1480" w:type="dxa"/>
            <w:vAlign w:val="bottom"/>
            <w:shd w:val="clear" w:color="auto" w:fill="CCEEFF"/>
          </w:tcPr>
          <w:p>
            <w:pPr>
              <w:spacing w:after="0"/>
              <w:rPr>
                <w:sz w:val="20"/>
                <w:szCs w:val="20"/>
                <w:color w:val="auto"/>
              </w:rPr>
            </w:pPr>
          </w:p>
        </w:tc>
        <w:tc>
          <w:tcPr>
            <w:tcW w:w="3740" w:type="dxa"/>
            <w:vAlign w:val="bottom"/>
            <w:shd w:val="clear" w:color="auto" w:fill="CCEEFF"/>
          </w:tcPr>
          <w:p>
            <w:pPr>
              <w:ind w:left="20"/>
              <w:spacing w:after="0" w:line="239" w:lineRule="exact"/>
              <w:rPr>
                <w:sz w:val="20"/>
                <w:szCs w:val="20"/>
                <w:color w:val="auto"/>
              </w:rPr>
            </w:pPr>
            <w:r>
              <w:rPr>
                <w:rFonts w:ascii="Arial" w:cs="Arial" w:eastAsia="Arial" w:hAnsi="Arial"/>
                <w:sz w:val="16"/>
                <w:szCs w:val="16"/>
                <w:color w:val="auto"/>
              </w:rPr>
              <w:t>Reason in Connection with a Change in Control</w:t>
            </w:r>
            <w:r>
              <w:rPr>
                <w:rFonts w:ascii="Arial" w:cs="Arial" w:eastAsia="Arial" w:hAnsi="Arial"/>
                <w:sz w:val="21"/>
                <w:szCs w:val="21"/>
                <w:color w:val="auto"/>
                <w:vertAlign w:val="superscript"/>
              </w:rPr>
              <w:t>(2)</w:t>
            </w:r>
          </w:p>
        </w:tc>
        <w:tc>
          <w:tcPr>
            <w:tcW w:w="1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0"/>
        </w:trPr>
        <w:tc>
          <w:tcPr>
            <w:tcW w:w="1480" w:type="dxa"/>
            <w:vAlign w:val="bottom"/>
          </w:tcPr>
          <w:p>
            <w:pPr>
              <w:ind w:left="40"/>
              <w:spacing w:after="0" w:line="220" w:lineRule="exact"/>
              <w:rPr>
                <w:sz w:val="20"/>
                <w:szCs w:val="20"/>
                <w:color w:val="auto"/>
              </w:rPr>
            </w:pPr>
            <w:r>
              <w:rPr>
                <w:rFonts w:ascii="Arial" w:cs="Arial" w:eastAsia="Arial" w:hAnsi="Arial"/>
                <w:sz w:val="16"/>
                <w:szCs w:val="16"/>
                <w:color w:val="auto"/>
              </w:rPr>
              <w:t>Eliot Horowitz</w:t>
            </w:r>
            <w:r>
              <w:rPr>
                <w:rFonts w:ascii="Arial" w:cs="Arial" w:eastAsia="Arial" w:hAnsi="Arial"/>
                <w:sz w:val="21"/>
                <w:szCs w:val="21"/>
                <w:color w:val="auto"/>
                <w:vertAlign w:val="superscript"/>
              </w:rPr>
              <w:t>(3)</w:t>
            </w:r>
          </w:p>
        </w:tc>
        <w:tc>
          <w:tcPr>
            <w:tcW w:w="3740" w:type="dxa"/>
            <w:vAlign w:val="bottom"/>
          </w:tcPr>
          <w:p>
            <w:pPr>
              <w:ind w:left="20"/>
              <w:spacing w:after="0"/>
              <w:rPr>
                <w:sz w:val="20"/>
                <w:szCs w:val="20"/>
                <w:color w:val="auto"/>
              </w:rPr>
            </w:pPr>
            <w:r>
              <w:rPr>
                <w:rFonts w:ascii="Arial" w:cs="Arial" w:eastAsia="Arial" w:hAnsi="Arial"/>
                <w:sz w:val="16"/>
                <w:szCs w:val="16"/>
                <w:color w:val="auto"/>
              </w:rPr>
              <w:t>Termination Without Cause or Resignation for Good</w:t>
            </w:r>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89"/>
              </w:rPr>
              <w:t>162,500</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Pr>
          <w:p>
            <w:pPr>
              <w:jc w:val="center"/>
              <w:ind w:right="19"/>
              <w:spacing w:after="0"/>
              <w:rPr>
                <w:sz w:val="20"/>
                <w:szCs w:val="20"/>
                <w:color w:val="auto"/>
              </w:rPr>
            </w:pPr>
            <w:r>
              <w:rPr>
                <w:rFonts w:ascii="Arial" w:cs="Arial" w:eastAsia="Arial" w:hAnsi="Arial"/>
                <w:sz w:val="16"/>
                <w:szCs w:val="16"/>
                <w:color w:val="auto"/>
                <w:w w:val="89"/>
              </w:rPr>
              <w:t>16,827</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179,327</w:t>
            </w:r>
          </w:p>
        </w:tc>
      </w:tr>
      <w:tr>
        <w:trPr>
          <w:trHeight w:val="206"/>
        </w:trPr>
        <w:tc>
          <w:tcPr>
            <w:tcW w:w="148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Reason</w:t>
            </w: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3"/>
        </w:trPr>
        <w:tc>
          <w:tcPr>
            <w:tcW w:w="14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Termination Without Cause or Resignation for Good</w:t>
            </w:r>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89"/>
              </w:rPr>
              <w:t>162,500</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105,625</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23,417,177</w:t>
            </w:r>
          </w:p>
        </w:tc>
        <w:tc>
          <w:tcPr>
            <w:tcW w:w="1380" w:type="dxa"/>
            <w:vAlign w:val="bottom"/>
          </w:tcPr>
          <w:p>
            <w:pPr>
              <w:jc w:val="center"/>
              <w:ind w:right="19"/>
              <w:spacing w:after="0"/>
              <w:rPr>
                <w:sz w:val="20"/>
                <w:szCs w:val="20"/>
                <w:color w:val="auto"/>
              </w:rPr>
            </w:pPr>
            <w:r>
              <w:rPr>
                <w:rFonts w:ascii="Arial" w:cs="Arial" w:eastAsia="Arial" w:hAnsi="Arial"/>
                <w:sz w:val="16"/>
                <w:szCs w:val="16"/>
                <w:color w:val="auto"/>
                <w:w w:val="89"/>
              </w:rPr>
              <w:t>16,827</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23,702,129</w:t>
            </w:r>
          </w:p>
        </w:tc>
      </w:tr>
      <w:tr>
        <w:trPr>
          <w:trHeight w:val="239"/>
        </w:trPr>
        <w:tc>
          <w:tcPr>
            <w:tcW w:w="1480" w:type="dxa"/>
            <w:vAlign w:val="bottom"/>
          </w:tcPr>
          <w:p>
            <w:pPr>
              <w:spacing w:after="0"/>
              <w:rPr>
                <w:sz w:val="20"/>
                <w:szCs w:val="20"/>
                <w:color w:val="auto"/>
              </w:rPr>
            </w:pPr>
          </w:p>
        </w:tc>
        <w:tc>
          <w:tcPr>
            <w:tcW w:w="3740" w:type="dxa"/>
            <w:vAlign w:val="bottom"/>
          </w:tcPr>
          <w:p>
            <w:pPr>
              <w:ind w:left="20"/>
              <w:spacing w:after="0" w:line="239" w:lineRule="exact"/>
              <w:rPr>
                <w:sz w:val="20"/>
                <w:szCs w:val="20"/>
                <w:color w:val="auto"/>
              </w:rPr>
            </w:pPr>
            <w:r>
              <w:rPr>
                <w:rFonts w:ascii="Arial" w:cs="Arial" w:eastAsia="Arial" w:hAnsi="Arial"/>
                <w:sz w:val="16"/>
                <w:szCs w:val="16"/>
                <w:color w:val="auto"/>
              </w:rPr>
              <w:t>Reason in Connection with a Change in Control</w:t>
            </w:r>
            <w:r>
              <w:rPr>
                <w:rFonts w:ascii="Arial" w:cs="Arial" w:eastAsia="Arial" w:hAnsi="Arial"/>
                <w:sz w:val="21"/>
                <w:szCs w:val="21"/>
                <w:color w:val="auto"/>
                <w:vertAlign w:val="superscript"/>
              </w:rPr>
              <w:t>(2)</w:t>
            </w:r>
          </w:p>
        </w:tc>
        <w:tc>
          <w:tcPr>
            <w:tcW w:w="1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20"/>
        </w:trPr>
        <w:tc>
          <w:tcPr>
            <w:tcW w:w="1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Michael Gordon</w:t>
            </w: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Termination Without Cause or Resignation for Good</w:t>
            </w:r>
          </w:p>
        </w:tc>
        <w:tc>
          <w:tcPr>
            <w:tcW w:w="13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162,500</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162,500</w:t>
            </w:r>
          </w:p>
        </w:tc>
      </w:tr>
      <w:tr>
        <w:trPr>
          <w:trHeight w:val="206"/>
        </w:trPr>
        <w:tc>
          <w:tcPr>
            <w:tcW w:w="1480" w:type="dxa"/>
            <w:vAlign w:val="bottom"/>
            <w:shd w:val="clear" w:color="auto" w:fill="CCEEFF"/>
          </w:tcPr>
          <w:p>
            <w:pPr>
              <w:spacing w:after="0"/>
              <w:rPr>
                <w:sz w:val="17"/>
                <w:szCs w:val="17"/>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Reason</w:t>
            </w:r>
          </w:p>
        </w:tc>
        <w:tc>
          <w:tcPr>
            <w:tcW w:w="1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53"/>
        </w:trPr>
        <w:tc>
          <w:tcPr>
            <w:tcW w:w="1480" w:type="dxa"/>
            <w:vAlign w:val="bottom"/>
            <w:shd w:val="clear" w:color="auto" w:fill="CCEEFF"/>
          </w:tcPr>
          <w:p>
            <w:pPr>
              <w:spacing w:after="0"/>
              <w:rPr>
                <w:sz w:val="21"/>
                <w:szCs w:val="21"/>
                <w:color w:val="auto"/>
              </w:rPr>
            </w:pPr>
          </w:p>
        </w:tc>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Termination Without Cause or Resignation for Good</w:t>
            </w:r>
          </w:p>
        </w:tc>
        <w:tc>
          <w:tcPr>
            <w:tcW w:w="130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89"/>
              </w:rPr>
              <w:t>162,500</w:t>
            </w: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105,625</w:t>
            </w:r>
          </w:p>
        </w:tc>
        <w:tc>
          <w:tcPr>
            <w:tcW w:w="14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33,158,038</w:t>
            </w:r>
          </w:p>
        </w:tc>
        <w:tc>
          <w:tcPr>
            <w:tcW w:w="138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33,426,163</w:t>
            </w:r>
          </w:p>
        </w:tc>
      </w:tr>
      <w:tr>
        <w:trPr>
          <w:trHeight w:val="239"/>
        </w:trPr>
        <w:tc>
          <w:tcPr>
            <w:tcW w:w="1480" w:type="dxa"/>
            <w:vAlign w:val="bottom"/>
            <w:shd w:val="clear" w:color="auto" w:fill="CCEEFF"/>
          </w:tcPr>
          <w:p>
            <w:pPr>
              <w:spacing w:after="0"/>
              <w:rPr>
                <w:sz w:val="20"/>
                <w:szCs w:val="20"/>
                <w:color w:val="auto"/>
              </w:rPr>
            </w:pPr>
          </w:p>
        </w:tc>
        <w:tc>
          <w:tcPr>
            <w:tcW w:w="3740" w:type="dxa"/>
            <w:vAlign w:val="bottom"/>
            <w:shd w:val="clear" w:color="auto" w:fill="CCEEFF"/>
          </w:tcPr>
          <w:p>
            <w:pPr>
              <w:ind w:left="20"/>
              <w:spacing w:after="0" w:line="239" w:lineRule="exact"/>
              <w:rPr>
                <w:sz w:val="20"/>
                <w:szCs w:val="20"/>
                <w:color w:val="auto"/>
              </w:rPr>
            </w:pPr>
            <w:r>
              <w:rPr>
                <w:rFonts w:ascii="Arial" w:cs="Arial" w:eastAsia="Arial" w:hAnsi="Arial"/>
                <w:sz w:val="16"/>
                <w:szCs w:val="16"/>
                <w:color w:val="auto"/>
              </w:rPr>
              <w:t>Reason in Connection with a Change in Control</w:t>
            </w:r>
            <w:r>
              <w:rPr>
                <w:rFonts w:ascii="Arial" w:cs="Arial" w:eastAsia="Arial" w:hAnsi="Arial"/>
                <w:sz w:val="21"/>
                <w:szCs w:val="21"/>
                <w:color w:val="auto"/>
                <w:vertAlign w:val="superscript"/>
              </w:rPr>
              <w:t>(2)</w:t>
            </w:r>
          </w:p>
        </w:tc>
        <w:tc>
          <w:tcPr>
            <w:tcW w:w="13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0"/>
        </w:trPr>
        <w:tc>
          <w:tcPr>
            <w:tcW w:w="1480" w:type="dxa"/>
            <w:vAlign w:val="bottom"/>
          </w:tcPr>
          <w:p>
            <w:pPr>
              <w:ind w:left="40"/>
              <w:spacing w:after="0" w:line="220" w:lineRule="exact"/>
              <w:rPr>
                <w:sz w:val="20"/>
                <w:szCs w:val="20"/>
                <w:color w:val="auto"/>
              </w:rPr>
            </w:pPr>
            <w:r>
              <w:rPr>
                <w:rFonts w:ascii="Arial" w:cs="Arial" w:eastAsia="Arial" w:hAnsi="Arial"/>
                <w:sz w:val="16"/>
                <w:szCs w:val="16"/>
                <w:color w:val="auto"/>
              </w:rPr>
              <w:t>Cedric Pech</w:t>
            </w:r>
            <w:r>
              <w:rPr>
                <w:rFonts w:ascii="Arial" w:cs="Arial" w:eastAsia="Arial" w:hAnsi="Arial"/>
                <w:sz w:val="21"/>
                <w:szCs w:val="21"/>
                <w:color w:val="auto"/>
                <w:vertAlign w:val="superscript"/>
              </w:rPr>
              <w:t>(4)</w:t>
            </w:r>
          </w:p>
        </w:tc>
        <w:tc>
          <w:tcPr>
            <w:tcW w:w="3740" w:type="dxa"/>
            <w:vAlign w:val="bottom"/>
          </w:tcPr>
          <w:p>
            <w:pPr>
              <w:ind w:left="20"/>
              <w:spacing w:after="0"/>
              <w:rPr>
                <w:sz w:val="20"/>
                <w:szCs w:val="20"/>
                <w:color w:val="auto"/>
              </w:rPr>
            </w:pPr>
            <w:r>
              <w:rPr>
                <w:rFonts w:ascii="Arial" w:cs="Arial" w:eastAsia="Arial" w:hAnsi="Arial"/>
                <w:sz w:val="16"/>
                <w:szCs w:val="16"/>
                <w:color w:val="auto"/>
              </w:rPr>
              <w:t>Termination Without Cause or Resignation for Good</w:t>
            </w:r>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89"/>
              </w:rPr>
              <w:t>119,813</w:t>
            </w: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4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380" w:type="dxa"/>
            <w:vAlign w:val="bottom"/>
          </w:tcPr>
          <w:p>
            <w:pPr>
              <w:jc w:val="center"/>
              <w:ind w:right="19"/>
              <w:spacing w:after="0"/>
              <w:rPr>
                <w:sz w:val="20"/>
                <w:szCs w:val="20"/>
                <w:color w:val="auto"/>
              </w:rPr>
            </w:pPr>
            <w:r>
              <w:rPr>
                <w:rFonts w:ascii="Arial" w:cs="Arial" w:eastAsia="Arial" w:hAnsi="Arial"/>
                <w:sz w:val="16"/>
                <w:szCs w:val="16"/>
                <w:color w:val="auto"/>
                <w:w w:val="89"/>
              </w:rPr>
              <w:t>3,238</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123,051</w:t>
            </w:r>
          </w:p>
        </w:tc>
      </w:tr>
      <w:tr>
        <w:trPr>
          <w:trHeight w:val="206"/>
        </w:trPr>
        <w:tc>
          <w:tcPr>
            <w:tcW w:w="148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Reason</w:t>
            </w:r>
          </w:p>
        </w:tc>
        <w:tc>
          <w:tcPr>
            <w:tcW w:w="1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3"/>
        </w:trPr>
        <w:tc>
          <w:tcPr>
            <w:tcW w:w="1480" w:type="dxa"/>
            <w:vAlign w:val="bottom"/>
          </w:tcPr>
          <w:p>
            <w:pPr>
              <w:spacing w:after="0"/>
              <w:rPr>
                <w:sz w:val="21"/>
                <w:szCs w:val="21"/>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Termination Without Cause or Resignation for Good</w:t>
            </w:r>
          </w:p>
        </w:tc>
        <w:tc>
          <w:tcPr>
            <w:tcW w:w="1300" w:type="dxa"/>
            <w:vAlign w:val="bottom"/>
          </w:tcPr>
          <w:p>
            <w:pPr>
              <w:jc w:val="center"/>
              <w:ind w:left="19"/>
              <w:spacing w:after="0"/>
              <w:rPr>
                <w:sz w:val="20"/>
                <w:szCs w:val="20"/>
                <w:color w:val="auto"/>
              </w:rPr>
            </w:pPr>
            <w:r>
              <w:rPr>
                <w:rFonts w:ascii="Arial" w:cs="Arial" w:eastAsia="Arial" w:hAnsi="Arial"/>
                <w:sz w:val="16"/>
                <w:szCs w:val="16"/>
                <w:color w:val="auto"/>
                <w:w w:val="89"/>
              </w:rPr>
              <w:t>119,813</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181,716</w:t>
            </w:r>
          </w:p>
        </w:tc>
        <w:tc>
          <w:tcPr>
            <w:tcW w:w="1420" w:type="dxa"/>
            <w:vAlign w:val="bottom"/>
          </w:tcPr>
          <w:p>
            <w:pPr>
              <w:jc w:val="center"/>
              <w:spacing w:after="0"/>
              <w:rPr>
                <w:sz w:val="20"/>
                <w:szCs w:val="20"/>
                <w:color w:val="auto"/>
              </w:rPr>
            </w:pPr>
            <w:r>
              <w:rPr>
                <w:rFonts w:ascii="Arial" w:cs="Arial" w:eastAsia="Arial" w:hAnsi="Arial"/>
                <w:sz w:val="16"/>
                <w:szCs w:val="16"/>
                <w:color w:val="auto"/>
                <w:w w:val="89"/>
              </w:rPr>
              <w:t>20,116,689</w:t>
            </w:r>
          </w:p>
        </w:tc>
        <w:tc>
          <w:tcPr>
            <w:tcW w:w="1380" w:type="dxa"/>
            <w:vAlign w:val="bottom"/>
          </w:tcPr>
          <w:p>
            <w:pPr>
              <w:jc w:val="center"/>
              <w:ind w:right="19"/>
              <w:spacing w:after="0"/>
              <w:rPr>
                <w:sz w:val="20"/>
                <w:szCs w:val="20"/>
                <w:color w:val="auto"/>
              </w:rPr>
            </w:pPr>
            <w:r>
              <w:rPr>
                <w:rFonts w:ascii="Arial" w:cs="Arial" w:eastAsia="Arial" w:hAnsi="Arial"/>
                <w:sz w:val="16"/>
                <w:szCs w:val="16"/>
                <w:color w:val="auto"/>
                <w:w w:val="89"/>
              </w:rPr>
              <w:t>3,238</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20,421,456</w:t>
            </w:r>
          </w:p>
        </w:tc>
      </w:tr>
      <w:tr>
        <w:trPr>
          <w:trHeight w:val="281"/>
        </w:trPr>
        <w:tc>
          <w:tcPr>
            <w:tcW w:w="1480" w:type="dxa"/>
            <w:vAlign w:val="bottom"/>
          </w:tcPr>
          <w:p>
            <w:pPr>
              <w:spacing w:after="0"/>
              <w:rPr>
                <w:sz w:val="24"/>
                <w:szCs w:val="24"/>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Reason in Connection with a Change in Control</w:t>
            </w:r>
            <w:r>
              <w:rPr>
                <w:rFonts w:ascii="Arial" w:cs="Arial" w:eastAsia="Arial" w:hAnsi="Arial"/>
                <w:sz w:val="21"/>
                <w:szCs w:val="21"/>
                <w:color w:val="auto"/>
                <w:vertAlign w:val="superscript"/>
              </w:rPr>
              <w:t>(2)</w:t>
            </w: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75" w:lineRule="exact"/>
        <w:rPr>
          <w:sz w:val="20"/>
          <w:szCs w:val="20"/>
          <w:color w:val="auto"/>
        </w:rPr>
      </w:pPr>
    </w:p>
    <w:p>
      <w:pPr>
        <w:jc w:val="both"/>
        <w:ind w:left="340" w:hanging="332"/>
        <w:spacing w:after="0" w:line="242" w:lineRule="auto"/>
        <w:tabs>
          <w:tab w:leader="none" w:pos="340" w:val="left"/>
        </w:tabs>
        <w:numPr>
          <w:ilvl w:val="0"/>
          <w:numId w:val="53"/>
        </w:numPr>
        <w:rPr>
          <w:rFonts w:ascii="Arial" w:cs="Arial" w:eastAsia="Arial" w:hAnsi="Arial"/>
          <w:sz w:val="25"/>
          <w:szCs w:val="25"/>
          <w:color w:val="auto"/>
          <w:vertAlign w:val="superscript"/>
        </w:rPr>
      </w:pPr>
      <w:r>
        <w:rPr>
          <w:rFonts w:ascii="Arial" w:cs="Arial" w:eastAsia="Arial" w:hAnsi="Arial"/>
          <w:sz w:val="14"/>
          <w:szCs w:val="14"/>
          <w:color w:val="auto"/>
        </w:rPr>
        <w:t>The value of accelerated vesting of unvested RSUs is based upon the closing price of our Class A Common Stock on January 31, 2020, as reported on Nasdaq, multiplied by the number of unvested RSUs. The value of accelerated vesting of unvested stock options is based on the difference between the closing stock price on January 31, 2020, as reported on Nasdaq, and the exercise price per option multiplied by the number of unvested options.</w:t>
      </w:r>
    </w:p>
    <w:p>
      <w:pPr>
        <w:spacing w:after="0" w:line="141" w:lineRule="exact"/>
        <w:rPr>
          <w:rFonts w:ascii="Arial" w:cs="Arial" w:eastAsia="Arial" w:hAnsi="Arial"/>
          <w:sz w:val="25"/>
          <w:szCs w:val="25"/>
          <w:color w:val="auto"/>
          <w:vertAlign w:val="superscript"/>
        </w:rPr>
      </w:pPr>
    </w:p>
    <w:p>
      <w:pPr>
        <w:jc w:val="both"/>
        <w:ind w:left="340" w:hanging="332"/>
        <w:spacing w:after="0" w:line="242" w:lineRule="auto"/>
        <w:tabs>
          <w:tab w:leader="none" w:pos="340" w:val="left"/>
        </w:tabs>
        <w:numPr>
          <w:ilvl w:val="0"/>
          <w:numId w:val="53"/>
        </w:numPr>
        <w:rPr>
          <w:rFonts w:ascii="Arial" w:cs="Arial" w:eastAsia="Arial" w:hAnsi="Arial"/>
          <w:sz w:val="25"/>
          <w:szCs w:val="25"/>
          <w:color w:val="auto"/>
          <w:vertAlign w:val="superscript"/>
        </w:rPr>
      </w:pPr>
      <w:r>
        <w:rPr>
          <w:rFonts w:ascii="Arial" w:cs="Arial" w:eastAsia="Arial" w:hAnsi="Arial"/>
          <w:sz w:val="14"/>
          <w:szCs w:val="14"/>
          <w:color w:val="auto"/>
        </w:rPr>
        <w:t>Represents change in control severance benefits based on a double-trigger arrangement, which assumes the executive officer is terminated without “cause” or resigns for “good reason” (as such terms are defined in the executive officer’s employment agreement, in the case of Mr. Pech, or offer letter in the case of the other executive officers) in connection with, or within three months prior to or 12 months following, a change of control of MongoDB.</w:t>
      </w:r>
    </w:p>
    <w:p>
      <w:pPr>
        <w:spacing w:after="0" w:line="141" w:lineRule="exact"/>
        <w:rPr>
          <w:rFonts w:ascii="Arial" w:cs="Arial" w:eastAsia="Arial" w:hAnsi="Arial"/>
          <w:sz w:val="25"/>
          <w:szCs w:val="25"/>
          <w:color w:val="auto"/>
          <w:vertAlign w:val="superscript"/>
        </w:rPr>
      </w:pPr>
    </w:p>
    <w:p>
      <w:pPr>
        <w:ind w:left="340" w:hanging="332"/>
        <w:spacing w:after="0" w:line="230" w:lineRule="auto"/>
        <w:tabs>
          <w:tab w:leader="none" w:pos="340" w:val="left"/>
        </w:tabs>
        <w:numPr>
          <w:ilvl w:val="0"/>
          <w:numId w:val="53"/>
        </w:numPr>
        <w:rPr>
          <w:rFonts w:ascii="Arial" w:cs="Arial" w:eastAsia="Arial" w:hAnsi="Arial"/>
          <w:sz w:val="23"/>
          <w:szCs w:val="23"/>
          <w:color w:val="auto"/>
          <w:vertAlign w:val="superscript"/>
        </w:rPr>
      </w:pPr>
      <w:r>
        <w:rPr>
          <w:rFonts w:ascii="Arial" w:cs="Arial" w:eastAsia="Arial" w:hAnsi="Arial"/>
          <w:sz w:val="13"/>
          <w:szCs w:val="13"/>
          <w:color w:val="auto"/>
        </w:rPr>
        <w:t>As noted above, after the end of fiscal year 2020, Mr. Horowitz informed us that he is voluntarily resigning from his position as Chief Technology Officer and a member of our board of directors, effective on the date of our 2020 annual meeting of stockholders. As a result of his resignation, Mr. Horowitz is not eligible for the benefits described in the table above.</w:t>
      </w:r>
    </w:p>
    <w:p>
      <w:pPr>
        <w:spacing w:after="0" w:line="143" w:lineRule="exact"/>
        <w:rPr>
          <w:rFonts w:ascii="Arial" w:cs="Arial" w:eastAsia="Arial" w:hAnsi="Arial"/>
          <w:sz w:val="23"/>
          <w:szCs w:val="23"/>
          <w:color w:val="auto"/>
          <w:vertAlign w:val="superscript"/>
        </w:rPr>
      </w:pPr>
    </w:p>
    <w:p>
      <w:pPr>
        <w:ind w:left="340" w:right="20" w:hanging="332"/>
        <w:spacing w:after="0" w:line="213" w:lineRule="auto"/>
        <w:tabs>
          <w:tab w:leader="none" w:pos="340" w:val="left"/>
        </w:tabs>
        <w:numPr>
          <w:ilvl w:val="0"/>
          <w:numId w:val="53"/>
        </w:numPr>
        <w:rPr>
          <w:rFonts w:ascii="Arial" w:cs="Arial" w:eastAsia="Arial" w:hAnsi="Arial"/>
          <w:sz w:val="25"/>
          <w:szCs w:val="25"/>
          <w:color w:val="auto"/>
          <w:vertAlign w:val="superscript"/>
        </w:rPr>
      </w:pPr>
      <w:r>
        <w:rPr>
          <w:rFonts w:ascii="Arial" w:cs="Arial" w:eastAsia="Arial" w:hAnsi="Arial"/>
          <w:sz w:val="14"/>
          <w:szCs w:val="14"/>
          <w:color w:val="auto"/>
        </w:rPr>
        <w:t>Mr. Pech’s potential non-equity payments and benefits are set in CHF and, for the purposes of the table, converted into U.S. dollars based on the exchange rate as of January 31, 2020 of 1.03 CHF to the U.S. dollar.</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319" w:right="3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compensation committee has reviewed and discussed the section titled “Compensation and Discussion Analysis” with management. Based on such review and discussion, the compensation committee has recommended to the board of directors that the section titled “Compensation Discussion and Analysis” be included in this proxy statement and incorporated into MongoDB’s annual report on Form 10-K for the fiscal year ended January 31, 2020.</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Respectfully submitted by the members of the compensation committee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Tom Killalea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Archana Agrawal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Hope Cochran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Francisco D’Souza</w:t>
      </w:r>
    </w:p>
    <w:p>
      <w:pPr>
        <w:spacing w:after="0" w:line="21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 any filing of MongoDB under the Securities Act or the Exchange Act, other than our Annual Report on Form 10</w:t>
      </w:r>
      <w:r>
        <w:rPr>
          <w:rFonts w:ascii="MS PGothic" w:cs="MS PGothic" w:eastAsia="MS PGothic" w:hAnsi="MS PGothic"/>
          <w:sz w:val="18"/>
          <w:szCs w:val="18"/>
          <w:color w:val="auto"/>
        </w:rPr>
        <w:t>‑</w:t>
      </w:r>
      <w:r>
        <w:rPr>
          <w:rFonts w:ascii="Arial" w:cs="Arial" w:eastAsia="Arial" w:hAnsi="Arial"/>
          <w:sz w:val="18"/>
          <w:szCs w:val="18"/>
          <w:i w:val="1"/>
          <w:iCs w:val="1"/>
          <w:color w:val="auto"/>
        </w:rPr>
        <w:t>K, where it shall be deemed to be “furnished,”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40"/>
          </w:cols>
          <w:pgMar w:left="320" w:top="319" w:right="3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our equity compensation plan information as of January 31, 2020. Information is included for equity compensation plans approved by our stockholders. We do not have any equity compensation plans not approved by our stockholders.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(c) Number of Securities</w:t>
            </w:r>
          </w:p>
        </w:tc>
      </w:tr>
      <w:tr>
        <w:trPr>
          <w:trHeight w:val="216"/>
        </w:trPr>
        <w:tc>
          <w:tcPr>
            <w:tcW w:w="35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3520" w:type="dxa"/>
            <w:vAlign w:val="bottom"/>
          </w:tcPr>
          <w:p>
            <w:pPr>
              <w:spacing w:after="0"/>
              <w:rPr>
                <w:sz w:val="18"/>
                <w:szCs w:val="18"/>
                <w:color w:val="auto"/>
              </w:rPr>
            </w:pPr>
          </w:p>
        </w:tc>
        <w:tc>
          <w:tcPr>
            <w:tcW w:w="27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(a) Number of Securities to be</w:t>
            </w:r>
          </w:p>
        </w:tc>
        <w:tc>
          <w:tcPr>
            <w:tcW w:w="248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Future Issuance Under Equity</w:t>
            </w:r>
          </w:p>
        </w:tc>
      </w:tr>
      <w:tr>
        <w:trPr>
          <w:trHeight w:val="216"/>
        </w:trPr>
        <w:tc>
          <w:tcPr>
            <w:tcW w:w="3520" w:type="dxa"/>
            <w:vAlign w:val="bottom"/>
          </w:tcPr>
          <w:p>
            <w:pPr>
              <w:spacing w:after="0"/>
              <w:rPr>
                <w:sz w:val="18"/>
                <w:szCs w:val="18"/>
                <w:color w:val="auto"/>
              </w:rPr>
            </w:pPr>
          </w:p>
        </w:tc>
        <w:tc>
          <w:tcPr>
            <w:tcW w:w="2760" w:type="dxa"/>
            <w:vAlign w:val="bottom"/>
          </w:tcPr>
          <w:p>
            <w:pPr>
              <w:jc w:val="center"/>
              <w:ind w:left="230"/>
              <w:spacing w:after="0"/>
              <w:rPr>
                <w:sz w:val="20"/>
                <w:szCs w:val="20"/>
                <w:color w:val="auto"/>
              </w:rPr>
            </w:pPr>
            <w:r>
              <w:rPr>
                <w:rFonts w:ascii="Arial" w:cs="Arial" w:eastAsia="Arial" w:hAnsi="Arial"/>
                <w:sz w:val="18"/>
                <w:szCs w:val="18"/>
                <w:b w:val="1"/>
                <w:bCs w:val="1"/>
                <w:color w:val="auto"/>
                <w:w w:val="87"/>
              </w:rPr>
              <w:t>Issued Upon Exercise of</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9"/>
              </w:rPr>
              <w:t>(b) Weighted Average Exercise</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 Plans</w:t>
            </w:r>
          </w:p>
        </w:tc>
      </w:tr>
      <w:tr>
        <w:trPr>
          <w:trHeight w:val="216"/>
        </w:trPr>
        <w:tc>
          <w:tcPr>
            <w:tcW w:w="3520" w:type="dxa"/>
            <w:vAlign w:val="bottom"/>
          </w:tcPr>
          <w:p>
            <w:pPr>
              <w:spacing w:after="0"/>
              <w:rPr>
                <w:sz w:val="18"/>
                <w:szCs w:val="18"/>
                <w:color w:val="auto"/>
              </w:rPr>
            </w:pPr>
          </w:p>
        </w:tc>
        <w:tc>
          <w:tcPr>
            <w:tcW w:w="276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Outstanding Options,</w:t>
            </w:r>
          </w:p>
        </w:tc>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Price of Outstanding Options,</w:t>
            </w:r>
          </w:p>
        </w:tc>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9"/>
              </w:rPr>
              <w:t>(Excluding Securities Reflected</w:t>
            </w:r>
          </w:p>
        </w:tc>
      </w:tr>
      <w:tr>
        <w:trPr>
          <w:trHeight w:val="261"/>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Plan Category</w:t>
            </w:r>
          </w:p>
        </w:tc>
        <w:tc>
          <w:tcPr>
            <w:tcW w:w="2760" w:type="dxa"/>
            <w:vAlign w:val="bottom"/>
            <w:tcBorders>
              <w:bottom w:val="single" w:sz="8" w:color="auto"/>
            </w:tcBorders>
          </w:tcPr>
          <w:p>
            <w:pPr>
              <w:jc w:val="center"/>
              <w:ind w:left="230"/>
              <w:spacing w:after="0" w:line="262" w:lineRule="exact"/>
              <w:rPr>
                <w:sz w:val="20"/>
                <w:szCs w:val="20"/>
                <w:color w:val="auto"/>
              </w:rPr>
            </w:pPr>
            <w:r>
              <w:rPr>
                <w:rFonts w:ascii="Arial" w:cs="Arial" w:eastAsia="Arial" w:hAnsi="Arial"/>
                <w:sz w:val="18"/>
                <w:szCs w:val="18"/>
                <w:b w:val="1"/>
                <w:bCs w:val="1"/>
                <w:color w:val="auto"/>
                <w:w w:val="89"/>
              </w:rPr>
              <w:t>Warrants and Rights</w:t>
            </w:r>
            <w:r>
              <w:rPr>
                <w:rFonts w:ascii="Arial" w:cs="Arial" w:eastAsia="Arial" w:hAnsi="Arial"/>
                <w:sz w:val="25"/>
                <w:szCs w:val="25"/>
                <w:b w:val="1"/>
                <w:bCs w:val="1"/>
                <w:color w:val="auto"/>
                <w:w w:val="89"/>
                <w:vertAlign w:val="superscript"/>
              </w:rPr>
              <w:t>(1)</w:t>
            </w:r>
          </w:p>
        </w:tc>
        <w:tc>
          <w:tcPr>
            <w:tcW w:w="248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9"/>
              </w:rPr>
              <w:t>Warrants and Rights</w:t>
            </w:r>
            <w:r>
              <w:rPr>
                <w:rFonts w:ascii="Arial" w:cs="Arial" w:eastAsia="Arial" w:hAnsi="Arial"/>
                <w:sz w:val="25"/>
                <w:szCs w:val="25"/>
                <w:b w:val="1"/>
                <w:bCs w:val="1"/>
                <w:color w:val="auto"/>
                <w:w w:val="89"/>
                <w:vertAlign w:val="superscript"/>
              </w:rPr>
              <w:t>(2)</w:t>
            </w:r>
          </w:p>
        </w:tc>
        <w:tc>
          <w:tcPr>
            <w:tcW w:w="24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90"/>
              </w:rPr>
              <w:t>in Column (a))</w:t>
            </w:r>
            <w:r>
              <w:rPr>
                <w:rFonts w:ascii="Arial" w:cs="Arial" w:eastAsia="Arial" w:hAnsi="Arial"/>
                <w:sz w:val="25"/>
                <w:szCs w:val="25"/>
                <w:b w:val="1"/>
                <w:bCs w:val="1"/>
                <w:color w:val="auto"/>
                <w:w w:val="90"/>
                <w:vertAlign w:val="superscript"/>
              </w:rPr>
              <w:t>(3)</w:t>
            </w:r>
          </w:p>
        </w:tc>
      </w:tr>
      <w:tr>
        <w:trPr>
          <w:trHeight w:val="243"/>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plans approved by stockholders</w:t>
            </w:r>
          </w:p>
        </w:tc>
        <w:tc>
          <w:tcPr>
            <w:tcW w:w="27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9,460,430</w:t>
            </w:r>
          </w:p>
        </w:tc>
        <w:tc>
          <w:tcPr>
            <w:tcW w:w="248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rPr>
              <w:t>$7.60</w:t>
            </w:r>
          </w:p>
        </w:tc>
        <w:tc>
          <w:tcPr>
            <w:tcW w:w="246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rPr>
              <w:t>8,541,184</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Equity plans not approved by stockholders</w:t>
            </w:r>
          </w:p>
        </w:tc>
        <w:tc>
          <w:tcPr>
            <w:tcW w:w="2760" w:type="dxa"/>
            <w:vAlign w:val="bottom"/>
          </w:tcPr>
          <w:p>
            <w:pPr>
              <w:jc w:val="center"/>
              <w:ind w:left="250"/>
              <w:spacing w:after="0"/>
              <w:rPr>
                <w:sz w:val="20"/>
                <w:szCs w:val="20"/>
                <w:color w:val="auto"/>
              </w:rPr>
            </w:pPr>
            <w:r>
              <w:rPr>
                <w:rFonts w:ascii="Arial" w:cs="Arial" w:eastAsia="Arial" w:hAnsi="Arial"/>
                <w:sz w:val="18"/>
                <w:szCs w:val="18"/>
                <w:color w:val="auto"/>
                <w:w w:val="99"/>
              </w:rPr>
              <w:t>—</w:t>
            </w:r>
          </w:p>
        </w:tc>
        <w:tc>
          <w:tcPr>
            <w:tcW w:w="24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6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89" w:lineRule="exact"/>
        <w:rPr>
          <w:sz w:val="20"/>
          <w:szCs w:val="20"/>
          <w:color w:val="auto"/>
        </w:rPr>
      </w:pPr>
    </w:p>
    <w:p>
      <w:pPr>
        <w:ind w:left="340" w:right="20" w:hanging="332"/>
        <w:spacing w:after="0" w:line="213" w:lineRule="auto"/>
        <w:tabs>
          <w:tab w:leader="none" w:pos="340" w:val="left"/>
        </w:tabs>
        <w:numPr>
          <w:ilvl w:val="0"/>
          <w:numId w:val="54"/>
        </w:numPr>
        <w:rPr>
          <w:rFonts w:ascii="Arial" w:cs="Arial" w:eastAsia="Arial" w:hAnsi="Arial"/>
          <w:sz w:val="25"/>
          <w:szCs w:val="25"/>
          <w:color w:val="auto"/>
          <w:vertAlign w:val="superscript"/>
        </w:rPr>
      </w:pPr>
      <w:r>
        <w:rPr>
          <w:rFonts w:ascii="Arial" w:cs="Arial" w:eastAsia="Arial" w:hAnsi="Arial"/>
          <w:sz w:val="14"/>
          <w:szCs w:val="14"/>
          <w:color w:val="auto"/>
        </w:rPr>
        <w:t>Includes the 2008 Plan and the 2016 Plan, but does not include future rights to purchase shares under our 2017 Employee Stock Purchase Plan (“ESPP”), which depend on a number of factors described in our ESPP and will not be determined until the end of the applicable purchase period.</w:t>
      </w:r>
    </w:p>
    <w:p>
      <w:pPr>
        <w:spacing w:after="0" w:line="141" w:lineRule="exact"/>
        <w:rPr>
          <w:rFonts w:ascii="Arial" w:cs="Arial" w:eastAsia="Arial" w:hAnsi="Arial"/>
          <w:sz w:val="25"/>
          <w:szCs w:val="25"/>
          <w:color w:val="auto"/>
          <w:vertAlign w:val="superscript"/>
        </w:rPr>
      </w:pPr>
    </w:p>
    <w:p>
      <w:pPr>
        <w:ind w:left="340" w:right="20" w:hanging="332"/>
        <w:spacing w:after="0" w:line="213" w:lineRule="auto"/>
        <w:tabs>
          <w:tab w:leader="none" w:pos="340" w:val="left"/>
        </w:tabs>
        <w:numPr>
          <w:ilvl w:val="0"/>
          <w:numId w:val="54"/>
        </w:numPr>
        <w:rPr>
          <w:rFonts w:ascii="Arial" w:cs="Arial" w:eastAsia="Arial" w:hAnsi="Arial"/>
          <w:sz w:val="25"/>
          <w:szCs w:val="25"/>
          <w:color w:val="auto"/>
          <w:vertAlign w:val="superscript"/>
        </w:rPr>
      </w:pPr>
      <w:r>
        <w:rPr>
          <w:rFonts w:ascii="Arial" w:cs="Arial" w:eastAsia="Arial" w:hAnsi="Arial"/>
          <w:sz w:val="14"/>
          <w:szCs w:val="14"/>
          <w:color w:val="auto"/>
        </w:rPr>
        <w:t>The weighted average exercise price is calculated based solely on outstanding stock options and does not take into account stock underlying restricted stock units, which have no exercise price.</w:t>
      </w:r>
    </w:p>
    <w:p>
      <w:pPr>
        <w:spacing w:after="0" w:line="141" w:lineRule="exact"/>
        <w:rPr>
          <w:rFonts w:ascii="Arial" w:cs="Arial" w:eastAsia="Arial" w:hAnsi="Arial"/>
          <w:sz w:val="25"/>
          <w:szCs w:val="25"/>
          <w:color w:val="auto"/>
          <w:vertAlign w:val="superscript"/>
        </w:rPr>
      </w:pPr>
    </w:p>
    <w:p>
      <w:pPr>
        <w:jc w:val="both"/>
        <w:ind w:left="340" w:hanging="332"/>
        <w:spacing w:after="0" w:line="319" w:lineRule="auto"/>
        <w:tabs>
          <w:tab w:leader="none" w:pos="340" w:val="left"/>
        </w:tabs>
        <w:numPr>
          <w:ilvl w:val="0"/>
          <w:numId w:val="54"/>
        </w:numPr>
        <w:rPr>
          <w:rFonts w:ascii="Arial" w:cs="Arial" w:eastAsia="Arial" w:hAnsi="Arial"/>
          <w:sz w:val="23"/>
          <w:szCs w:val="23"/>
          <w:color w:val="auto"/>
          <w:vertAlign w:val="superscript"/>
        </w:rPr>
      </w:pPr>
      <w:r>
        <w:rPr>
          <w:rFonts w:ascii="Arial" w:cs="Arial" w:eastAsia="Arial" w:hAnsi="Arial"/>
          <w:sz w:val="13"/>
          <w:szCs w:val="13"/>
          <w:color w:val="auto"/>
        </w:rPr>
        <w:t>Includes the 2016 Plan and ESPP. Stock options or other stock awards granted under the 2008 Plan that are forfeited, terminated, expired or repurchased become available for issuance under the 2016 Plan. The 2016 Plan provides that the total number of shares reserved of Class A common stock reserved for issuance thereunder will be automatically increased, on February 1st of each calendar year, in an amount equal to 5% of the total number of shares of our capital stock outstanding on December 31 of the prior calendar year, or a lesser number of shares determined by our board of directors or a committee thereof. Our ESPP provides that the number of shares of our Class A common stock reserved for issuance thereunder will automatically increase on February 1st of each calendar year by the lesser of (a) 1% of the total number of shares of our capital stock outstanding on the last day of the calendar month before the date of the automatic increase and (b) 995,000 shares; provided that the board of directors or a committee thereof may determine that such increase will be less than the amount set forth above. Accordingly, on February 1, 2020, the number of shares of Class A common stock available for issuance under our 2016 Plan and our ESPP increased by 2,869,127 shares and 573,825 shares, respectively, pursuant to these provisions. These increases are not reflected in the table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319" w:right="3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ind w:right="220"/>
        <w:spacing w:after="0" w:line="272" w:lineRule="auto"/>
        <w:rPr>
          <w:sz w:val="20"/>
          <w:szCs w:val="20"/>
          <w:color w:val="auto"/>
        </w:rPr>
      </w:pPr>
      <w:r>
        <w:rPr>
          <w:rFonts w:ascii="Arial" w:cs="Arial" w:eastAsia="Arial" w:hAnsi="Arial"/>
          <w:sz w:val="29"/>
          <w:szCs w:val="29"/>
          <w:b w:val="1"/>
          <w:bCs w:val="1"/>
          <w:color w:val="auto"/>
        </w:rPr>
        <w:t>PROPOSAL 3 – RATIFICATION OF SELECTION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board of directors has selected PricewaterhouseCoopers LLP as our independent registered public accounting firm for the fiscal year ending January 31, 2021 and has further directed that management submit this selection for ratification by the stockholders at the meeting. PricewaterhouseCoopers LLP has served as our independent registered public accounting firm since 2013. Representatives of PricewaterhouseCoopers LLP are expected to be present during the meeting, where they will be available to respond to appropriate questions and, if they desire, to make a statement.</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board of directors is submitting this selection as a matter of good corporate governance and because we value our stockholders’ views on our independent registered public accounting firm. Neither our amended and restated bylaws nor other governing documents or law require stockholder ratification of the selection of our independent registered public accounting firm. If the stockholders fail to ratify this selection, our board of directors will reconsider whether or not to retain that firm. Even if the selection is ratified, our board of directors may direct the appointment of different independent auditors at any time during the year if they determine that such a change would be in the best interests of MongoDB and its stockholders.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 affirmative vote from holders of a majority in voting power of the shares present at the meeting (by virtual attendance) or represented by proxy and entitled to vote on the proposal will be required to ratify the selection of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the aggregate fees for services provided by PricewaterhouseCoopers LLP for the fiscal years ended January 31, 2020 and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4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Fiscal Years Ended January 31,</w:t>
            </w:r>
          </w:p>
        </w:tc>
      </w:tr>
      <w:tr>
        <w:trPr>
          <w:trHeight w:val="27"/>
        </w:trPr>
        <w:tc>
          <w:tcPr>
            <w:tcW w:w="67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2019</w:t>
            </w:r>
          </w:p>
        </w:tc>
      </w:tr>
      <w:tr>
        <w:trPr>
          <w:trHeight w:val="27"/>
        </w:trPr>
        <w:tc>
          <w:tcPr>
            <w:tcW w:w="6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3"/>
        </w:trPr>
        <w:tc>
          <w:tcPr>
            <w:tcW w:w="678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2,464,000</w:t>
            </w:r>
          </w:p>
        </w:tc>
        <w:tc>
          <w:tcPr>
            <w:tcW w:w="3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2,385,500</w:t>
            </w:r>
          </w:p>
        </w:tc>
      </w:tr>
      <w:tr>
        <w:trPr>
          <w:trHeight w:val="270"/>
        </w:trPr>
        <w:tc>
          <w:tcPr>
            <w:tcW w:w="6780" w:type="dxa"/>
            <w:vAlign w:val="bottom"/>
          </w:tcPr>
          <w:p>
            <w:pPr>
              <w:ind w:left="40"/>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5"/>
                <w:szCs w:val="25"/>
                <w:color w:val="auto"/>
                <w:vertAlign w:val="superscript"/>
              </w:rPr>
              <w:t>(2)</w:t>
            </w:r>
          </w:p>
        </w:tc>
        <w:tc>
          <w:tcPr>
            <w:tcW w:w="46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75,000</w:t>
            </w: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200,000</w:t>
            </w:r>
          </w:p>
        </w:tc>
      </w:tr>
      <w:tr>
        <w:trPr>
          <w:trHeight w:val="250"/>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4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7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All other fees</w:t>
            </w:r>
            <w:r>
              <w:rPr>
                <w:rFonts w:ascii="Arial" w:cs="Arial" w:eastAsia="Arial" w:hAnsi="Arial"/>
                <w:sz w:val="25"/>
                <w:szCs w:val="25"/>
                <w:color w:val="auto"/>
                <w:vertAlign w:val="superscript"/>
              </w:rPr>
              <w:t>(3)</w:t>
            </w:r>
          </w:p>
        </w:tc>
        <w:tc>
          <w:tcPr>
            <w:tcW w:w="4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3,950</w:t>
            </w:r>
          </w:p>
        </w:tc>
        <w:tc>
          <w:tcPr>
            <w:tcW w:w="32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2,970</w:t>
            </w:r>
          </w:p>
        </w:tc>
      </w:tr>
      <w:tr>
        <w:trPr>
          <w:trHeight w:val="268"/>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fees</w:t>
            </w: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2,542,950</w:t>
            </w:r>
          </w:p>
        </w:tc>
        <w:tc>
          <w:tcPr>
            <w:tcW w:w="3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2,588,470</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340" w:hanging="332"/>
        <w:spacing w:after="0" w:line="230" w:lineRule="auto"/>
        <w:tabs>
          <w:tab w:leader="none" w:pos="340" w:val="left"/>
        </w:tabs>
        <w:numPr>
          <w:ilvl w:val="0"/>
          <w:numId w:val="55"/>
        </w:numPr>
        <w:rPr>
          <w:rFonts w:ascii="Arial" w:cs="Arial" w:eastAsia="Arial" w:hAnsi="Arial"/>
          <w:sz w:val="23"/>
          <w:szCs w:val="23"/>
          <w:color w:val="auto"/>
          <w:vertAlign w:val="superscript"/>
        </w:rPr>
      </w:pPr>
      <w:r>
        <w:rPr>
          <w:rFonts w:ascii="Arial" w:cs="Arial" w:eastAsia="Arial" w:hAnsi="Arial"/>
          <w:sz w:val="13"/>
          <w:szCs w:val="13"/>
          <w:color w:val="auto"/>
        </w:rPr>
        <w:t>Audit fees consist of fees billed for professional services provided in connection with the audit of our annual consolidated financial statements, the review of our quarterly condensed consolidated financial statements, and audit services that are normally provided by independent registered public accounting firm in connection with regulatory filings.</w:t>
      </w:r>
    </w:p>
    <w:p>
      <w:pPr>
        <w:spacing w:after="0" w:line="143" w:lineRule="exact"/>
        <w:rPr>
          <w:rFonts w:ascii="Arial" w:cs="Arial" w:eastAsia="Arial" w:hAnsi="Arial"/>
          <w:sz w:val="23"/>
          <w:szCs w:val="23"/>
          <w:color w:val="auto"/>
          <w:vertAlign w:val="superscript"/>
        </w:rPr>
      </w:pPr>
    </w:p>
    <w:p>
      <w:pPr>
        <w:ind w:left="340" w:hanging="332"/>
        <w:spacing w:after="0" w:line="213" w:lineRule="auto"/>
        <w:tabs>
          <w:tab w:leader="none" w:pos="340" w:val="left"/>
        </w:tabs>
        <w:numPr>
          <w:ilvl w:val="0"/>
          <w:numId w:val="55"/>
        </w:numPr>
        <w:rPr>
          <w:rFonts w:ascii="Arial" w:cs="Arial" w:eastAsia="Arial" w:hAnsi="Arial"/>
          <w:sz w:val="25"/>
          <w:szCs w:val="25"/>
          <w:color w:val="auto"/>
          <w:vertAlign w:val="superscript"/>
        </w:rPr>
      </w:pPr>
      <w:r>
        <w:rPr>
          <w:rFonts w:ascii="Arial" w:cs="Arial" w:eastAsia="Arial" w:hAnsi="Arial"/>
          <w:sz w:val="14"/>
          <w:szCs w:val="14"/>
          <w:color w:val="auto"/>
        </w:rPr>
        <w:t xml:space="preserve">Audit-related fees primarily consist of consultation regarding the adoption of the new revenue accounting standard issued by the Financial Accounting Standards Board (“FASB”), Accounting Standards Updated (“ASU”) No.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(Topic 606) and </w:t>
      </w:r>
      <w:r>
        <w:rPr>
          <w:rFonts w:ascii="Arial" w:cs="Arial" w:eastAsia="Arial" w:hAnsi="Arial"/>
          <w:sz w:val="14"/>
          <w:szCs w:val="14"/>
          <w:i w:val="1"/>
          <w:iCs w:val="1"/>
          <w:color w:val="auto"/>
        </w:rPr>
        <w:t>Accounting Standards Update, Leases</w:t>
      </w:r>
      <w:r>
        <w:rPr>
          <w:rFonts w:ascii="Arial" w:cs="Arial" w:eastAsia="Arial" w:hAnsi="Arial"/>
          <w:sz w:val="14"/>
          <w:szCs w:val="14"/>
          <w:color w:val="auto"/>
        </w:rPr>
        <w:t xml:space="preserve"> (Topic 842).</w:t>
      </w:r>
    </w:p>
    <w:p>
      <w:pPr>
        <w:spacing w:after="0" w:line="3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55"/>
        </w:numPr>
        <w:rPr>
          <w:rFonts w:ascii="Arial" w:cs="Arial" w:eastAsia="Arial" w:hAnsi="Arial"/>
          <w:sz w:val="25"/>
          <w:szCs w:val="25"/>
          <w:color w:val="auto"/>
          <w:vertAlign w:val="superscript"/>
        </w:rPr>
      </w:pPr>
      <w:r>
        <w:rPr>
          <w:rFonts w:ascii="Arial" w:cs="Arial" w:eastAsia="Arial" w:hAnsi="Arial"/>
          <w:sz w:val="14"/>
          <w:szCs w:val="14"/>
          <w:color w:val="auto"/>
        </w:rPr>
        <w:t>All other fees billed for the fiscal years ended January 31, 2020 and 2019 were related to fees for access to online accounting research software.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319" w:right="3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Consistent with the requirements of the SEC and the Public Company Accounting Oversight Board regarding auditor independence, the audit committee has responsibility for appointing, setting compensation and overseeing the work of our independent registered public accounting firm. In recognition of this responsibility, the audit committee has adopted a policy and procedures for the pre-approval of audit and non-audit services rendered by our independent registered public accounting firm, PricewaterhouseCoopers LLP. The policy generally permits pre-approval of specified services in the defined categories of audit services, audit-related services, tax services and non-audit services.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authority to grant specific pre-approval between meetings, as necessary, has been delegated to the chairperson of the audit committee. The chairperson must update the audit committee at the next regularly scheduled meeting of any services that were granted specific pre-approval.</w:t>
      </w:r>
    </w:p>
    <w:p>
      <w:pPr>
        <w:spacing w:after="0" w:line="14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of the services provided by PricewaterhouseCoopers LLP for our fiscal year ended January 31, 2020, described in the Principal Accountant Fees and Services table above, were pre-approved by the audit committee or our board of directors. Our audit committee has determined that the rendering of services other than audit services by PricewaterhouseCoopers LLP is compatible with maintaining the principal accountant’s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189230</wp:posOffset>
            </wp:positionV>
            <wp:extent cx="7063740" cy="360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63740" cy="360045"/>
                    </a:xfrm>
                    <a:prstGeom prst="rect">
                      <a:avLst/>
                    </a:prstGeom>
                    <a:noFill/>
                  </pic:spPr>
                </pic:pic>
              </a:graphicData>
            </a:graphic>
          </wp:anchor>
        </w:drawing>
      </w:r>
    </w:p>
    <w:p>
      <w:pPr>
        <w:spacing w:after="0" w:line="291" w:lineRule="exact"/>
        <w:rPr>
          <w:sz w:val="20"/>
          <w:szCs w:val="20"/>
          <w:color w:val="auto"/>
        </w:rPr>
      </w:pPr>
    </w:p>
    <w:p>
      <w:pPr>
        <w:jc w:val="center"/>
        <w:spacing w:after="0" w:line="280" w:lineRule="auto"/>
        <w:rPr>
          <w:sz w:val="20"/>
          <w:szCs w:val="20"/>
          <w:color w:val="auto"/>
        </w:rPr>
      </w:pPr>
      <w:r>
        <w:rPr>
          <w:rFonts w:ascii="Arial" w:cs="Arial" w:eastAsia="Arial" w:hAnsi="Arial"/>
          <w:sz w:val="21"/>
          <w:szCs w:val="21"/>
          <w:color w:val="auto"/>
        </w:rPr>
        <w:t xml:space="preserve">Our board of directors recommends a vote </w:t>
      </w:r>
      <w:r>
        <w:rPr>
          <w:rFonts w:ascii="Arial" w:cs="Arial" w:eastAsia="Arial" w:hAnsi="Arial"/>
          <w:sz w:val="21"/>
          <w:szCs w:val="21"/>
          <w:b w:val="1"/>
          <w:bCs w:val="1"/>
          <w:color w:val="auto"/>
        </w:rPr>
        <w:t>FOR</w:t>
      </w:r>
      <w:r>
        <w:rPr>
          <w:rFonts w:ascii="Arial" w:cs="Arial" w:eastAsia="Arial" w:hAnsi="Arial"/>
          <w:sz w:val="21"/>
          <w:szCs w:val="21"/>
          <w:color w:val="auto"/>
        </w:rPr>
        <w:t xml:space="preserve"> the ratification of the selection of PricewaterhouseCoopers LLP as our independent registered public accounting firm for the fiscal year ending January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40"/>
          </w:cols>
          <w:pgMar w:left="320" w:top="319" w:right="3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audit committee has reviewed and discussed the audited financial statements for the fiscal year ended January 31, 2020 with the management of MongoDB. The audit committee has discussed with MongoDB’s independent registered public accounting firm, PricewaterhouseCoopers LLP, the matters required to be discussed by the applicable requirements of the Public Company Accounting Oversight Board and the Commission. The audit committee has also received the written disclosures and the letter from PricewaterhouseCoopers LLP required by applicable requirements of the Public Company Accounting Oversight Board regarding the independent accountants’ communications with the audit committee concerning independence, and has discussed with PricewaterhouseCoopers LLP the accounting firm’s independence. Based on the foregoing, the audit committee has recommended to our board of directors that the audited financial statements be included in MongoDB’s Annual Report on Form 10-K for the fiscal year ended January 31, 2020, for filing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Hope Cochran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Roelof Botha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M. Hazard, Jr.</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is not to be incorporated by reference in any filing of MongoDB under the Securities Act or the Exchange Act, whether made before or after the date hereof and irrespective of any general incorporation language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319" w:right="3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ind w:right="2120"/>
        <w:spacing w:after="0" w:line="272" w:lineRule="auto"/>
        <w:rPr>
          <w:sz w:val="20"/>
          <w:szCs w:val="20"/>
          <w:color w:val="auto"/>
        </w:rPr>
      </w:pPr>
      <w:r>
        <w:rPr>
          <w:rFonts w:ascii="Arial" w:cs="Arial" w:eastAsia="Arial" w:hAnsi="Arial"/>
          <w:sz w:val="29"/>
          <w:szCs w:val="29"/>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tables set forth, as of May 15, 2020, certain information with respect to the beneficial ownership of our common stock: (a) by each person known by us to be the beneficial owner of more than five percent of the outstanding shares of Class A common stock or Class B common stock, (b) by each of our directors and director nominees, (c) by each of our named executive officers and (d) by all of our current executive officers, directors and director nominees as a group.</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percentage of shares beneficially owned shown in the table is based on 50,560,756 shares of Class A common stock and 7,526,304 shares of our Class B common stock outstanding as of May 15, 2020. In computing the number of shares of capital stock beneficially owned by a person and the percentage ownership of such person, we deemed to be outstanding any shares of our capital stock subject to options held by such person that are currently exercisable or exercisable within 60 days of May 15, 2020 and any shares of capital stock issuable upon the vesting of RSUs within 60 days after May 15, 2020. However, we did not deem such shares of our capital stock outstanding for the purpose of computing the percentage ownership of any other person.</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generally includes any shares over which a person exercises sole or shared voting or investment power. Unless otherwise indicated, the persons or entities identified in this table have sole voting and investment power with respect to all shares shown beneficially owned by them, subject to applicable community property laws. The information contained in the following table is not necessarily indicative of beneficial ownership for any other purpose, and the inclusion of any shares in the table does not constitute an admission of beneficial ownership of those shares. This table is based upon information supplied by officers, directors and principal stockholders and Schedules 13D and 13G and Forms 4 filed with the SEC.</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otherwise noted below, the address for persons listed in the table is c/o MongoDB, Inc., 1633 Broadway, 38th Floor, New York, New York 10019.</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Certain Beneficial Owners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00" w:type="dxa"/>
            <w:vAlign w:val="bottom"/>
            <w:gridSpan w:val="5"/>
          </w:tcPr>
          <w:p>
            <w:pPr>
              <w:ind w:left="20"/>
              <w:spacing w:after="0"/>
              <w:rPr>
                <w:sz w:val="20"/>
                <w:szCs w:val="20"/>
                <w:color w:val="auto"/>
              </w:rPr>
            </w:pPr>
            <w:r>
              <w:rPr>
                <w:rFonts w:ascii="Arial" w:cs="Arial" w:eastAsia="Arial" w:hAnsi="Arial"/>
                <w:sz w:val="18"/>
                <w:szCs w:val="18"/>
                <w:b w:val="1"/>
                <w:bCs w:val="1"/>
                <w:color w:val="auto"/>
              </w:rPr>
              <w:t>Shares Beneficially Owned†</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ind w:left="920"/>
              <w:spacing w:after="0"/>
              <w:rPr>
                <w:sz w:val="20"/>
                <w:szCs w:val="20"/>
                <w:color w:val="auto"/>
              </w:rPr>
            </w:pPr>
            <w:r>
              <w:rPr>
                <w:rFonts w:ascii="Arial" w:cs="Arial" w:eastAsia="Arial" w:hAnsi="Arial"/>
                <w:sz w:val="18"/>
                <w:szCs w:val="18"/>
                <w:b w:val="1"/>
                <w:bCs w:val="1"/>
                <w:color w:val="auto"/>
              </w:rPr>
              <w:t>Class A</w:t>
            </w:r>
          </w:p>
        </w:tc>
        <w:tc>
          <w:tcPr>
            <w:tcW w:w="1640" w:type="dxa"/>
            <w:vAlign w:val="bottom"/>
            <w:gridSpan w:val="3"/>
          </w:tcPr>
          <w:p>
            <w:pPr>
              <w:ind w:left="880"/>
              <w:spacing w:after="0"/>
              <w:rPr>
                <w:sz w:val="20"/>
                <w:szCs w:val="20"/>
                <w:color w:val="auto"/>
              </w:rPr>
            </w:pPr>
            <w:r>
              <w:rPr>
                <w:rFonts w:ascii="Arial" w:cs="Arial" w:eastAsia="Arial" w:hAnsi="Arial"/>
                <w:sz w:val="18"/>
                <w:szCs w:val="18"/>
                <w:b w:val="1"/>
                <w:bCs w:val="1"/>
                <w:color w:val="auto"/>
              </w:rPr>
              <w:t>Class B</w:t>
            </w: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 of Total</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620" w:type="dxa"/>
            <w:vAlign w:val="bottom"/>
            <w:gridSpan w:val="2"/>
          </w:tcPr>
          <w:p>
            <w:pPr>
              <w:ind w:left="80"/>
              <w:spacing w:after="0"/>
              <w:rPr>
                <w:sz w:val="20"/>
                <w:szCs w:val="20"/>
                <w:color w:val="auto"/>
              </w:rPr>
            </w:pPr>
            <w:r>
              <w:rPr>
                <w:rFonts w:ascii="Arial" w:cs="Arial" w:eastAsia="Arial" w:hAnsi="Arial"/>
                <w:sz w:val="18"/>
                <w:szCs w:val="18"/>
                <w:b w:val="1"/>
                <w:bCs w:val="1"/>
                <w:color w:val="auto"/>
              </w:rPr>
              <w:t>Name of Beneficial Owner -</w:t>
            </w: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Number of</w:t>
            </w: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89"/>
              </w:rPr>
              <w:t>Voting</w:t>
            </w:r>
          </w:p>
        </w:tc>
        <w:tc>
          <w:tcPr>
            <w:tcW w:w="0" w:type="dxa"/>
            <w:vAlign w:val="bottom"/>
          </w:tcPr>
          <w:p>
            <w:pPr>
              <w:spacing w:after="0"/>
              <w:rPr>
                <w:sz w:val="1"/>
                <w:szCs w:val="1"/>
                <w:color w:val="auto"/>
              </w:rPr>
            </w:pPr>
          </w:p>
        </w:tc>
      </w:tr>
      <w:tr>
        <w:trPr>
          <w:trHeight w:val="234"/>
        </w:trPr>
        <w:tc>
          <w:tcPr>
            <w:tcW w:w="4620" w:type="dxa"/>
            <w:vAlign w:val="bottom"/>
            <w:gridSpan w:val="2"/>
          </w:tcPr>
          <w:p>
            <w:pPr>
              <w:ind w:left="80"/>
              <w:spacing w:after="0"/>
              <w:rPr>
                <w:sz w:val="20"/>
                <w:szCs w:val="20"/>
                <w:color w:val="auto"/>
              </w:rPr>
            </w:pPr>
            <w:r>
              <w:rPr>
                <w:rFonts w:ascii="Arial" w:cs="Arial" w:eastAsia="Arial" w:hAnsi="Arial"/>
                <w:sz w:val="18"/>
                <w:szCs w:val="18"/>
                <w:b w:val="1"/>
                <w:bCs w:val="1"/>
                <w:color w:val="auto"/>
              </w:rPr>
              <w:t>5% or Greater Stockholders:</w:t>
            </w: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w:t>
            </w:r>
          </w:p>
        </w:tc>
        <w:tc>
          <w:tcPr>
            <w:tcW w:w="92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6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Power†</w:t>
            </w:r>
          </w:p>
        </w:tc>
        <w:tc>
          <w:tcPr>
            <w:tcW w:w="0" w:type="dxa"/>
            <w:vAlign w:val="bottom"/>
          </w:tcPr>
          <w:p>
            <w:pPr>
              <w:spacing w:after="0"/>
              <w:rPr>
                <w:sz w:val="1"/>
                <w:szCs w:val="1"/>
                <w:color w:val="auto"/>
              </w:rPr>
            </w:pPr>
          </w:p>
        </w:tc>
      </w:tr>
      <w:tr>
        <w:trPr>
          <w:trHeight w:val="27"/>
        </w:trPr>
        <w:tc>
          <w:tcPr>
            <w:tcW w:w="4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620" w:type="dxa"/>
            <w:vAlign w:val="bottom"/>
            <w:gridSpan w:val="2"/>
            <w:shd w:val="clear" w:color="auto" w:fill="CCEEFF"/>
          </w:tcPr>
          <w:p>
            <w:pPr>
              <w:ind w:left="80"/>
              <w:spacing w:after="0" w:line="263" w:lineRule="exact"/>
              <w:rPr>
                <w:sz w:val="20"/>
                <w:szCs w:val="20"/>
                <w:color w:val="auto"/>
              </w:rPr>
            </w:pPr>
            <w:r>
              <w:rPr>
                <w:rFonts w:ascii="Arial" w:cs="Arial" w:eastAsia="Arial" w:hAnsi="Arial"/>
                <w:sz w:val="18"/>
                <w:szCs w:val="18"/>
                <w:color w:val="auto"/>
              </w:rPr>
              <w:t>FMR, LLC</w:t>
            </w:r>
            <w:r>
              <w:rPr>
                <w:rFonts w:ascii="Arial" w:cs="Arial" w:eastAsia="Arial" w:hAnsi="Arial"/>
                <w:sz w:val="25"/>
                <w:szCs w:val="25"/>
                <w:color w:val="auto"/>
                <w:vertAlign w:val="superscript"/>
              </w:rPr>
              <w:t>(1)</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7,839,880</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CCEEFF"/>
          </w:tcPr>
          <w:p>
            <w:pPr>
              <w:spacing w:after="0"/>
              <w:rPr>
                <w:sz w:val="22"/>
                <w:szCs w:val="22"/>
                <w:color w:val="auto"/>
              </w:rPr>
            </w:pP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0"/>
        </w:trPr>
        <w:tc>
          <w:tcPr>
            <w:tcW w:w="4620" w:type="dxa"/>
            <w:vAlign w:val="bottom"/>
            <w:gridSpan w:val="2"/>
          </w:tcPr>
          <w:p>
            <w:pPr>
              <w:ind w:left="80"/>
              <w:spacing w:after="0" w:line="270" w:lineRule="exact"/>
              <w:rPr>
                <w:sz w:val="20"/>
                <w:szCs w:val="20"/>
                <w:color w:val="auto"/>
              </w:rPr>
            </w:pPr>
            <w:r>
              <w:rPr>
                <w:rFonts w:ascii="Arial" w:cs="Arial" w:eastAsia="Arial" w:hAnsi="Arial"/>
                <w:sz w:val="18"/>
                <w:szCs w:val="18"/>
                <w:color w:val="auto"/>
              </w:rPr>
              <w:t>Capital World Investors</w:t>
            </w:r>
            <w:r>
              <w:rPr>
                <w:rFonts w:ascii="Arial" w:cs="Arial" w:eastAsia="Arial" w:hAnsi="Arial"/>
                <w:sz w:val="25"/>
                <w:szCs w:val="25"/>
                <w:color w:val="auto"/>
                <w:vertAlign w:val="superscript"/>
              </w:rPr>
              <w:t>(2)</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6,949,967</w:t>
            </w:r>
          </w:p>
        </w:tc>
        <w:tc>
          <w:tcPr>
            <w:tcW w:w="2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23"/>
                <w:szCs w:val="23"/>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CCEEFF"/>
          </w:tcPr>
          <w:p>
            <w:pPr>
              <w:ind w:left="80"/>
              <w:spacing w:after="0" w:line="270" w:lineRule="exact"/>
              <w:rPr>
                <w:sz w:val="20"/>
                <w:szCs w:val="20"/>
                <w:color w:val="auto"/>
              </w:rPr>
            </w:pPr>
            <w:r>
              <w:rPr>
                <w:rFonts w:ascii="Arial" w:cs="Arial" w:eastAsia="Arial" w:hAnsi="Arial"/>
                <w:sz w:val="18"/>
                <w:szCs w:val="18"/>
                <w:color w:val="auto"/>
              </w:rPr>
              <w:t>Morgan Stanley</w:t>
            </w:r>
            <w:r>
              <w:rPr>
                <w:rFonts w:ascii="Arial" w:cs="Arial" w:eastAsia="Arial" w:hAnsi="Arial"/>
                <w:sz w:val="25"/>
                <w:szCs w:val="25"/>
                <w:color w:val="auto"/>
                <w:vertAlign w:val="superscript"/>
              </w:rPr>
              <w:t>(3)</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4,949,976</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23"/>
                <w:szCs w:val="23"/>
                <w:color w:val="auto"/>
              </w:rPr>
            </w:pP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0"/>
        </w:trPr>
        <w:tc>
          <w:tcPr>
            <w:tcW w:w="4620" w:type="dxa"/>
            <w:vAlign w:val="bottom"/>
            <w:gridSpan w:val="2"/>
          </w:tcPr>
          <w:p>
            <w:pPr>
              <w:ind w:left="80"/>
              <w:spacing w:after="0" w:line="270" w:lineRule="exact"/>
              <w:rPr>
                <w:sz w:val="20"/>
                <w:szCs w:val="20"/>
                <w:color w:val="auto"/>
              </w:rPr>
            </w:pPr>
            <w:r>
              <w:rPr>
                <w:rFonts w:ascii="Arial" w:cs="Arial" w:eastAsia="Arial" w:hAnsi="Arial"/>
                <w:sz w:val="18"/>
                <w:szCs w:val="18"/>
                <w:color w:val="auto"/>
              </w:rPr>
              <w:t>The Vanguard Group</w:t>
            </w:r>
            <w:r>
              <w:rPr>
                <w:rFonts w:ascii="Arial" w:cs="Arial" w:eastAsia="Arial" w:hAnsi="Arial"/>
                <w:sz w:val="25"/>
                <w:szCs w:val="25"/>
                <w:color w:val="auto"/>
                <w:vertAlign w:val="superscript"/>
              </w:rPr>
              <w:t>(4)</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4,092,064</w:t>
            </w:r>
          </w:p>
        </w:tc>
        <w:tc>
          <w:tcPr>
            <w:tcW w:w="2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23"/>
                <w:szCs w:val="23"/>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CCEEFF"/>
          </w:tcPr>
          <w:p>
            <w:pPr>
              <w:ind w:left="80"/>
              <w:spacing w:after="0" w:line="270" w:lineRule="exact"/>
              <w:rPr>
                <w:sz w:val="20"/>
                <w:szCs w:val="20"/>
                <w:color w:val="auto"/>
              </w:rPr>
            </w:pPr>
            <w:r>
              <w:rPr>
                <w:rFonts w:ascii="Arial" w:cs="Arial" w:eastAsia="Arial" w:hAnsi="Arial"/>
                <w:sz w:val="18"/>
                <w:szCs w:val="18"/>
                <w:color w:val="auto"/>
              </w:rPr>
              <w:t>BlackRock, Inc.</w:t>
            </w:r>
            <w:r>
              <w:rPr>
                <w:rFonts w:ascii="Arial" w:cs="Arial" w:eastAsia="Arial" w:hAnsi="Arial"/>
                <w:sz w:val="25"/>
                <w:szCs w:val="25"/>
                <w:color w:val="auto"/>
                <w:vertAlign w:val="superscript"/>
              </w:rPr>
              <w:t>(5)</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2,638,822</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23"/>
                <w:szCs w:val="23"/>
                <w:color w:val="auto"/>
              </w:rPr>
            </w:pP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4620" w:type="dxa"/>
            <w:vAlign w:val="bottom"/>
            <w:gridSpan w:val="2"/>
          </w:tcPr>
          <w:p>
            <w:pPr>
              <w:ind w:left="80"/>
              <w:spacing w:after="0" w:line="270" w:lineRule="exact"/>
              <w:rPr>
                <w:sz w:val="20"/>
                <w:szCs w:val="20"/>
                <w:color w:val="auto"/>
              </w:rPr>
            </w:pPr>
            <w:r>
              <w:rPr>
                <w:rFonts w:ascii="Arial" w:cs="Arial" w:eastAsia="Arial" w:hAnsi="Arial"/>
                <w:sz w:val="18"/>
                <w:szCs w:val="18"/>
                <w:color w:val="auto"/>
              </w:rPr>
              <w:t>Kevin P. Ryan</w:t>
            </w:r>
            <w:r>
              <w:rPr>
                <w:rFonts w:ascii="Arial" w:cs="Arial" w:eastAsia="Arial" w:hAnsi="Arial"/>
                <w:sz w:val="25"/>
                <w:szCs w:val="25"/>
                <w:color w:val="auto"/>
                <w:vertAlign w:val="superscript"/>
              </w:rPr>
              <w:t>(6)</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1,937,905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CCEEFF"/>
          </w:tcPr>
          <w:p>
            <w:pPr>
              <w:ind w:left="80"/>
              <w:spacing w:after="0" w:line="270" w:lineRule="exact"/>
              <w:rPr>
                <w:sz w:val="20"/>
                <w:szCs w:val="20"/>
                <w:color w:val="auto"/>
              </w:rPr>
            </w:pPr>
            <w:r>
              <w:rPr>
                <w:rFonts w:ascii="Arial" w:cs="Arial" w:eastAsia="Arial" w:hAnsi="Arial"/>
                <w:sz w:val="18"/>
                <w:szCs w:val="18"/>
                <w:color w:val="auto"/>
              </w:rPr>
              <w:t>Entities affiliated with Sequoia Capital</w:t>
            </w:r>
            <w:r>
              <w:rPr>
                <w:rFonts w:ascii="Arial" w:cs="Arial" w:eastAsia="Arial" w:hAnsi="Arial"/>
                <w:sz w:val="25"/>
                <w:szCs w:val="25"/>
                <w:color w:val="auto"/>
                <w:vertAlign w:val="superscript"/>
              </w:rPr>
              <w:t>(7)</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1,726,704</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319" w:right="3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Named Executive Officers, Directors and Director Nominees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88"/>
              </w:rPr>
              <w:t>Shares Beneficially Owned†</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3"/>
          </w:tcPr>
          <w:p>
            <w:pPr>
              <w:ind w:left="940"/>
              <w:spacing w:after="0"/>
              <w:rPr>
                <w:sz w:val="20"/>
                <w:szCs w:val="20"/>
                <w:color w:val="auto"/>
              </w:rPr>
            </w:pPr>
            <w:r>
              <w:rPr>
                <w:rFonts w:ascii="Arial" w:cs="Arial" w:eastAsia="Arial" w:hAnsi="Arial"/>
                <w:sz w:val="18"/>
                <w:szCs w:val="18"/>
                <w:b w:val="1"/>
                <w:bCs w:val="1"/>
                <w:color w:val="auto"/>
                <w:w w:val="87"/>
              </w:rPr>
              <w:t>Class A</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ind w:left="960"/>
              <w:spacing w:after="0"/>
              <w:rPr>
                <w:sz w:val="20"/>
                <w:szCs w:val="20"/>
                <w:color w:val="auto"/>
              </w:rPr>
            </w:pPr>
            <w:r>
              <w:rPr>
                <w:rFonts w:ascii="Arial" w:cs="Arial" w:eastAsia="Arial" w:hAnsi="Arial"/>
                <w:sz w:val="18"/>
                <w:szCs w:val="18"/>
                <w:b w:val="1"/>
                <w:bCs w:val="1"/>
                <w:color w:val="auto"/>
                <w:w w:val="84"/>
              </w:rPr>
              <w:t>Class B</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 of Total</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20" w:type="dxa"/>
            <w:vAlign w:val="bottom"/>
            <w:gridSpan w:val="2"/>
          </w:tcPr>
          <w:p>
            <w:pPr>
              <w:ind w:left="80"/>
              <w:spacing w:after="0"/>
              <w:rPr>
                <w:sz w:val="20"/>
                <w:szCs w:val="20"/>
                <w:color w:val="auto"/>
              </w:rPr>
            </w:pPr>
            <w:r>
              <w:rPr>
                <w:rFonts w:ascii="Arial" w:cs="Arial" w:eastAsia="Arial" w:hAnsi="Arial"/>
                <w:sz w:val="18"/>
                <w:szCs w:val="18"/>
                <w:b w:val="1"/>
                <w:bCs w:val="1"/>
                <w:color w:val="auto"/>
              </w:rPr>
              <w:t>Named Executive Officers, Directors and Director</w:t>
            </w:r>
          </w:p>
        </w:tc>
        <w:tc>
          <w:tcPr>
            <w:tcW w:w="15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ind w:left="280"/>
              <w:spacing w:after="0"/>
              <w:rPr>
                <w:sz w:val="20"/>
                <w:szCs w:val="20"/>
                <w:color w:val="auto"/>
              </w:rPr>
            </w:pPr>
            <w:r>
              <w:rPr>
                <w:rFonts w:ascii="Arial" w:cs="Arial" w:eastAsia="Arial" w:hAnsi="Arial"/>
                <w:sz w:val="18"/>
                <w:szCs w:val="18"/>
                <w:b w:val="1"/>
                <w:bCs w:val="1"/>
                <w:color w:val="auto"/>
              </w:rPr>
              <w:t>Number of</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2"/>
              </w:rPr>
              <w:t>Voting</w:t>
            </w:r>
          </w:p>
        </w:tc>
        <w:tc>
          <w:tcPr>
            <w:tcW w:w="0" w:type="dxa"/>
            <w:vAlign w:val="bottom"/>
          </w:tcPr>
          <w:p>
            <w:pPr>
              <w:spacing w:after="0"/>
              <w:rPr>
                <w:sz w:val="1"/>
                <w:szCs w:val="1"/>
                <w:color w:val="auto"/>
              </w:rPr>
            </w:pPr>
          </w:p>
        </w:tc>
      </w:tr>
      <w:tr>
        <w:trPr>
          <w:trHeight w:val="234"/>
        </w:trPr>
        <w:tc>
          <w:tcPr>
            <w:tcW w:w="4520" w:type="dxa"/>
            <w:vAlign w:val="bottom"/>
            <w:gridSpan w:val="2"/>
          </w:tcPr>
          <w:p>
            <w:pPr>
              <w:ind w:left="80"/>
              <w:spacing w:after="0"/>
              <w:rPr>
                <w:sz w:val="20"/>
                <w:szCs w:val="20"/>
                <w:color w:val="auto"/>
              </w:rPr>
            </w:pPr>
            <w:r>
              <w:rPr>
                <w:rFonts w:ascii="Arial" w:cs="Arial" w:eastAsia="Arial" w:hAnsi="Arial"/>
                <w:sz w:val="18"/>
                <w:szCs w:val="18"/>
                <w:b w:val="1"/>
                <w:bCs w:val="1"/>
                <w:color w:val="auto"/>
              </w:rPr>
              <w:t>Nominees</w:t>
            </w:r>
          </w:p>
        </w:tc>
        <w:tc>
          <w:tcPr>
            <w:tcW w:w="15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0"/>
              </w:rPr>
              <w:t>Power†</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Archana Agrawal</w:t>
            </w:r>
          </w:p>
        </w:tc>
        <w:tc>
          <w:tcPr>
            <w:tcW w:w="154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20" w:type="dxa"/>
            <w:vAlign w:val="bottom"/>
            <w:gridSpan w:val="2"/>
          </w:tcPr>
          <w:p>
            <w:pPr>
              <w:ind w:left="80"/>
              <w:spacing w:after="0"/>
              <w:rPr>
                <w:sz w:val="20"/>
                <w:szCs w:val="20"/>
                <w:color w:val="auto"/>
              </w:rPr>
            </w:pPr>
            <w:r>
              <w:rPr>
                <w:rFonts w:ascii="Arial" w:cs="Arial" w:eastAsia="Arial" w:hAnsi="Arial"/>
                <w:sz w:val="18"/>
                <w:szCs w:val="18"/>
                <w:color w:val="auto"/>
              </w:rPr>
              <w:t>Roelof Botha</w:t>
            </w:r>
          </w:p>
        </w:tc>
        <w:tc>
          <w:tcPr>
            <w:tcW w:w="1260" w:type="dxa"/>
            <w:vAlign w:val="bottom"/>
          </w:tcPr>
          <w:p>
            <w:pPr>
              <w:jc w:val="right"/>
              <w:ind w:right="30"/>
              <w:spacing w:after="0" w:line="270" w:lineRule="exact"/>
              <w:rPr>
                <w:sz w:val="20"/>
                <w:szCs w:val="20"/>
                <w:color w:val="auto"/>
              </w:rPr>
            </w:pPr>
            <w:r>
              <w:rPr>
                <w:rFonts w:ascii="Arial" w:cs="Arial" w:eastAsia="Arial" w:hAnsi="Arial"/>
                <w:sz w:val="18"/>
                <w:szCs w:val="18"/>
                <w:color w:val="auto"/>
              </w:rPr>
              <w:t>182,134</w:t>
            </w:r>
            <w:r>
              <w:rPr>
                <w:rFonts w:ascii="Arial" w:cs="Arial" w:eastAsia="Arial" w:hAnsi="Arial"/>
                <w:sz w:val="25"/>
                <w:szCs w:val="25"/>
                <w:color w:val="auto"/>
                <w:vertAlign w:val="superscript"/>
              </w:rPr>
              <w:t>(8)</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340" w:type="dxa"/>
            <w:vAlign w:val="bottom"/>
          </w:tcPr>
          <w:p>
            <w:pPr>
              <w:jc w:val="right"/>
              <w:ind w:right="30"/>
              <w:spacing w:after="0" w:line="270" w:lineRule="exact"/>
              <w:rPr>
                <w:sz w:val="20"/>
                <w:szCs w:val="20"/>
                <w:color w:val="auto"/>
              </w:rPr>
            </w:pPr>
            <w:r>
              <w:rPr>
                <w:rFonts w:ascii="Arial" w:cs="Arial" w:eastAsia="Arial" w:hAnsi="Arial"/>
                <w:sz w:val="18"/>
                <w:szCs w:val="18"/>
                <w:color w:val="auto"/>
              </w:rPr>
              <w:t>1,726,704</w:t>
            </w:r>
            <w:r>
              <w:rPr>
                <w:rFonts w:ascii="Arial" w:cs="Arial" w:eastAsia="Arial" w:hAnsi="Arial"/>
                <w:sz w:val="25"/>
                <w:szCs w:val="25"/>
                <w:color w:val="auto"/>
                <w:vertAlign w:val="superscript"/>
              </w:rPr>
              <w:t>(7)</w:t>
            </w:r>
          </w:p>
        </w:tc>
        <w:tc>
          <w:tcPr>
            <w:tcW w:w="2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22.9</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0"/>
        </w:trPr>
        <w:tc>
          <w:tcPr>
            <w:tcW w:w="4520" w:type="dxa"/>
            <w:vAlign w:val="bottom"/>
            <w:gridSpan w:val="2"/>
            <w:shd w:val="clear" w:color="auto" w:fill="CCEEFF"/>
          </w:tcPr>
          <w:p>
            <w:pPr>
              <w:ind w:left="80"/>
              <w:spacing w:after="0" w:line="270" w:lineRule="exact"/>
              <w:rPr>
                <w:sz w:val="20"/>
                <w:szCs w:val="20"/>
                <w:color w:val="auto"/>
              </w:rPr>
            </w:pPr>
            <w:r>
              <w:rPr>
                <w:rFonts w:ascii="Arial" w:cs="Arial" w:eastAsia="Arial" w:hAnsi="Arial"/>
                <w:sz w:val="18"/>
                <w:szCs w:val="18"/>
                <w:color w:val="auto"/>
              </w:rPr>
              <w:t>Hope Cochran</w:t>
            </w:r>
            <w:r>
              <w:rPr>
                <w:rFonts w:ascii="Arial" w:cs="Arial" w:eastAsia="Arial" w:hAnsi="Arial"/>
                <w:sz w:val="25"/>
                <w:szCs w:val="25"/>
                <w:color w:val="auto"/>
                <w:vertAlign w:val="superscript"/>
              </w:rPr>
              <w:t>(9)</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54,927</w:t>
            </w: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20" w:type="dxa"/>
            <w:vAlign w:val="bottom"/>
            <w:gridSpan w:val="2"/>
          </w:tcPr>
          <w:p>
            <w:pPr>
              <w:ind w:left="80"/>
              <w:spacing w:after="0"/>
              <w:rPr>
                <w:sz w:val="20"/>
                <w:szCs w:val="20"/>
                <w:color w:val="auto"/>
              </w:rPr>
            </w:pPr>
            <w:r>
              <w:rPr>
                <w:rFonts w:ascii="Arial" w:cs="Arial" w:eastAsia="Arial" w:hAnsi="Arial"/>
                <w:sz w:val="18"/>
                <w:szCs w:val="18"/>
                <w:color w:val="auto"/>
              </w:rPr>
              <w:t>Francisco D’Souza</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gridSpan w:val="2"/>
            <w:shd w:val="clear" w:color="auto" w:fill="CCEEFF"/>
          </w:tcPr>
          <w:p>
            <w:pPr>
              <w:ind w:left="80"/>
              <w:spacing w:after="0" w:line="270" w:lineRule="exact"/>
              <w:rPr>
                <w:sz w:val="20"/>
                <w:szCs w:val="20"/>
                <w:color w:val="auto"/>
              </w:rPr>
            </w:pPr>
            <w:r>
              <w:rPr>
                <w:rFonts w:ascii="Arial" w:cs="Arial" w:eastAsia="Arial" w:hAnsi="Arial"/>
                <w:sz w:val="18"/>
                <w:szCs w:val="18"/>
                <w:color w:val="auto"/>
              </w:rPr>
              <w:t>Michael Gordon</w:t>
            </w:r>
            <w:r>
              <w:rPr>
                <w:rFonts w:ascii="Arial" w:cs="Arial" w:eastAsia="Arial" w:hAnsi="Arial"/>
                <w:sz w:val="25"/>
                <w:szCs w:val="25"/>
                <w:color w:val="auto"/>
                <w:vertAlign w:val="superscript"/>
              </w:rPr>
              <w:t>(10)</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29,769</w:t>
            </w: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398,859</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4520" w:type="dxa"/>
            <w:vAlign w:val="bottom"/>
            <w:gridSpan w:val="2"/>
          </w:tcPr>
          <w:p>
            <w:pPr>
              <w:ind w:left="80"/>
              <w:spacing w:after="0" w:line="270" w:lineRule="exact"/>
              <w:rPr>
                <w:sz w:val="20"/>
                <w:szCs w:val="20"/>
                <w:color w:val="auto"/>
              </w:rPr>
            </w:pPr>
            <w:r>
              <w:rPr>
                <w:rFonts w:ascii="Arial" w:cs="Arial" w:eastAsia="Arial" w:hAnsi="Arial"/>
                <w:sz w:val="18"/>
                <w:szCs w:val="18"/>
                <w:color w:val="auto"/>
              </w:rPr>
              <w:t>Charles M. Hazard, Jr.</w:t>
            </w:r>
            <w:r>
              <w:rPr>
                <w:rFonts w:ascii="Arial" w:cs="Arial" w:eastAsia="Arial" w:hAnsi="Arial"/>
                <w:sz w:val="25"/>
                <w:szCs w:val="25"/>
                <w:color w:val="auto"/>
                <w:vertAlign w:val="superscript"/>
              </w:rPr>
              <w:t>(11)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120,619</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20" w:type="dxa"/>
            <w:vAlign w:val="bottom"/>
            <w:gridSpan w:val="2"/>
            <w:shd w:val="clear" w:color="auto" w:fill="CCEEFF"/>
          </w:tcPr>
          <w:p>
            <w:pPr>
              <w:ind w:left="80"/>
              <w:spacing w:after="0" w:line="270" w:lineRule="exact"/>
              <w:rPr>
                <w:sz w:val="20"/>
                <w:szCs w:val="20"/>
                <w:color w:val="auto"/>
              </w:rPr>
            </w:pPr>
            <w:r>
              <w:rPr>
                <w:rFonts w:ascii="Arial" w:cs="Arial" w:eastAsia="Arial" w:hAnsi="Arial"/>
                <w:sz w:val="18"/>
                <w:szCs w:val="18"/>
                <w:color w:val="auto"/>
              </w:rPr>
              <w:t>Eliot Horowitz</w:t>
            </w:r>
            <w:r>
              <w:rPr>
                <w:rFonts w:ascii="Arial" w:cs="Arial" w:eastAsia="Arial" w:hAnsi="Arial"/>
                <w:sz w:val="25"/>
                <w:szCs w:val="25"/>
                <w:color w:val="auto"/>
                <w:vertAlign w:val="superscript"/>
              </w:rPr>
              <w:t>(12)</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13,279</w:t>
            </w: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2,057,163</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0"/>
        </w:trPr>
        <w:tc>
          <w:tcPr>
            <w:tcW w:w="4520" w:type="dxa"/>
            <w:vAlign w:val="bottom"/>
            <w:gridSpan w:val="2"/>
          </w:tcPr>
          <w:p>
            <w:pPr>
              <w:ind w:left="80"/>
              <w:spacing w:after="0" w:line="270" w:lineRule="exact"/>
              <w:rPr>
                <w:sz w:val="20"/>
                <w:szCs w:val="20"/>
                <w:color w:val="auto"/>
              </w:rPr>
            </w:pPr>
            <w:r>
              <w:rPr>
                <w:rFonts w:ascii="Arial" w:cs="Arial" w:eastAsia="Arial" w:hAnsi="Arial"/>
                <w:sz w:val="18"/>
                <w:szCs w:val="18"/>
                <w:color w:val="auto"/>
              </w:rPr>
              <w:t>Dev Ittycheria</w:t>
            </w:r>
            <w:r>
              <w:rPr>
                <w:rFonts w:ascii="Arial" w:cs="Arial" w:eastAsia="Arial" w:hAnsi="Arial"/>
                <w:sz w:val="25"/>
                <w:szCs w:val="25"/>
                <w:color w:val="auto"/>
                <w:vertAlign w:val="superscript"/>
              </w:rPr>
              <w:t>(13)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62,329</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2,121,879</w:t>
            </w:r>
          </w:p>
        </w:tc>
        <w:tc>
          <w:tcPr>
            <w:tcW w:w="2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22.0</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0"/>
        </w:trPr>
        <w:tc>
          <w:tcPr>
            <w:tcW w:w="4520" w:type="dxa"/>
            <w:vAlign w:val="bottom"/>
            <w:gridSpan w:val="2"/>
            <w:shd w:val="clear" w:color="auto" w:fill="CCEEFF"/>
          </w:tcPr>
          <w:p>
            <w:pPr>
              <w:ind w:left="80"/>
              <w:spacing w:after="0" w:line="270" w:lineRule="exact"/>
              <w:rPr>
                <w:sz w:val="20"/>
                <w:szCs w:val="20"/>
                <w:color w:val="auto"/>
              </w:rPr>
            </w:pPr>
            <w:r>
              <w:rPr>
                <w:rFonts w:ascii="Arial" w:cs="Arial" w:eastAsia="Arial" w:hAnsi="Arial"/>
                <w:sz w:val="18"/>
                <w:szCs w:val="18"/>
                <w:color w:val="auto"/>
              </w:rPr>
              <w:t>Tom Killalea</w:t>
            </w:r>
            <w:r>
              <w:rPr>
                <w:rFonts w:ascii="Arial" w:cs="Arial" w:eastAsia="Arial" w:hAnsi="Arial"/>
                <w:sz w:val="25"/>
                <w:szCs w:val="25"/>
                <w:color w:val="auto"/>
                <w:vertAlign w:val="superscript"/>
              </w:rPr>
              <w:t>(14)</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4,190</w:t>
            </w:r>
          </w:p>
        </w:tc>
        <w:tc>
          <w:tcPr>
            <w:tcW w:w="2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92,687</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20" w:type="dxa"/>
            <w:vAlign w:val="bottom"/>
            <w:gridSpan w:val="2"/>
          </w:tcPr>
          <w:p>
            <w:pPr>
              <w:ind w:left="80"/>
              <w:spacing w:after="0" w:line="270" w:lineRule="exact"/>
              <w:rPr>
                <w:sz w:val="20"/>
                <w:szCs w:val="20"/>
                <w:color w:val="auto"/>
              </w:rPr>
            </w:pPr>
            <w:r>
              <w:rPr>
                <w:rFonts w:ascii="Arial" w:cs="Arial" w:eastAsia="Arial" w:hAnsi="Arial"/>
                <w:sz w:val="18"/>
                <w:szCs w:val="18"/>
                <w:color w:val="auto"/>
              </w:rPr>
              <w:t>John McMahon</w:t>
            </w:r>
            <w:r>
              <w:rPr>
                <w:rFonts w:ascii="Arial" w:cs="Arial" w:eastAsia="Arial" w:hAnsi="Arial"/>
                <w:sz w:val="25"/>
                <w:szCs w:val="25"/>
                <w:color w:val="auto"/>
                <w:vertAlign w:val="superscript"/>
              </w:rPr>
              <w:t>(15)</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29,871</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60,750</w:t>
            </w:r>
          </w:p>
        </w:tc>
        <w:tc>
          <w:tcPr>
            <w:tcW w:w="2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20" w:type="dxa"/>
            <w:vAlign w:val="bottom"/>
            <w:gridSpan w:val="2"/>
            <w:shd w:val="clear" w:color="auto" w:fill="CCEEFF"/>
          </w:tcPr>
          <w:p>
            <w:pPr>
              <w:ind w:left="80"/>
              <w:spacing w:after="0" w:line="270" w:lineRule="exact"/>
              <w:rPr>
                <w:sz w:val="20"/>
                <w:szCs w:val="20"/>
                <w:color w:val="auto"/>
              </w:rPr>
            </w:pPr>
            <w:r>
              <w:rPr>
                <w:rFonts w:ascii="Arial" w:cs="Arial" w:eastAsia="Arial" w:hAnsi="Arial"/>
                <w:sz w:val="18"/>
                <w:szCs w:val="18"/>
                <w:color w:val="auto"/>
              </w:rPr>
              <w:t>Dwight Merriman</w:t>
            </w:r>
            <w:r>
              <w:rPr>
                <w:rFonts w:ascii="Arial" w:cs="Arial" w:eastAsia="Arial" w:hAnsi="Arial"/>
                <w:sz w:val="25"/>
                <w:szCs w:val="25"/>
                <w:color w:val="auto"/>
                <w:vertAlign w:val="superscript"/>
              </w:rPr>
              <w:t>(16)</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2,367,207</w:t>
            </w:r>
          </w:p>
        </w:tc>
        <w:tc>
          <w:tcPr>
            <w:tcW w:w="2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0"/>
        </w:trPr>
        <w:tc>
          <w:tcPr>
            <w:tcW w:w="4520" w:type="dxa"/>
            <w:vAlign w:val="bottom"/>
            <w:gridSpan w:val="2"/>
          </w:tcPr>
          <w:p>
            <w:pPr>
              <w:ind w:left="80"/>
              <w:spacing w:after="0" w:line="270" w:lineRule="exact"/>
              <w:rPr>
                <w:sz w:val="20"/>
                <w:szCs w:val="20"/>
                <w:color w:val="auto"/>
              </w:rPr>
            </w:pPr>
            <w:r>
              <w:rPr>
                <w:rFonts w:ascii="Arial" w:cs="Arial" w:eastAsia="Arial" w:hAnsi="Arial"/>
                <w:sz w:val="18"/>
                <w:szCs w:val="18"/>
                <w:color w:val="auto"/>
              </w:rPr>
              <w:t>Cedric Pech</w:t>
            </w:r>
            <w:r>
              <w:rPr>
                <w:rFonts w:ascii="Arial" w:cs="Arial" w:eastAsia="Arial" w:hAnsi="Arial"/>
                <w:sz w:val="25"/>
                <w:szCs w:val="25"/>
                <w:color w:val="auto"/>
                <w:vertAlign w:val="superscript"/>
              </w:rPr>
              <w:t>(17)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134,203</w:t>
            </w: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Mark Porter</w:t>
            </w:r>
          </w:p>
        </w:tc>
        <w:tc>
          <w:tcPr>
            <w:tcW w:w="154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gridSpan w:val="2"/>
          </w:tcPr>
          <w:p>
            <w:pPr>
              <w:ind w:left="80"/>
              <w:spacing w:after="0"/>
              <w:rPr>
                <w:sz w:val="20"/>
                <w:szCs w:val="20"/>
                <w:color w:val="auto"/>
              </w:rPr>
            </w:pPr>
            <w:r>
              <w:rPr>
                <w:rFonts w:ascii="Arial" w:cs="Arial" w:eastAsia="Arial" w:hAnsi="Arial"/>
                <w:sz w:val="18"/>
                <w:szCs w:val="18"/>
                <w:color w:val="auto"/>
              </w:rPr>
              <w:t>All current executive officers, directors and director</w:t>
            </w:r>
          </w:p>
        </w:tc>
        <w:tc>
          <w:tcPr>
            <w:tcW w:w="1260" w:type="dxa"/>
            <w:vAlign w:val="bottom"/>
            <w:vMerge w:val="restart"/>
          </w:tcPr>
          <w:p>
            <w:pPr>
              <w:jc w:val="right"/>
              <w:ind w:right="30"/>
              <w:spacing w:after="0"/>
              <w:rPr>
                <w:sz w:val="20"/>
                <w:szCs w:val="20"/>
                <w:color w:val="auto"/>
              </w:rPr>
            </w:pPr>
            <w:r>
              <w:rPr>
                <w:rFonts w:ascii="Arial" w:cs="Arial" w:eastAsia="Arial" w:hAnsi="Arial"/>
                <w:sz w:val="18"/>
                <w:szCs w:val="18"/>
                <w:color w:val="auto"/>
              </w:rPr>
              <w:t>631,321</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9"/>
                <w:szCs w:val="19"/>
                <w:color w:val="auto"/>
              </w:rPr>
            </w:pPr>
          </w:p>
        </w:tc>
        <w:tc>
          <w:tcPr>
            <w:tcW w:w="1340" w:type="dxa"/>
            <w:vAlign w:val="bottom"/>
            <w:vMerge w:val="restart"/>
          </w:tcPr>
          <w:p>
            <w:pPr>
              <w:jc w:val="right"/>
              <w:ind w:right="30"/>
              <w:spacing w:after="0"/>
              <w:rPr>
                <w:sz w:val="20"/>
                <w:szCs w:val="20"/>
                <w:color w:val="auto"/>
              </w:rPr>
            </w:pPr>
            <w:r>
              <w:rPr>
                <w:rFonts w:ascii="Arial" w:cs="Arial" w:eastAsia="Arial" w:hAnsi="Arial"/>
                <w:sz w:val="18"/>
                <w:szCs w:val="18"/>
                <w:color w:val="auto"/>
              </w:rPr>
              <w:t>8,825,249</w:t>
            </w:r>
          </w:p>
        </w:tc>
        <w:tc>
          <w:tcPr>
            <w:tcW w:w="200" w:type="dxa"/>
            <w:vAlign w:val="bottom"/>
          </w:tcPr>
          <w:p>
            <w:pPr>
              <w:spacing w:after="0"/>
              <w:rPr>
                <w:sz w:val="19"/>
                <w:szCs w:val="19"/>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81.3</w:t>
            </w:r>
          </w:p>
        </w:tc>
        <w:tc>
          <w:tcPr>
            <w:tcW w:w="15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122"/>
        </w:trPr>
        <w:tc>
          <w:tcPr>
            <w:tcW w:w="4520" w:type="dxa"/>
            <w:vAlign w:val="bottom"/>
            <w:gridSpan w:val="2"/>
            <w:vMerge w:val="restart"/>
          </w:tcPr>
          <w:p>
            <w:pPr>
              <w:ind w:left="80"/>
              <w:spacing w:after="0"/>
              <w:rPr>
                <w:sz w:val="20"/>
                <w:szCs w:val="20"/>
                <w:color w:val="auto"/>
              </w:rPr>
            </w:pPr>
            <w:r>
              <w:rPr>
                <w:rFonts w:ascii="Arial" w:cs="Arial" w:eastAsia="Arial" w:hAnsi="Arial"/>
                <w:sz w:val="18"/>
                <w:szCs w:val="18"/>
                <w:color w:val="auto"/>
              </w:rPr>
              <w:t>nominees as a group (13 persons)</w:t>
            </w:r>
            <w:r>
              <w:rPr>
                <w:rFonts w:ascii="Arial" w:cs="Arial" w:eastAsia="Arial" w:hAnsi="Arial"/>
                <w:sz w:val="25"/>
                <w:szCs w:val="25"/>
                <w:color w:val="auto"/>
                <w:vertAlign w:val="superscript"/>
              </w:rPr>
              <w:t>(18)</w:t>
            </w:r>
          </w:p>
        </w:tc>
        <w:tc>
          <w:tcPr>
            <w:tcW w:w="12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452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34" w:lineRule="auto"/>
        <w:tabs>
          <w:tab w:leader="none" w:pos="340" w:val="left"/>
        </w:tabs>
        <w:numPr>
          <w:ilvl w:val="0"/>
          <w:numId w:val="56"/>
        </w:numPr>
        <w:rPr>
          <w:rFonts w:ascii="Arial" w:cs="Arial" w:eastAsia="Arial" w:hAnsi="Arial"/>
          <w:sz w:val="25"/>
          <w:szCs w:val="25"/>
          <w:b w:val="1"/>
          <w:bCs w:val="1"/>
          <w:color w:val="auto"/>
          <w:vertAlign w:val="superscript"/>
        </w:rPr>
      </w:pPr>
      <w:r>
        <w:rPr>
          <w:rFonts w:ascii="Arial" w:cs="Arial" w:eastAsia="Arial" w:hAnsi="Arial"/>
          <w:sz w:val="14"/>
          <w:szCs w:val="14"/>
          <w:color w:val="auto"/>
        </w:rPr>
        <w:t>Represents beneficial ownership of less than 1%.</w:t>
      </w:r>
    </w:p>
    <w:p>
      <w:pPr>
        <w:spacing w:after="0" w:line="143" w:lineRule="exact"/>
        <w:rPr>
          <w:sz w:val="20"/>
          <w:szCs w:val="20"/>
          <w:color w:val="auto"/>
        </w:rPr>
      </w:pPr>
    </w:p>
    <w:p>
      <w:pPr>
        <w:ind w:left="340" w:hanging="332"/>
        <w:spacing w:after="0" w:line="220" w:lineRule="auto"/>
        <w:tabs>
          <w:tab w:leader="none" w:pos="340" w:val="left"/>
        </w:tabs>
        <w:numPr>
          <w:ilvl w:val="0"/>
          <w:numId w:val="57"/>
        </w:numPr>
        <w:rPr>
          <w:rFonts w:ascii="Arial" w:cs="Arial" w:eastAsia="Arial" w:hAnsi="Arial"/>
          <w:sz w:val="25"/>
          <w:szCs w:val="25"/>
          <w:b w:val="1"/>
          <w:bCs w:val="1"/>
          <w:color w:val="auto"/>
          <w:vertAlign w:val="superscript"/>
        </w:rPr>
      </w:pPr>
      <w:r>
        <w:rPr>
          <w:rFonts w:ascii="Arial" w:cs="Arial" w:eastAsia="Arial" w:hAnsi="Arial"/>
          <w:sz w:val="14"/>
          <w:szCs w:val="14"/>
          <w:color w:val="auto"/>
        </w:rPr>
        <w:t>Percentage of total voting power represents voting power with respect to all shares of our Class A and Class B common stock, as a single class. The holders of our Class B common stock are entitled to 10 votes per share, and holders of our Class A common stock are entitled to one vote per share.</w:t>
      </w:r>
    </w:p>
    <w:p>
      <w:pPr>
        <w:spacing w:after="0" w:line="142" w:lineRule="exact"/>
        <w:rPr>
          <w:sz w:val="20"/>
          <w:szCs w:val="20"/>
          <w:color w:val="auto"/>
        </w:rPr>
      </w:pPr>
    </w:p>
    <w:p>
      <w:pPr>
        <w:jc w:val="both"/>
        <w:ind w:left="340" w:hanging="332"/>
        <w:spacing w:after="0" w:line="275" w:lineRule="auto"/>
        <w:tabs>
          <w:tab w:leader="none" w:pos="340" w:val="left"/>
        </w:tabs>
        <w:numPr>
          <w:ilvl w:val="0"/>
          <w:numId w:val="58"/>
        </w:numPr>
        <w:rPr>
          <w:rFonts w:ascii="Arial" w:cs="Arial" w:eastAsia="Arial" w:hAnsi="Arial"/>
          <w:sz w:val="25"/>
          <w:szCs w:val="25"/>
          <w:color w:val="auto"/>
          <w:vertAlign w:val="superscript"/>
        </w:rPr>
      </w:pPr>
      <w:r>
        <w:rPr>
          <w:rFonts w:ascii="Arial" w:cs="Arial" w:eastAsia="Arial" w:hAnsi="Arial"/>
          <w:sz w:val="14"/>
          <w:szCs w:val="14"/>
          <w:color w:val="auto"/>
        </w:rPr>
        <w:t>Based upon the information provided by FMR LLC (“FMR”) in a Schedule 13G/A filed on February 7, 2020, and reporting ownership as of December 31, 2019 (the “FMR 13G/A”). In addition, on April 1, 2020, FMR converted all shares of Class B common stock held by it into shares of Class A common stock, which has been reflected in the table above. The principal business address of FMR is 245 Summer Street, Boston, MA 02210. Based on the FMR 13G/A and the subsequent conversion, FMR has sole voting power over 1,451,468 shares Class A common stock, shared voting power over no shares of Class A common stock, sole dispositive power over 7,839,880 shares of Class A common stock and shared dispositive power over no shares of Class A common stock.</w:t>
      </w:r>
    </w:p>
    <w:p>
      <w:pPr>
        <w:spacing w:after="0" w:line="120" w:lineRule="exact"/>
        <w:rPr>
          <w:rFonts w:ascii="Arial" w:cs="Arial" w:eastAsia="Arial" w:hAnsi="Arial"/>
          <w:sz w:val="25"/>
          <w:szCs w:val="25"/>
          <w:color w:val="auto"/>
          <w:vertAlign w:val="superscript"/>
        </w:rPr>
      </w:pPr>
    </w:p>
    <w:p>
      <w:pPr>
        <w:jc w:val="both"/>
        <w:ind w:left="340" w:hanging="332"/>
        <w:spacing w:after="0" w:line="263" w:lineRule="auto"/>
        <w:tabs>
          <w:tab w:leader="none" w:pos="340" w:val="left"/>
        </w:tabs>
        <w:numPr>
          <w:ilvl w:val="0"/>
          <w:numId w:val="58"/>
        </w:numPr>
        <w:rPr>
          <w:rFonts w:ascii="Arial" w:cs="Arial" w:eastAsia="Arial" w:hAnsi="Arial"/>
          <w:sz w:val="25"/>
          <w:szCs w:val="25"/>
          <w:color w:val="auto"/>
          <w:vertAlign w:val="superscript"/>
        </w:rPr>
      </w:pPr>
      <w:r>
        <w:rPr>
          <w:rFonts w:ascii="Arial" w:cs="Arial" w:eastAsia="Arial" w:hAnsi="Arial"/>
          <w:sz w:val="14"/>
          <w:szCs w:val="14"/>
          <w:color w:val="auto"/>
        </w:rPr>
        <w:t>Based upon the information provided by Capital World Investors (“Capital World”) in a Schedule 13G/A filed on February 14, 2020, and reporting ownership as of December 31, 2019. The principal business address of Capital World is 333 South Hope Street, Los Angeles, CA 90071. Capital World has sole voting power over 6,949,967 shares Class A common stock, shared voting power over no shares of Class A common stock, sole dispositive power over 6,949,967 shares of Class A common stock and shared dispositive power over no shares of Class A common stock.</w:t>
      </w:r>
    </w:p>
    <w:p>
      <w:pPr>
        <w:spacing w:after="0" w:line="127" w:lineRule="exact"/>
        <w:rPr>
          <w:rFonts w:ascii="Arial" w:cs="Arial" w:eastAsia="Arial" w:hAnsi="Arial"/>
          <w:sz w:val="25"/>
          <w:szCs w:val="25"/>
          <w:color w:val="auto"/>
          <w:vertAlign w:val="superscript"/>
        </w:rPr>
      </w:pPr>
    </w:p>
    <w:p>
      <w:pPr>
        <w:jc w:val="both"/>
        <w:ind w:left="340" w:hanging="332"/>
        <w:spacing w:after="0" w:line="263" w:lineRule="auto"/>
        <w:tabs>
          <w:tab w:leader="none" w:pos="340" w:val="left"/>
        </w:tabs>
        <w:numPr>
          <w:ilvl w:val="0"/>
          <w:numId w:val="58"/>
        </w:numPr>
        <w:rPr>
          <w:rFonts w:ascii="Arial" w:cs="Arial" w:eastAsia="Arial" w:hAnsi="Arial"/>
          <w:sz w:val="25"/>
          <w:szCs w:val="25"/>
          <w:color w:val="auto"/>
          <w:vertAlign w:val="superscript"/>
        </w:rPr>
      </w:pPr>
      <w:r>
        <w:rPr>
          <w:rFonts w:ascii="Arial" w:cs="Arial" w:eastAsia="Arial" w:hAnsi="Arial"/>
          <w:sz w:val="14"/>
          <w:szCs w:val="14"/>
          <w:color w:val="auto"/>
        </w:rPr>
        <w:t>Based upon the information provided by Morgan Stanley and Morgan Stanley Investment Management, Inc. (together, “Morgan Stanley”) in a Schedule 13G/A filed on April 9, 2020, and reporting ownership as of March 31, 2020. The principal business address of Morgan Stanley is 1585 Broadway, New York, NY 10036. Morgan Stanley has sole voting power over no shares Class A common stock, shared voting power over 4,751,412 shares of Class A common stock, sole dispositive power over no shares of Class A common stock and shared dispositive power over 4,949,976 shares of Class A common stock.</w:t>
      </w:r>
    </w:p>
    <w:p>
      <w:pPr>
        <w:spacing w:after="0" w:line="127" w:lineRule="exact"/>
        <w:rPr>
          <w:rFonts w:ascii="Arial" w:cs="Arial" w:eastAsia="Arial" w:hAnsi="Arial"/>
          <w:sz w:val="25"/>
          <w:szCs w:val="25"/>
          <w:color w:val="auto"/>
          <w:vertAlign w:val="superscript"/>
        </w:rPr>
      </w:pPr>
    </w:p>
    <w:p>
      <w:pPr>
        <w:jc w:val="both"/>
        <w:ind w:left="340" w:hanging="332"/>
        <w:spacing w:after="0" w:line="263" w:lineRule="auto"/>
        <w:tabs>
          <w:tab w:leader="none" w:pos="340" w:val="left"/>
        </w:tabs>
        <w:numPr>
          <w:ilvl w:val="0"/>
          <w:numId w:val="58"/>
        </w:numPr>
        <w:rPr>
          <w:rFonts w:ascii="Arial" w:cs="Arial" w:eastAsia="Arial" w:hAnsi="Arial"/>
          <w:sz w:val="25"/>
          <w:szCs w:val="25"/>
          <w:color w:val="auto"/>
          <w:vertAlign w:val="superscript"/>
        </w:rPr>
      </w:pPr>
      <w:r>
        <w:rPr>
          <w:rFonts w:ascii="Arial" w:cs="Arial" w:eastAsia="Arial" w:hAnsi="Arial"/>
          <w:sz w:val="14"/>
          <w:szCs w:val="14"/>
          <w:color w:val="auto"/>
        </w:rPr>
        <w:t>Based upon the information provided by The Vanguard Group - 23 - 1945930 (“Vanguard”) in a Schedule 13G/A filed on February 12, 2020, and reporting ownership as of December 31, 2019. The principal business address of Vanguard is 100 Vanguard Blvd., Malvern, PA 19355. Vanguard has sole voting power over 30,745 shares Class A common stock, shared voting power over 9,129 shares of Class A common stock, sole dispositive power over 4,054,482 shares of Class A common stock and shared dispositive power over 37,582 shares of Class A common stock.</w:t>
      </w:r>
    </w:p>
    <w:p>
      <w:pPr>
        <w:spacing w:after="0" w:line="127" w:lineRule="exact"/>
        <w:rPr>
          <w:rFonts w:ascii="Arial" w:cs="Arial" w:eastAsia="Arial" w:hAnsi="Arial"/>
          <w:sz w:val="25"/>
          <w:szCs w:val="25"/>
          <w:color w:val="auto"/>
          <w:vertAlign w:val="superscript"/>
        </w:rPr>
      </w:pPr>
    </w:p>
    <w:p>
      <w:pPr>
        <w:jc w:val="both"/>
        <w:ind w:left="340" w:hanging="332"/>
        <w:spacing w:after="0" w:line="269" w:lineRule="auto"/>
        <w:tabs>
          <w:tab w:leader="none" w:pos="340" w:val="left"/>
        </w:tabs>
        <w:numPr>
          <w:ilvl w:val="0"/>
          <w:numId w:val="58"/>
        </w:numPr>
        <w:rPr>
          <w:rFonts w:ascii="Arial" w:cs="Arial" w:eastAsia="Arial" w:hAnsi="Arial"/>
          <w:sz w:val="23"/>
          <w:szCs w:val="23"/>
          <w:color w:val="auto"/>
          <w:vertAlign w:val="superscript"/>
        </w:rPr>
      </w:pPr>
      <w:r>
        <w:rPr>
          <w:rFonts w:ascii="Arial" w:cs="Arial" w:eastAsia="Arial" w:hAnsi="Arial"/>
          <w:sz w:val="13"/>
          <w:szCs w:val="13"/>
          <w:color w:val="auto"/>
        </w:rPr>
        <w:t>Based upon the information provided by BlackRock, Inc. (“BlackRock”) in a Schedule 13G filed on February 10, 2020, and reporting ownership as of December 31, 2019. The principal business address of BlackRock is 55 East 52nd Street, New York, NY 10055. BlackRock has sole voting power over 2,410,217 shares Class A common stock, shared voting power over no shares of Class A common stock, sole dispositive power over 2,638,822 shares of Class A common stock and shared dispositive power over no shares of Class A common stock.</w:t>
      </w:r>
    </w:p>
    <w:p>
      <w:pPr>
        <w:spacing w:after="0" w:line="124" w:lineRule="exact"/>
        <w:rPr>
          <w:rFonts w:ascii="Arial" w:cs="Arial" w:eastAsia="Arial" w:hAnsi="Arial"/>
          <w:sz w:val="23"/>
          <w:szCs w:val="23"/>
          <w:color w:val="auto"/>
          <w:vertAlign w:val="superscript"/>
        </w:rPr>
      </w:pPr>
    </w:p>
    <w:p>
      <w:pPr>
        <w:ind w:left="340" w:hanging="332"/>
        <w:spacing w:after="0" w:line="213" w:lineRule="auto"/>
        <w:tabs>
          <w:tab w:leader="none" w:pos="340" w:val="left"/>
        </w:tabs>
        <w:numPr>
          <w:ilvl w:val="0"/>
          <w:numId w:val="58"/>
        </w:numPr>
        <w:rPr>
          <w:rFonts w:ascii="Arial" w:cs="Arial" w:eastAsia="Arial" w:hAnsi="Arial"/>
          <w:sz w:val="25"/>
          <w:szCs w:val="25"/>
          <w:color w:val="auto"/>
          <w:vertAlign w:val="superscript"/>
        </w:rPr>
      </w:pPr>
      <w:r>
        <w:rPr>
          <w:rFonts w:ascii="Arial" w:cs="Arial" w:eastAsia="Arial" w:hAnsi="Arial"/>
          <w:sz w:val="14"/>
          <w:szCs w:val="14"/>
          <w:color w:val="auto"/>
        </w:rPr>
        <w:t>Consists of (a) 1,261,739 shares of Class B common stock held directly by Mr. Ryan and (b) 676,166 shares of Class B common stock held by The Kevin P. Ryan 2012 Trust for the benefit of his children.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319" w:right="3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39" w:lineRule="exact"/>
        <w:rPr>
          <w:sz w:val="20"/>
          <w:szCs w:val="20"/>
          <w:color w:val="auto"/>
        </w:rPr>
      </w:pPr>
    </w:p>
    <w:p>
      <w:pPr>
        <w:jc w:val="both"/>
        <w:ind w:left="340" w:hanging="332"/>
        <w:spacing w:after="0" w:line="296" w:lineRule="auto"/>
        <w:tabs>
          <w:tab w:leader="none" w:pos="340" w:val="left"/>
        </w:tabs>
        <w:numPr>
          <w:ilvl w:val="0"/>
          <w:numId w:val="59"/>
        </w:numPr>
        <w:rPr>
          <w:rFonts w:ascii="Arial" w:cs="Arial" w:eastAsia="Arial" w:hAnsi="Arial"/>
          <w:sz w:val="25"/>
          <w:szCs w:val="25"/>
          <w:color w:val="auto"/>
          <w:vertAlign w:val="superscript"/>
        </w:rPr>
      </w:pPr>
      <w:r>
        <w:rPr>
          <w:rFonts w:ascii="Arial" w:cs="Arial" w:eastAsia="Arial" w:hAnsi="Arial"/>
          <w:sz w:val="14"/>
          <w:szCs w:val="14"/>
          <w:color w:val="auto"/>
        </w:rPr>
        <w:t>Consists of (a) 846,819 shares of Class B common stock held by Sequoia Capital U.S. Growth Fund IV, L.P. (“SC USGF IV”), (b) 744,272 shares of Class B common stock held by Sequoia Capital U.S. Venture 2010 Fund, LP (“SC USV 2010”), (c) 81,788 shares of Class B common stock held by Sequoia Capital U.S. Venture 2010 Partners Fund (Q), LP (“SC USV 2010 PFQ”), (d) 16,515 shares of Class B common stock held by Sequoia Capital U.S. Venture 2010 Partners Fund, LP (“SC USV 2010 PF”) and (e) 37,310 shares of Class B common stock held by Sequoia Capital USGF Principals Fund IV, L.P. (“SC USGF PF IV”). SC US (TTGP), Ltd. is the general partner of SCGF IV Management, L.P., which is the sole general partner of SC USGF IV and SC USGF PF IV (collectively, the “SC GFIV Funds”). As a result, SC US (TTGP), Ltd. and SCGF IV Management, L.P. may be deemed to share voting and dispositive power with respect to the shares held by the SC GFIV Funds. SC US (TTGP), Ltd. is the general partner of SC U.S. Venture 2010 Management, L.P., which is the general partner of each of SC USV 2010, SC USV 2010 PF and SC USV 2010 PFQ, or collectively, the SC 2010 Funds. As a result, SC US (TTGP), Ltd. and SC U.S. Venture 2010 Management, L.P. may be deemed to share voting and dispositive power with respect to the shares held by the SC 2010 Funds. The address of each of these entities is 2800 Sand Hill Road, Suite 101, Menlo Park, California 94025.</w:t>
      </w:r>
    </w:p>
    <w:p>
      <w:pPr>
        <w:spacing w:after="0" w:line="108" w:lineRule="exact"/>
        <w:rPr>
          <w:rFonts w:ascii="Arial" w:cs="Arial" w:eastAsia="Arial" w:hAnsi="Arial"/>
          <w:sz w:val="25"/>
          <w:szCs w:val="25"/>
          <w:color w:val="auto"/>
          <w:vertAlign w:val="superscript"/>
        </w:rPr>
      </w:pPr>
    </w:p>
    <w:p>
      <w:pPr>
        <w:ind w:left="340" w:hanging="332"/>
        <w:spacing w:after="0" w:line="213" w:lineRule="auto"/>
        <w:tabs>
          <w:tab w:leader="none" w:pos="340" w:val="left"/>
        </w:tabs>
        <w:numPr>
          <w:ilvl w:val="0"/>
          <w:numId w:val="59"/>
        </w:numPr>
        <w:rPr>
          <w:rFonts w:ascii="Arial" w:cs="Arial" w:eastAsia="Arial" w:hAnsi="Arial"/>
          <w:sz w:val="25"/>
          <w:szCs w:val="25"/>
          <w:color w:val="auto"/>
          <w:vertAlign w:val="superscript"/>
        </w:rPr>
      </w:pPr>
      <w:r>
        <w:rPr>
          <w:rFonts w:ascii="Arial" w:cs="Arial" w:eastAsia="Arial" w:hAnsi="Arial"/>
          <w:sz w:val="14"/>
          <w:szCs w:val="14"/>
          <w:color w:val="auto"/>
        </w:rPr>
        <w:t>Consists of (a) 181,077 shares of Class A common stock owned by estate planning vehicles for the benefit of Mr. Botha and (b) 1,057 shares of Class A common stock issuable upon the vesting of RSUs within 60 days of May 15, 2020.</w:t>
      </w:r>
    </w:p>
    <w:p>
      <w:pPr>
        <w:spacing w:after="0" w:line="141" w:lineRule="exact"/>
        <w:rPr>
          <w:rFonts w:ascii="Arial" w:cs="Arial" w:eastAsia="Arial" w:hAnsi="Arial"/>
          <w:sz w:val="25"/>
          <w:szCs w:val="25"/>
          <w:color w:val="auto"/>
          <w:vertAlign w:val="superscript"/>
        </w:rPr>
      </w:pPr>
    </w:p>
    <w:p>
      <w:pPr>
        <w:ind w:left="340" w:hanging="332"/>
        <w:spacing w:after="0" w:line="213" w:lineRule="auto"/>
        <w:tabs>
          <w:tab w:leader="none" w:pos="340" w:val="left"/>
        </w:tabs>
        <w:numPr>
          <w:ilvl w:val="0"/>
          <w:numId w:val="59"/>
        </w:numPr>
        <w:rPr>
          <w:rFonts w:ascii="Arial" w:cs="Arial" w:eastAsia="Arial" w:hAnsi="Arial"/>
          <w:sz w:val="25"/>
          <w:szCs w:val="25"/>
          <w:color w:val="auto"/>
          <w:vertAlign w:val="superscript"/>
        </w:rPr>
      </w:pPr>
      <w:r>
        <w:rPr>
          <w:rFonts w:ascii="Arial" w:cs="Arial" w:eastAsia="Arial" w:hAnsi="Arial"/>
          <w:sz w:val="14"/>
          <w:szCs w:val="14"/>
          <w:color w:val="auto"/>
        </w:rPr>
        <w:t>Consists of (a) 3,870 shares of Class A common stock owned directly by Ms. Cochran, (b) 50,000 shares of Class A common stock issuable upon the exercise of options and (c) 1,057 shares of Class A common stock issuable upon the vesting of RSUs within 60 days of May 15, 2020.</w:t>
      </w:r>
    </w:p>
    <w:p>
      <w:pPr>
        <w:spacing w:after="0" w:line="141" w:lineRule="exact"/>
        <w:rPr>
          <w:rFonts w:ascii="Arial" w:cs="Arial" w:eastAsia="Arial" w:hAnsi="Arial"/>
          <w:sz w:val="25"/>
          <w:szCs w:val="25"/>
          <w:color w:val="auto"/>
          <w:vertAlign w:val="superscript"/>
        </w:rPr>
      </w:pPr>
    </w:p>
    <w:p>
      <w:pPr>
        <w:jc w:val="both"/>
        <w:ind w:left="340" w:hanging="332"/>
        <w:spacing w:after="0" w:line="242" w:lineRule="auto"/>
        <w:tabs>
          <w:tab w:leader="none" w:pos="340" w:val="left"/>
        </w:tabs>
        <w:numPr>
          <w:ilvl w:val="0"/>
          <w:numId w:val="59"/>
        </w:numPr>
        <w:rPr>
          <w:rFonts w:ascii="Arial" w:cs="Arial" w:eastAsia="Arial" w:hAnsi="Arial"/>
          <w:sz w:val="25"/>
          <w:szCs w:val="25"/>
          <w:color w:val="auto"/>
          <w:vertAlign w:val="superscript"/>
        </w:rPr>
      </w:pPr>
      <w:r>
        <w:rPr>
          <w:rFonts w:ascii="Arial" w:cs="Arial" w:eastAsia="Arial" w:hAnsi="Arial"/>
          <w:sz w:val="14"/>
          <w:szCs w:val="14"/>
          <w:color w:val="auto"/>
        </w:rPr>
        <w:t>Consists of (a) 16,526 shares of Class A common stock owned directly by Mr. Gordon, (b) 4,000 shares of Class A common stock held by immediate family members of Mr. Gordon, (c) 9,243 shares of Class A common stock issuable upon the vesting of RSUs within 60 days of May 15, 2020 and (d) 398,859 shares of Class B common stock issuable upon the exercise of options.</w:t>
      </w:r>
    </w:p>
    <w:p>
      <w:pPr>
        <w:spacing w:after="0" w:line="141" w:lineRule="exact"/>
        <w:rPr>
          <w:rFonts w:ascii="Arial" w:cs="Arial" w:eastAsia="Arial" w:hAnsi="Arial"/>
          <w:sz w:val="25"/>
          <w:szCs w:val="25"/>
          <w:color w:val="auto"/>
          <w:vertAlign w:val="superscript"/>
        </w:rPr>
      </w:pPr>
    </w:p>
    <w:p>
      <w:pPr>
        <w:ind w:left="340" w:hanging="332"/>
        <w:spacing w:after="0" w:line="213" w:lineRule="auto"/>
        <w:tabs>
          <w:tab w:leader="none" w:pos="340" w:val="left"/>
        </w:tabs>
        <w:numPr>
          <w:ilvl w:val="0"/>
          <w:numId w:val="59"/>
        </w:numPr>
        <w:rPr>
          <w:rFonts w:ascii="Arial" w:cs="Arial" w:eastAsia="Arial" w:hAnsi="Arial"/>
          <w:sz w:val="25"/>
          <w:szCs w:val="25"/>
          <w:color w:val="auto"/>
          <w:vertAlign w:val="superscript"/>
        </w:rPr>
      </w:pPr>
      <w:r>
        <w:rPr>
          <w:rFonts w:ascii="Arial" w:cs="Arial" w:eastAsia="Arial" w:hAnsi="Arial"/>
          <w:sz w:val="14"/>
          <w:szCs w:val="14"/>
          <w:color w:val="auto"/>
        </w:rPr>
        <w:t>Consists of (a) 94,717 shares of Class A common stock owned directly by Mr. Hazard, (b) 24,845 shares of Class A common stock owned by The Narragansett Bay Children’s Trust, of which Mr. Hazard is a Trustee and (c) 1,057 shares of Class A common stock issuable upon the vesting of RSUs within 60 days of May 15, 2020.</w:t>
      </w:r>
    </w:p>
    <w:p>
      <w:pPr>
        <w:spacing w:after="0" w:line="141" w:lineRule="exact"/>
        <w:rPr>
          <w:rFonts w:ascii="Arial" w:cs="Arial" w:eastAsia="Arial" w:hAnsi="Arial"/>
          <w:sz w:val="25"/>
          <w:szCs w:val="25"/>
          <w:color w:val="auto"/>
          <w:vertAlign w:val="superscript"/>
        </w:rPr>
      </w:pPr>
    </w:p>
    <w:p>
      <w:pPr>
        <w:jc w:val="both"/>
        <w:ind w:left="340" w:hanging="332"/>
        <w:spacing w:after="0" w:line="242" w:lineRule="auto"/>
        <w:tabs>
          <w:tab w:leader="none" w:pos="340" w:val="left"/>
        </w:tabs>
        <w:numPr>
          <w:ilvl w:val="0"/>
          <w:numId w:val="59"/>
        </w:numPr>
        <w:rPr>
          <w:rFonts w:ascii="Arial" w:cs="Arial" w:eastAsia="Arial" w:hAnsi="Arial"/>
          <w:sz w:val="25"/>
          <w:szCs w:val="25"/>
          <w:color w:val="auto"/>
          <w:vertAlign w:val="superscript"/>
        </w:rPr>
      </w:pPr>
      <w:r>
        <w:rPr>
          <w:rFonts w:ascii="Arial" w:cs="Arial" w:eastAsia="Arial" w:hAnsi="Arial"/>
          <w:sz w:val="14"/>
          <w:szCs w:val="14"/>
          <w:color w:val="auto"/>
        </w:rPr>
        <w:t>Consists of (a) 3,463 shares of Class A common stock owned directly by Mr. Horowitz, (b) 9,816 shares of Class A common stock issuable upon the vesting of RSUs within 60 days of May 15, 2020, (c) 1,229,663 shares of Class B common stock held directly by Mr. Horowitz, (d) 302,500 shares of Class B common stock held by The ERH Family 2012 Trust for the benefit of his children and (e) 525,000 shares of Class B common stock issuable upon the exercise of options.</w:t>
      </w:r>
    </w:p>
    <w:p>
      <w:pPr>
        <w:spacing w:after="0" w:line="141" w:lineRule="exact"/>
        <w:rPr>
          <w:rFonts w:ascii="Arial" w:cs="Arial" w:eastAsia="Arial" w:hAnsi="Arial"/>
          <w:sz w:val="25"/>
          <w:szCs w:val="25"/>
          <w:color w:val="auto"/>
          <w:vertAlign w:val="superscript"/>
        </w:rPr>
      </w:pPr>
    </w:p>
    <w:p>
      <w:pPr>
        <w:ind w:left="340" w:hanging="332"/>
        <w:spacing w:after="0" w:line="213" w:lineRule="auto"/>
        <w:tabs>
          <w:tab w:leader="none" w:pos="340" w:val="left"/>
        </w:tabs>
        <w:numPr>
          <w:ilvl w:val="0"/>
          <w:numId w:val="59"/>
        </w:numPr>
        <w:rPr>
          <w:rFonts w:ascii="Arial" w:cs="Arial" w:eastAsia="Arial" w:hAnsi="Arial"/>
          <w:sz w:val="25"/>
          <w:szCs w:val="25"/>
          <w:color w:val="auto"/>
          <w:vertAlign w:val="superscript"/>
        </w:rPr>
      </w:pPr>
      <w:r>
        <w:rPr>
          <w:rFonts w:ascii="Arial" w:cs="Arial" w:eastAsia="Arial" w:hAnsi="Arial"/>
          <w:sz w:val="14"/>
          <w:szCs w:val="14"/>
          <w:color w:val="auto"/>
        </w:rPr>
        <w:t>Consists of (a) 44,710 shares of Class A common stock owned directly by Mr. Ittycheria, (b) 17,619 shares of Class A common stock issuable upon the vesting of RSUs within 60 days of May 15, 2020 and (c) 2,121,879 shares of Class B common stock issuable upon the exercise of options.</w:t>
      </w:r>
    </w:p>
    <w:p>
      <w:pPr>
        <w:spacing w:after="0" w:line="141" w:lineRule="exact"/>
        <w:rPr>
          <w:rFonts w:ascii="Arial" w:cs="Arial" w:eastAsia="Arial" w:hAnsi="Arial"/>
          <w:sz w:val="25"/>
          <w:szCs w:val="25"/>
          <w:color w:val="auto"/>
          <w:vertAlign w:val="superscript"/>
        </w:rPr>
      </w:pPr>
    </w:p>
    <w:p>
      <w:pPr>
        <w:ind w:left="340" w:hanging="332"/>
        <w:spacing w:after="0" w:line="230" w:lineRule="auto"/>
        <w:tabs>
          <w:tab w:leader="none" w:pos="340" w:val="left"/>
        </w:tabs>
        <w:numPr>
          <w:ilvl w:val="0"/>
          <w:numId w:val="59"/>
        </w:numPr>
        <w:rPr>
          <w:rFonts w:ascii="Arial" w:cs="Arial" w:eastAsia="Arial" w:hAnsi="Arial"/>
          <w:sz w:val="23"/>
          <w:szCs w:val="23"/>
          <w:color w:val="auto"/>
          <w:vertAlign w:val="superscript"/>
        </w:rPr>
      </w:pPr>
      <w:r>
        <w:rPr>
          <w:rFonts w:ascii="Arial" w:cs="Arial" w:eastAsia="Arial" w:hAnsi="Arial"/>
          <w:sz w:val="13"/>
          <w:szCs w:val="13"/>
          <w:color w:val="auto"/>
        </w:rPr>
        <w:t>Consists of (a) 3,133 shares of Class A common stock owned directly by Mr. Killalea, (b) 1,057 shares of Class A common stock issuable upon the vesting of RSUs within 60 days of May 15, 2020, (c) 42,687 shares of Class B common stock owned directly by Mr. Killalea and (d) 50,000 shares of Class B common stock issuable upon the exercise of options.</w:t>
      </w:r>
    </w:p>
    <w:p>
      <w:pPr>
        <w:spacing w:after="0" w:line="143" w:lineRule="exact"/>
        <w:rPr>
          <w:rFonts w:ascii="Arial" w:cs="Arial" w:eastAsia="Arial" w:hAnsi="Arial"/>
          <w:sz w:val="23"/>
          <w:szCs w:val="23"/>
          <w:color w:val="auto"/>
          <w:vertAlign w:val="superscript"/>
        </w:rPr>
      </w:pPr>
    </w:p>
    <w:p>
      <w:pPr>
        <w:ind w:left="340" w:right="20" w:hanging="332"/>
        <w:spacing w:after="0" w:line="230" w:lineRule="auto"/>
        <w:tabs>
          <w:tab w:leader="none" w:pos="340" w:val="left"/>
        </w:tabs>
        <w:numPr>
          <w:ilvl w:val="0"/>
          <w:numId w:val="59"/>
        </w:numPr>
        <w:rPr>
          <w:rFonts w:ascii="Arial" w:cs="Arial" w:eastAsia="Arial" w:hAnsi="Arial"/>
          <w:sz w:val="23"/>
          <w:szCs w:val="23"/>
          <w:color w:val="auto"/>
          <w:vertAlign w:val="superscript"/>
        </w:rPr>
      </w:pPr>
      <w:r>
        <w:rPr>
          <w:rFonts w:ascii="Arial" w:cs="Arial" w:eastAsia="Arial" w:hAnsi="Arial"/>
          <w:sz w:val="13"/>
          <w:szCs w:val="13"/>
          <w:color w:val="auto"/>
        </w:rPr>
        <w:t>Consists of (a) 28,814 shares of Class A common stock owned directly by Mr. McMahon, (b) 1,057 shares of Class A common stock issuable upon the vesting of RSUs within 60 days of May 15, 2020, (c) 10,750 shares of Class B common stock owned directly by Mr. McMahon and (d) 50,000 shares of Class B common stock issuable upon the exercise of options.</w:t>
      </w:r>
    </w:p>
    <w:p>
      <w:pPr>
        <w:spacing w:after="0" w:line="143" w:lineRule="exact"/>
        <w:rPr>
          <w:rFonts w:ascii="Arial" w:cs="Arial" w:eastAsia="Arial" w:hAnsi="Arial"/>
          <w:sz w:val="23"/>
          <w:szCs w:val="23"/>
          <w:color w:val="auto"/>
          <w:vertAlign w:val="superscript"/>
        </w:rPr>
      </w:pPr>
    </w:p>
    <w:p>
      <w:pPr>
        <w:ind w:left="340" w:hanging="332"/>
        <w:spacing w:after="0" w:line="213" w:lineRule="auto"/>
        <w:tabs>
          <w:tab w:leader="none" w:pos="340" w:val="left"/>
        </w:tabs>
        <w:numPr>
          <w:ilvl w:val="0"/>
          <w:numId w:val="59"/>
        </w:numPr>
        <w:rPr>
          <w:rFonts w:ascii="Arial" w:cs="Arial" w:eastAsia="Arial" w:hAnsi="Arial"/>
          <w:sz w:val="25"/>
          <w:szCs w:val="25"/>
          <w:color w:val="auto"/>
          <w:vertAlign w:val="superscript"/>
        </w:rPr>
      </w:pPr>
      <w:r>
        <w:rPr>
          <w:rFonts w:ascii="Arial" w:cs="Arial" w:eastAsia="Arial" w:hAnsi="Arial"/>
          <w:sz w:val="14"/>
          <w:szCs w:val="14"/>
          <w:color w:val="auto"/>
        </w:rPr>
        <w:t>Consists of (a) 1,570,686 shares of Class B common stock owned directly by Mr. Merriman, (b) 185,625 shares of Class B common stock issuable upon the exercise of options and (c) 610,896 shares of Class B common stock held by The Dwight A. Merriman 2012 Trust for the benefit of his children.</w:t>
      </w:r>
    </w:p>
    <w:p>
      <w:pPr>
        <w:spacing w:after="0" w:line="141" w:lineRule="exact"/>
        <w:rPr>
          <w:rFonts w:ascii="Arial" w:cs="Arial" w:eastAsia="Arial" w:hAnsi="Arial"/>
          <w:sz w:val="25"/>
          <w:szCs w:val="25"/>
          <w:color w:val="auto"/>
          <w:vertAlign w:val="superscript"/>
        </w:rPr>
      </w:pPr>
    </w:p>
    <w:p>
      <w:pPr>
        <w:jc w:val="both"/>
        <w:ind w:left="340" w:hanging="332"/>
        <w:spacing w:after="0" w:line="242" w:lineRule="auto"/>
        <w:tabs>
          <w:tab w:leader="none" w:pos="340" w:val="left"/>
        </w:tabs>
        <w:numPr>
          <w:ilvl w:val="0"/>
          <w:numId w:val="59"/>
        </w:numPr>
        <w:rPr>
          <w:rFonts w:ascii="Arial" w:cs="Arial" w:eastAsia="Arial" w:hAnsi="Arial"/>
          <w:sz w:val="25"/>
          <w:szCs w:val="25"/>
          <w:color w:val="auto"/>
          <w:vertAlign w:val="superscript"/>
        </w:rPr>
      </w:pPr>
      <w:r>
        <w:rPr>
          <w:rFonts w:ascii="Arial" w:cs="Arial" w:eastAsia="Arial" w:hAnsi="Arial"/>
          <w:sz w:val="14"/>
          <w:szCs w:val="14"/>
          <w:color w:val="auto"/>
        </w:rPr>
        <w:t>Consists of (a) 32,400 shares of Class A common stock owned by KW Investments SRL, an Italian limited liability company owned by Mr. Pech and his spouse, (b) 98,330 shares of Class A common stock owned by KW Investments SRL, issuable upon the exercise of options and (c) 3,473 shares of Class A common stock issuable upon the vesting of RSUs within 60 days of May 15, 2020.</w:t>
      </w:r>
    </w:p>
    <w:p>
      <w:pPr>
        <w:spacing w:after="0" w:line="141" w:lineRule="exact"/>
        <w:rPr>
          <w:rFonts w:ascii="Arial" w:cs="Arial" w:eastAsia="Arial" w:hAnsi="Arial"/>
          <w:sz w:val="25"/>
          <w:szCs w:val="25"/>
          <w:color w:val="auto"/>
          <w:vertAlign w:val="superscript"/>
        </w:rPr>
      </w:pPr>
    </w:p>
    <w:p>
      <w:pPr>
        <w:jc w:val="both"/>
        <w:ind w:left="340" w:hanging="332"/>
        <w:spacing w:after="0" w:line="242" w:lineRule="auto"/>
        <w:tabs>
          <w:tab w:leader="none" w:pos="340" w:val="left"/>
        </w:tabs>
        <w:numPr>
          <w:ilvl w:val="0"/>
          <w:numId w:val="59"/>
        </w:numPr>
        <w:rPr>
          <w:rFonts w:ascii="Arial" w:cs="Arial" w:eastAsia="Arial" w:hAnsi="Arial"/>
          <w:sz w:val="25"/>
          <w:szCs w:val="25"/>
          <w:color w:val="auto"/>
          <w:vertAlign w:val="superscript"/>
        </w:rPr>
      </w:pPr>
      <w:r>
        <w:rPr>
          <w:rFonts w:ascii="Arial" w:cs="Arial" w:eastAsia="Arial" w:hAnsi="Arial"/>
          <w:sz w:val="14"/>
          <w:szCs w:val="14"/>
          <w:color w:val="auto"/>
        </w:rPr>
        <w:t>Consists of (a) 437,555 shares of Class A common stock, (b) 148,330 shares of Class A common stock issuable upon the exercise of options, (c) 45,436 shares of Class A common stock issuable upon the vesting of RSUs within 60 days of May 15, 2020, (d) 5,493,886 shares of Class B common stock and (e) 3,331,363 shares of Class B common stock issuable upon the exercise of options.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Delinquent Section 16(a) Reports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16(a) of the Securities Exchange Act of 1934 requires our directors, officers and persons who own more than 10% of our common stock to file reports of their ownership and changes in ownership of our common stock with the SEC. We believe our directors and officers met all applicable Section 16(a) requirements during fiscal year 2020, except that due to an administrative error, one late Form 4 was filed on March 13, 2019 for Thomas Bull, our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319" w:right="3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board of directors knows of no other matters that will be presented for consideration at the virtual annual meeting of stockholders. If any other matters are properly brought before the meeting, it is the intention of the persons named in the associated proxy to vote on such matters in accordance with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firstLine="486"/>
        <w:spacing w:after="0" w:line="306" w:lineRule="auto"/>
        <w:rPr>
          <w:sz w:val="20"/>
          <w:szCs w:val="20"/>
          <w:color w:val="auto"/>
        </w:rPr>
      </w:pPr>
      <w:r>
        <w:rPr>
          <w:rFonts w:ascii="Arial" w:cs="Arial" w:eastAsia="Arial" w:hAnsi="Arial"/>
          <w:sz w:val="18"/>
          <w:szCs w:val="18"/>
          <w:i w:val="1"/>
          <w:iCs w:val="1"/>
          <w:color w:val="auto"/>
        </w:rPr>
        <w:t>We have filed our Annual Report on Form 10-K for the fiscal year ended January 31, 2020 with the SEC. It is available free of charge at the SEC’s web site at www.sec.gov. Stockholders can also access this proxy statement and our Annual Report on Form 10-K at investors.mongodb.com, or a copy of our Annual Report on Form 10-K for the fiscal year ended January 31, 2020 is available without charge upon written request to our Secretary at 1633 Broadway, 38th Floor, New York, New York 10019, Attention: Secretary.</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319" w:right="3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161290</wp:posOffset>
            </wp:positionV>
            <wp:extent cx="5717540" cy="7406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17540" cy="7406640"/>
                    </a:xfrm>
                    <a:prstGeom prst="rect">
                      <a:avLst/>
                    </a:prstGeom>
                    <a:noFill/>
                  </pic:spPr>
                </pic:pic>
              </a:graphicData>
            </a:graphic>
          </wp:anchor>
        </w:drawing>
      </w:r>
    </w:p>
    <w:p>
      <w:pPr>
        <w:sectPr>
          <w:pgSz w:w="11900" w:h="16838" w:orient="portrait"/>
          <w:cols w:equalWidth="0" w:num="1">
            <w:col w:w="10139"/>
          </w:cols>
          <w:pgMar w:left="320" w:top="319" w:right="1440"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161290</wp:posOffset>
            </wp:positionV>
            <wp:extent cx="5717540" cy="7406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17540" cy="7406640"/>
                    </a:xfrm>
                    <a:prstGeom prst="rect">
                      <a:avLst/>
                    </a:prstGeom>
                    <a:noFill/>
                  </pic:spPr>
                </pic:pic>
              </a:graphicData>
            </a:graphic>
          </wp:anchor>
        </w:drawing>
      </w:r>
    </w:p>
    <w:sectPr>
      <w:pgSz w:w="11900" w:h="16838" w:orient="portrait"/>
      <w:cols w:equalWidth="0" w:num="1">
        <w:col w:w="10139"/>
      </w:cols>
      <w:pgMar w:left="320" w:top="3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ü"/>
      <w:numFmt w:val="bullet"/>
      <w:start w:val="1"/>
    </w:lvl>
  </w:abstractNum>
  <w:abstractNum w:abstractNumId="18">
    <w:nsid w:val="5E884ADC"/>
    <w:multiLevelType w:val="hybridMultilevel"/>
    <w:lvl w:ilvl="0">
      <w:lvlJc w:val="left"/>
      <w:lvlText w:val="(%1)"/>
      <w:numFmt w:val="decimal"/>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1)"/>
      <w:numFmt w:val="decimal"/>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decimal"/>
      <w:start w:val="1"/>
    </w:lvl>
  </w:abstractNum>
  <w:abstractNum w:abstractNumId="28">
    <w:nsid w:val="725A06FB"/>
    <w:multiLevelType w:val="hybridMultilevel"/>
    <w:lvl w:ilvl="0">
      <w:lvlJc w:val="left"/>
      <w:lvlText w:val="(%1)"/>
      <w:numFmt w:val="decimal"/>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ü"/>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decimal"/>
      <w:start w:val="1"/>
    </w:lvl>
  </w:abstractNum>
  <w:abstractNum w:abstractNumId="39">
    <w:nsid w:val="579478FE"/>
    <w:multiLevelType w:val="hybridMultilevel"/>
    <w:lvl w:ilvl="0">
      <w:lvlJc w:val="left"/>
      <w:lvlText w:val="(%1)"/>
      <w:numFmt w:val="decimal"/>
      <w:start w:val="3"/>
    </w:lvl>
  </w:abstractNum>
  <w:abstractNum w:abstractNumId="40">
    <w:nsid w:val="749ABB43"/>
    <w:multiLevelType w:val="hybridMultilevel"/>
    <w:lvl w:ilvl="0">
      <w:lvlJc w:val="left"/>
      <w:lvlText w:val="(%1)"/>
      <w:numFmt w:val="decimal"/>
      <w:start w:val="1"/>
    </w:lvl>
  </w:abstractNum>
  <w:abstractNum w:abstractNumId="41">
    <w:nsid w:val="3DC240FB"/>
    <w:multiLevelType w:val="hybridMultilevel"/>
    <w:lvl w:ilvl="0">
      <w:lvlJc w:val="left"/>
      <w:lvlText w:val="(%1)"/>
      <w:numFmt w:val="decimal"/>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3"/>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7"/>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2020-05-21T15:08:34Z</dcterms:created>
  <dcterms:modified xsi:type="dcterms:W3CDTF">2020-05-21T15:08:34Z</dcterms:modified>
</cp:coreProperties>
</file>