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MONGODB,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001-38240</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26-1463205</w:t>
      </w:r>
    </w:p>
    <w:p>
      <w:pPr>
        <w:spacing w:after="0" w:line="27" w:lineRule="exact"/>
        <w:rPr>
          <w:sz w:val="24"/>
          <w:szCs w:val="24"/>
          <w:color w:val="auto"/>
        </w:rPr>
      </w:pPr>
    </w:p>
    <w:p>
      <w:pPr>
        <w:ind w:left="16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3920" w:space="720"/>
            <w:col w:w="3380" w:space="720"/>
            <w:col w:w="2500"/>
          </w:cols>
          <w:pgMar w:left="320" w:top="733" w:right="339" w:bottom="1440" w:gutter="0" w:footer="0" w:header="0"/>
          <w:type w:val="continuous"/>
        </w:sectPr>
      </w:pPr>
    </w:p>
    <w:p>
      <w:pPr>
        <w:spacing w:after="0" w:line="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1633 Broadway, 38th Floor</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40" w:space="720"/>
            <w:col w:w="3180"/>
          </w:cols>
          <w:pgMar w:left="320" w:top="73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646-727-4092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MDB</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29, 2021, MongoDB,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with Morgan Stanley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LLC and Goldman Sachs &amp; Co. LLC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as representatives of the several underwriters named therein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pursuant to which the Company agreed to issue and sell 2,500,000 shares of its Class A common stock, par value $0.001 per share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at a public offering price of $365.00 per share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The net proceeds to the Company from the Offering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approximately $889.0 million, after deducting underwriting discounts and commissions and estimated offering expenses payable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Offering is being made pursuant to the Company’s registration statement on Form S-3 (File No. 333-257514), which became effective upon filing with the Securities and Exchange Commission on June 29, 2021, a base prospectus dated June 29, 2021 and the related prospectus supplement dated June 29, 2021. The Offering is expected to close on July 2, 2021, subject to customary closing conditions.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including being qualified by confidential disclosures exchanged between the parties in connection with the execution of the Underwriting Agreement. The Company’s directors and executive officers have agreed, subject to certain exceptions, not to sell or transfer any shares of Class A Common Stock for 60 days after June 29, 2021 without first obtaining the written consent of Morgan Stanley &amp; Co. LLC, and the Company has agreed, subject to certain exceptions, not to sell or transfer any shares of the Company’s Class A Common Stock for 60 days after June 29, 2021, without first obtaining the written consent of the Representatives.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foregoing description of the terms of the Underwriting Agreement does not purport to be complete and is qualified in its entirety by reference to the Underwriting Agreement, which is filed as Exhibit 1.1 hereto and incorporated by reference herein.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copy of the opinion of Cooley LLP relating to the legality of the issuance and sale of the Class A Common Stock in the Offering is attached as Exhibit 5.1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June 29, 2021, the Company issued a press release announcing the pricing of the Offering. A copy of the Company’s press release announcing the pricing is attached hereto as Exhibit 99.1 and is incorporated by reference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6"/>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Description</w:t>
            </w:r>
          </w:p>
        </w:tc>
      </w:tr>
      <w:tr>
        <w:trPr>
          <w:trHeight w:val="169"/>
        </w:trPr>
        <w:tc>
          <w:tcPr>
            <w:tcW w:w="260" w:type="dxa"/>
            <w:vAlign w:val="bottom"/>
            <w:gridSpan w:val="2"/>
          </w:tcPr>
          <w:p>
            <w:pPr>
              <w:spacing w:after="0" w:line="169"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1.</w:t>
              </w:r>
              <w:r>
                <w:rPr>
                  <w:rFonts w:ascii="Arial" w:cs="Arial" w:eastAsia="Arial" w:hAnsi="Arial"/>
                  <w:sz w:val="18"/>
                  <w:szCs w:val="18"/>
                  <w:u w:val="single" w:color="auto"/>
                  <w:color w:val="0000EE"/>
                  <w:w w:val="95"/>
                </w:rPr>
                <w:t>1</w:t>
              </w:r>
            </w:hyperlink>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5"/>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Underwriting Agreement, dated as of June 29, 2021, by and between MongoDB, Inc., Morgan Stanley &amp; Co. LLC.</w:t>
              </w:r>
            </w:hyperlink>
          </w:p>
        </w:tc>
      </w:tr>
      <w:tr>
        <w:trPr>
          <w:trHeight w:val="196"/>
        </w:trPr>
        <w:tc>
          <w:tcPr>
            <w:tcW w:w="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Opinion of Cooley LLP.</w:t>
              </w:r>
            </w:hyperlink>
          </w:p>
        </w:tc>
        <w:tc>
          <w:tcPr>
            <w:tcW w:w="6540" w:type="dxa"/>
            <w:vAlign w:val="bottom"/>
            <w:tcBorders>
              <w:top w:val="single" w:sz="8" w:color="0000EE"/>
            </w:tcBorders>
            <w:gridSpan w:val="3"/>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Consent of Cooley LLP (contained in Exhibit 5.1).</w:t>
              </w:r>
            </w:hyperlink>
          </w:p>
        </w:tc>
        <w:tc>
          <w:tcPr>
            <w:tcW w:w="6220" w:type="dxa"/>
            <w:vAlign w:val="bottom"/>
            <w:gridSpan w:val="3"/>
          </w:tcPr>
          <w:p>
            <w:pPr>
              <w:spacing w:after="0"/>
              <w:rPr>
                <w:sz w:val="17"/>
                <w:szCs w:val="17"/>
                <w:color w:val="auto"/>
              </w:rPr>
            </w:pP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Press Release issued by the Company on June 29, 2021.</w:t>
              </w:r>
            </w:hyperlink>
          </w:p>
        </w:tc>
        <w:tc>
          <w:tcPr>
            <w:tcW w:w="5840" w:type="dxa"/>
            <w:vAlign w:val="bottom"/>
            <w:gridSpan w:val="2"/>
          </w:tcPr>
          <w:p>
            <w:pPr>
              <w:spacing w:after="0"/>
              <w:rPr>
                <w:sz w:val="17"/>
                <w:szCs w:val="17"/>
                <w:color w:val="auto"/>
              </w:rPr>
            </w:pPr>
          </w:p>
        </w:tc>
      </w:tr>
      <w:tr>
        <w:trPr>
          <w:trHeight w:val="237"/>
        </w:trPr>
        <w:tc>
          <w:tcPr>
            <w:tcW w:w="320" w:type="dxa"/>
            <w:vAlign w:val="bottom"/>
            <w:gridSpan w:val="3"/>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212529"/>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MONGODB, INC.</w:t>
            </w: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Dated: June 30, 2021</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Andrew Stephens</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Andrew Stephens</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General Counsel and Secretary</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2,500,000 Shares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Class A Common Stock, Par Value $0.001 Per Share</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ind w:left="8440"/>
        <w:spacing w:after="0"/>
        <w:rPr>
          <w:sz w:val="20"/>
          <w:szCs w:val="20"/>
          <w:color w:val="auto"/>
        </w:rPr>
      </w:pPr>
      <w:r>
        <w:rPr>
          <w:rFonts w:ascii="Arial" w:cs="Arial" w:eastAsia="Arial" w:hAnsi="Arial"/>
          <w:sz w:val="18"/>
          <w:szCs w:val="18"/>
          <w:color w:val="auto"/>
        </w:rPr>
        <w:t>June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MongoDB,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an aggregate of 2,500,000 shares (the “</w:t>
      </w:r>
      <w:r>
        <w:rPr>
          <w:rFonts w:ascii="Arial" w:cs="Arial" w:eastAsia="Arial" w:hAnsi="Arial"/>
          <w:sz w:val="18"/>
          <w:szCs w:val="18"/>
          <w:b w:val="1"/>
          <w:bCs w:val="1"/>
          <w:color w:val="auto"/>
        </w:rPr>
        <w:t>Shares</w:t>
      </w:r>
      <w:r>
        <w:rPr>
          <w:rFonts w:ascii="Arial" w:cs="Arial" w:eastAsia="Arial" w:hAnsi="Arial"/>
          <w:sz w:val="18"/>
          <w:szCs w:val="18"/>
          <w:color w:val="auto"/>
        </w:rPr>
        <w:t>”) of its Class A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0" w:lineRule="exact"/>
        <w:rPr>
          <w:sz w:val="20"/>
          <w:szCs w:val="20"/>
          <w:color w:val="auto"/>
        </w:rPr>
      </w:pPr>
    </w:p>
    <w:p>
      <w:pPr>
        <w:ind w:left="1340" w:hanging="684"/>
        <w:spacing w:after="0"/>
        <w:tabs>
          <w:tab w:leader="none" w:pos="13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248" w:lineRule="exact"/>
        <w:rPr>
          <w:sz w:val="20"/>
          <w:szCs w:val="20"/>
          <w:color w:val="auto"/>
        </w:rPr>
      </w:pPr>
    </w:p>
    <w:p>
      <w:pPr>
        <w:ind w:left="660" w:right="20" w:firstLine="968"/>
        <w:spacing w:after="0" w:line="284" w:lineRule="auto"/>
        <w:tabs>
          <w:tab w:leader="none" w:pos="2371"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“automatic shelf registration statement” as defined under Rule 405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on Form S-3 (File No. 333-257514) in respect of the Shares has been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Securities Act has been received by the Company (the base prospectus filed as part of such registration statement, in the form in which it has most recently been filed with the Commission on or prior to the date of this Agreement, is hereinafter called the “</w:t>
      </w:r>
      <w:r>
        <w:rPr>
          <w:rFonts w:ascii="Arial" w:cs="Arial" w:eastAsia="Arial" w:hAnsi="Arial"/>
          <w:sz w:val="16"/>
          <w:szCs w:val="16"/>
          <w:b w:val="1"/>
          <w:bCs w:val="1"/>
          <w:color w:val="auto"/>
        </w:rPr>
        <w:t>Base Prospectus</w:t>
      </w:r>
      <w:r>
        <w:rPr>
          <w:rFonts w:ascii="Arial" w:cs="Arial" w:eastAsia="Arial" w:hAnsi="Arial"/>
          <w:sz w:val="16"/>
          <w:szCs w:val="16"/>
          <w:color w:val="auto"/>
        </w:rPr>
        <w:t>”; any preliminary prospectus (including any preliminary prospectus supplement) relating to the Shares filed with the Commission pursuant to Rule 424(b) under the Securities Act is hereinafter called a “Preliminary Prospectus”; the various parts of such registration statement, including all exhibits thereto but excluding Form T-1 and including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Base Prospectus, as amended and supplemented immediately prior to the Applicable Time (as defined in Section 1(c) hereof), is hereinafter called the “</w:t>
      </w:r>
      <w:r>
        <w:rPr>
          <w:rFonts w:ascii="Arial" w:cs="Arial" w:eastAsia="Arial" w:hAnsi="Arial"/>
          <w:sz w:val="16"/>
          <w:szCs w:val="16"/>
          <w:b w:val="1"/>
          <w:bCs w:val="1"/>
          <w:color w:val="auto"/>
        </w:rPr>
        <w:t>Pricing Prospectus</w:t>
      </w:r>
      <w:r>
        <w:rPr>
          <w:rFonts w:ascii="Arial" w:cs="Arial" w:eastAsia="Arial" w:hAnsi="Arial"/>
          <w:sz w:val="16"/>
          <w:szCs w:val="16"/>
          <w:color w:val="auto"/>
        </w:rPr>
        <w:t>”; the form of the final prospectus relating to the Shares filed with the Commission pursuant to Rule 424(b) under the Securities Act in accordance with Section 5(a) hereof is hereinafter called the “Prospectus”; any reference herein to the Base Prospectus, the Pricing Prospectus, any Preliminary Prospectus or the Prospectus shall be deemed to refer to and include the documents incorporated by reference therein pursuant to Item 12 of Form S-3 under the Securities Act, as of the date of such prospectus; any reference to any amendment or supplement to the Base Prospectus, any Preliminary Prospectus or the Prospectus shall be deemed to refer to and include any post-effective amendment to the Registration Statement, any prospectus supplement relating to the Shares filed with the Commission pursuant to Rule 424(b) under the Securities Act and any documents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incorporated therein, in each case after the date of the Base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Securities Act relating to the Shares is hereinafter called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460" w:firstLine="968"/>
        <w:spacing w:after="0" w:line="270" w:lineRule="auto"/>
        <w:tabs>
          <w:tab w:leader="none" w:pos="1261"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order preventing or suspending the use of any Preliminary Prospectus or any Issuer Free Writing Prospectus has been issued by the Commission, and each Preliminary Prospectus, at the time of filing thereof, conformed in all material respects to the applicable requirements of the Securities Act and the applicable rules and regulations of the Commission thereunder, and did not contain an untrue statement of a material fact or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the Representatives expressly for use therein. For purposes of this Agreement, the only information so furnished shall be the concession figure appearing in the third paragraph and information in the eighth paragraph under the heading “Underwriting” in the Pricing Prospectus or the Prospectus (the “</w:t>
      </w:r>
      <w:r>
        <w:rPr>
          <w:rFonts w:ascii="Arial" w:cs="Arial" w:eastAsia="Arial" w:hAnsi="Arial"/>
          <w:sz w:val="17"/>
          <w:szCs w:val="17"/>
          <w:b w:val="1"/>
          <w:bCs w:val="1"/>
          <w:color w:val="auto"/>
        </w:rPr>
        <w:t>Underwriters’</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460" w:firstLine="968"/>
        <w:spacing w:after="0" w:line="289" w:lineRule="auto"/>
        <w:tabs>
          <w:tab w:leader="none" w:pos="981"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purposes of this Agreement, the “Applicable Time” is 8:00 p.m. (Eastern time) on the date of this Agreement. The Pricing Prospectus, as supplemented by the information listed on Schedule II hereto, taken together (collectively, the “</w:t>
      </w:r>
      <w:r>
        <w:rPr>
          <w:rFonts w:ascii="Arial" w:cs="Arial" w:eastAsia="Arial" w:hAnsi="Arial"/>
          <w:sz w:val="16"/>
          <w:szCs w:val="16"/>
          <w:b w:val="1"/>
          <w:bCs w:val="1"/>
          <w:color w:val="auto"/>
        </w:rPr>
        <w:t>Time of Sale Prospectus</w:t>
      </w:r>
      <w:r>
        <w:rPr>
          <w:rFonts w:ascii="Arial" w:cs="Arial" w:eastAsia="Arial" w:hAnsi="Arial"/>
          <w:sz w:val="16"/>
          <w:szCs w:val="16"/>
          <w:color w:val="auto"/>
        </w:rPr>
        <w:t>”)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 hereto does not conflict with the information contained in the Registration Statement, the Pricing Prospectus or the Prospectus and each Issuer Free Writing Prospectus, as supplemented by and taken together with the Time of Sale Prospectus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in reliance upon and in conformity with the Underwriters’ Information;</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8" w:right="419" w:bottom="1440" w:gutter="0" w:footer="0" w:header="0"/>
        </w:sectPr>
      </w:pPr>
    </w:p>
    <w:bookmarkStart w:id="6" w:name="page7"/>
    <w:bookmarkEnd w:id="6"/>
    <w:p>
      <w:pPr>
        <w:ind w:left="-460" w:right="80" w:firstLine="968"/>
        <w:spacing w:after="0" w:line="269" w:lineRule="auto"/>
        <w:tabs>
          <w:tab w:leader="none" w:pos="12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documents incorporated by reference in the Pricing Prospectus and the Prospectus, when they became effective or were filed with the Commission, as the case may be, conformed in all material respects to the requirements of the Securities Act or the Exchange Act, as applicable, and the rules and regulations of the Commission thereunder, and none of such documents contained an untrue statement of a material fact or omitted to state a material fact necessary in order to make the statements therein not misleading;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necessary in order to make the statements therein not misleading; provided, however, that this representation and warranty shall not apply to any statements or omissions made in reliance upon and in conformity with the Underwriters’ Information; and no such or any other documents were filed with the Commission since the Commission’s close of business on the business day immediately prior to the date of this Agreement and prior to the execution of this Agreement, except as set forth on Schedule II hereto;</w:t>
      </w:r>
    </w:p>
    <w:p>
      <w:pPr>
        <w:spacing w:after="0" w:line="178" w:lineRule="exact"/>
        <w:rPr>
          <w:rFonts w:ascii="Arial" w:cs="Arial" w:eastAsia="Arial" w:hAnsi="Arial"/>
          <w:sz w:val="17"/>
          <w:szCs w:val="17"/>
          <w:color w:val="auto"/>
        </w:rPr>
      </w:pPr>
    </w:p>
    <w:p>
      <w:pPr>
        <w:ind w:left="-460" w:firstLine="968"/>
        <w:spacing w:after="0" w:line="293" w:lineRule="auto"/>
        <w:tabs>
          <w:tab w:leader="none" w:pos="125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Securities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necessary in order to make the statements therein not misleading; provided, however, that this representation and warranty shall not apply to any statements or omissions made in reliance upon and in conformity with the Underwriters’ Information;</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7" w:name="page8"/>
    <w:bookmarkEnd w:id="7"/>
    <w:p>
      <w:pPr>
        <w:ind w:left="-460" w:firstLine="968"/>
        <w:spacing w:after="0" w:line="290" w:lineRule="auto"/>
        <w:tabs>
          <w:tab w:leader="none" w:pos="1232" w:val="left"/>
        </w:tabs>
        <w:numPr>
          <w:ilvl w:val="0"/>
          <w:numId w:val="6"/>
        </w:numPr>
        <w:rPr>
          <w:rFonts w:ascii="Arial" w:cs="Arial" w:eastAsia="Arial" w:hAnsi="Arial"/>
          <w:sz w:val="16"/>
          <w:szCs w:val="16"/>
          <w:color w:val="auto"/>
        </w:rPr>
      </w:pPr>
      <w:r>
        <w:rPr>
          <w:rFonts w:ascii="Arial" w:cs="Arial" w:eastAsia="Arial" w:hAnsi="Arial"/>
          <w:sz w:val="16"/>
          <w:szCs w:val="16"/>
          <w:color w:val="auto"/>
        </w:rPr>
        <w:t>(A)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Securities Act) made any offer relating to the Securities in reliance on the exemption of Rule 163 under the Securities Act, the Company was a “well-known seasoned issuer” as defined in Rule 405 under the Securities Act; and (B) at the time of filing the Registration Statement and any post-effective amendment thereto, at the earliest time thereafter that the Company or any offering participant made a bona fide offer (within the meaning of Rule 164(h)(2) under the Securities Act) of the Shares, and at the date hereof, the Company was not and is not an “ineligible issuer,” as defined in Rule 405 under the Securities Act.</w:t>
      </w:r>
    </w:p>
    <w:p>
      <w:pPr>
        <w:spacing w:after="0" w:line="165" w:lineRule="exact"/>
        <w:rPr>
          <w:rFonts w:ascii="Arial" w:cs="Arial" w:eastAsia="Arial" w:hAnsi="Arial"/>
          <w:sz w:val="16"/>
          <w:szCs w:val="16"/>
          <w:color w:val="auto"/>
        </w:rPr>
      </w:pPr>
    </w:p>
    <w:p>
      <w:pPr>
        <w:ind w:left="-460" w:firstLine="968"/>
        <w:spacing w:after="0" w:line="255" w:lineRule="auto"/>
        <w:tabs>
          <w:tab w:leader="none" w:pos="12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subsidiaries, taken as a whole.</w:t>
      </w:r>
    </w:p>
    <w:p>
      <w:pPr>
        <w:spacing w:after="0" w:line="192" w:lineRule="exact"/>
        <w:rPr>
          <w:rFonts w:ascii="Arial" w:cs="Arial" w:eastAsia="Arial" w:hAnsi="Arial"/>
          <w:sz w:val="18"/>
          <w:szCs w:val="18"/>
          <w:color w:val="auto"/>
        </w:rPr>
      </w:pPr>
    </w:p>
    <w:p>
      <w:pPr>
        <w:ind w:left="-460" w:firstLine="968"/>
        <w:spacing w:after="0" w:line="286" w:lineRule="auto"/>
        <w:tabs>
          <w:tab w:leader="none" w:pos="1261"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significant subsidiary (as such term is defined in Rule 1-02 of Regulation S-X) of the Company has been duly incorporated, organized or formed, as applicable, is validly existing as a corporation or organization in good standing (to the extent the concept of good standing is applicable in such jurisdiction) under the laws of the jurisdiction of its formation, has the corporate or organizational power and authority to own its property and to conduct its business as described in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(to the extent such concepts are applicable under relevant law), except to the extent that the failure to be so qualified or be in good standing would not reasonably be expected to have a material adverse effect on the Company and its subsidiaries, taken as a whole; all of the issued shares of capital stock of each significant subsidiary (as such term is defined in Rule 1-02 of Regulation S-X) of the Company have been duly and validly authorized and issued, are fully paid and non-assessable (to the extent such concepts are applicable under relevant law) and are owned directly or indirectly by the Company, free and clear of all liens, encumbrances, equities or claims. The only subsidiaries of the Company are (i) the subsidiaries listed on Exhibit 21.1 of the Company's Annual Report on Form 10-K for the year ended January 31, 2021 and (ii) certain other subsidiaries which, considered in the aggregate as a single subsidiary, do not constitute a significant subsidiary (as such term is defined in Rule 1-02 of Regulation S-X).</w:t>
      </w: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8" w:name="page9"/>
    <w:bookmarkEnd w:id="8"/>
    <w:p>
      <w:pPr>
        <w:ind w:left="1220" w:hanging="712"/>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460" w:right="180" w:firstLine="968"/>
        <w:spacing w:after="0" w:line="277" w:lineRule="auto"/>
        <w:tabs>
          <w:tab w:leader="none" w:pos="12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170" w:lineRule="exact"/>
        <w:rPr>
          <w:rFonts w:ascii="Arial" w:cs="Arial" w:eastAsia="Arial" w:hAnsi="Arial"/>
          <w:sz w:val="18"/>
          <w:szCs w:val="18"/>
          <w:color w:val="auto"/>
        </w:rPr>
      </w:pPr>
    </w:p>
    <w:p>
      <w:pPr>
        <w:ind w:left="-460" w:right="220" w:firstLine="968"/>
        <w:spacing w:after="0" w:line="277" w:lineRule="auto"/>
        <w:tabs>
          <w:tab w:leader="none" w:pos="1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170" w:lineRule="exact"/>
        <w:rPr>
          <w:rFonts w:ascii="Arial" w:cs="Arial" w:eastAsia="Arial" w:hAnsi="Arial"/>
          <w:sz w:val="18"/>
          <w:szCs w:val="18"/>
          <w:color w:val="auto"/>
        </w:rPr>
      </w:pPr>
    </w:p>
    <w:p>
      <w:pPr>
        <w:ind w:left="-460" w:right="80" w:firstLine="968"/>
        <w:spacing w:after="0" w:line="263" w:lineRule="auto"/>
        <w:tabs>
          <w:tab w:leader="none" w:pos="12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validly waived.</w:t>
      </w:r>
    </w:p>
    <w:p>
      <w:pPr>
        <w:spacing w:after="0" w:line="183" w:lineRule="exact"/>
        <w:rPr>
          <w:rFonts w:ascii="Arial" w:cs="Arial" w:eastAsia="Arial" w:hAnsi="Arial"/>
          <w:sz w:val="18"/>
          <w:szCs w:val="18"/>
          <w:color w:val="auto"/>
        </w:rPr>
      </w:pPr>
    </w:p>
    <w:p>
      <w:pPr>
        <w:ind w:left="-460" w:right="20" w:firstLine="968"/>
        <w:spacing w:after="0" w:line="253" w:lineRule="auto"/>
        <w:tabs>
          <w:tab w:leader="none" w:pos="1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(iii) and (iv) above, where such contravention would not, individually or in the aggregate, reasonably be expected to have a material adverse effect on the Company and its subsidiaries, taken as a whole; and no consent, approval, authorization or order of, or qualification with, any governmental body or agency is required for the performance by the Company of its obligations under this Agreement, except such as have been obtained or waived or as may be required by the securities or Blue Sky laws of the various states or foreign jurisdictions or the rules and regulations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offer and sale of the Shares.</w:t>
      </w:r>
    </w:p>
    <w:p>
      <w:pPr>
        <w:spacing w:after="0" w:line="194" w:lineRule="exact"/>
        <w:rPr>
          <w:rFonts w:ascii="Arial" w:cs="Arial" w:eastAsia="Arial" w:hAnsi="Arial"/>
          <w:sz w:val="18"/>
          <w:szCs w:val="18"/>
          <w:color w:val="auto"/>
        </w:rPr>
      </w:pPr>
    </w:p>
    <w:p>
      <w:pPr>
        <w:ind w:left="-460" w:firstLine="968"/>
        <w:spacing w:after="0" w:line="271" w:lineRule="auto"/>
        <w:tabs>
          <w:tab w:leader="none" w:pos="1261" w:val="left"/>
        </w:tabs>
        <w:numPr>
          <w:ilvl w:val="0"/>
          <w:numId w:val="7"/>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of the Company included or incorporated by reference in the Registration Statement, the Prospectus and the Time of Sale Prospectus, (i) there has not been any material adverse change, or any development involving a prospective material adverse change, in the condition, financial or otherwise, business, management, stockholders’ equity or results of operations of the Company and its subsidiaries taken as a whole; and (ii) neither the Company nor any of its subsidiaries has sustained any material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Prospectus and the Time of Sale Prospectus.</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9" w:name="page10"/>
    <w:bookmarkEnd w:id="9"/>
    <w:p>
      <w:pPr>
        <w:ind w:left="-460" w:firstLine="968"/>
        <w:spacing w:after="0" w:line="290" w:lineRule="auto"/>
        <w:tabs>
          <w:tab w:leader="none" w:pos="126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Time of Sale Prospectus and the Prospectus and proceedings that would not reasonably be expected to have a material adverse effect on the Company and its subsidiaries, taken as a whole, or on the power or ability of the Company to perform its obligations under this Agreement or to consummate the transactions contemplated by the Time of Sale Prospectus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65" w:lineRule="exact"/>
        <w:rPr>
          <w:rFonts w:ascii="Arial" w:cs="Arial" w:eastAsia="Arial" w:hAnsi="Arial"/>
          <w:sz w:val="16"/>
          <w:szCs w:val="16"/>
          <w:color w:val="auto"/>
        </w:rPr>
      </w:pPr>
    </w:p>
    <w:p>
      <w:pPr>
        <w:ind w:left="-460" w:right="20" w:firstLine="968"/>
        <w:spacing w:after="0" w:line="263" w:lineRule="auto"/>
        <w:tabs>
          <w:tab w:leader="none" w:pos="1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Time of Sale Prospectus and the Prospectus will not be, required to register as an “investment company” as such term is defined in the Investment Company Act of 1940, as amended.</w:t>
      </w:r>
    </w:p>
    <w:p>
      <w:pPr>
        <w:spacing w:after="0" w:line="183" w:lineRule="exact"/>
        <w:rPr>
          <w:rFonts w:ascii="Arial" w:cs="Arial" w:eastAsia="Arial" w:hAnsi="Arial"/>
          <w:sz w:val="18"/>
          <w:szCs w:val="18"/>
          <w:color w:val="auto"/>
        </w:rPr>
      </w:pPr>
    </w:p>
    <w:p>
      <w:pPr>
        <w:ind w:left="-460" w:right="40" w:firstLine="968"/>
        <w:spacing w:after="0" w:line="272" w:lineRule="auto"/>
        <w:tabs>
          <w:tab w:leader="none" w:pos="126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its subsidiaries, taken as a whole,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77" w:lineRule="exact"/>
        <w:rPr>
          <w:rFonts w:ascii="Arial" w:cs="Arial" w:eastAsia="Arial" w:hAnsi="Arial"/>
          <w:sz w:val="17"/>
          <w:szCs w:val="17"/>
          <w:color w:val="auto"/>
        </w:rPr>
      </w:pPr>
    </w:p>
    <w:p>
      <w:pPr>
        <w:ind w:left="-460" w:firstLine="968"/>
        <w:spacing w:after="0" w:line="259" w:lineRule="auto"/>
        <w:tabs>
          <w:tab w:leader="none" w:pos="12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60" w:right="40" w:firstLine="968"/>
        <w:spacing w:after="0" w:line="259" w:lineRule="auto"/>
        <w:tabs>
          <w:tab w:leader="none" w:pos="12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(other than such rights which have been waived or complied with)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86" w:lineRule="exact"/>
        <w:rPr>
          <w:rFonts w:ascii="Arial" w:cs="Arial" w:eastAsia="Arial" w:hAnsi="Arial"/>
          <w:sz w:val="18"/>
          <w:szCs w:val="18"/>
          <w:color w:val="auto"/>
        </w:rPr>
      </w:pPr>
    </w:p>
    <w:p>
      <w:pPr>
        <w:ind w:left="-460" w:firstLine="968"/>
        <w:spacing w:after="0" w:line="269" w:lineRule="auto"/>
        <w:tabs>
          <w:tab w:leader="none" w:pos="1222" w:val="left"/>
        </w:tabs>
        <w:numPr>
          <w:ilvl w:val="0"/>
          <w:numId w:val="9"/>
        </w:numPr>
        <w:rPr>
          <w:rFonts w:ascii="Arial" w:cs="Arial" w:eastAsia="Arial" w:hAnsi="Arial"/>
          <w:sz w:val="17"/>
          <w:szCs w:val="17"/>
          <w:color w:val="auto"/>
        </w:rPr>
      </w:pPr>
      <w:r>
        <w:rPr>
          <w:rFonts w:ascii="Arial" w:cs="Arial" w:eastAsia="Arial" w:hAnsi="Arial"/>
          <w:sz w:val="17"/>
          <w:szCs w:val="17"/>
          <w:color w:val="auto"/>
        </w:rPr>
        <w:t>(i) None of the Company or its subsidiaries or controlled affiliates, nor any director or officer thereof, nor, to the Company’s knowledge, any employee,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(ii) the Company and its subsidiaries and controlled affiliates have conducted their businesses in compliance with applicable anti-corruption and anti-bribery laws and have instituted and maintained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or anti-bribery laws.</w:t>
      </w:r>
    </w:p>
    <w:p>
      <w:pPr>
        <w:spacing w:after="0" w:line="178" w:lineRule="exact"/>
        <w:rPr>
          <w:rFonts w:ascii="Arial" w:cs="Arial" w:eastAsia="Arial" w:hAnsi="Arial"/>
          <w:sz w:val="17"/>
          <w:szCs w:val="17"/>
          <w:color w:val="auto"/>
        </w:rPr>
      </w:pPr>
    </w:p>
    <w:p>
      <w:pPr>
        <w:ind w:left="-460" w:right="40" w:firstLine="968"/>
        <w:spacing w:after="0" w:line="290" w:lineRule="auto"/>
        <w:tabs>
          <w:tab w:leader="none" w:pos="126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having jurisdiction over the Company or any of its subsidiaries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1" w:name="page12"/>
    <w:bookmarkEnd w:id="11"/>
    <w:p>
      <w:pPr>
        <w:ind w:left="-460" w:right="120" w:firstLine="968"/>
        <w:spacing w:after="0" w:line="263" w:lineRule="auto"/>
        <w:tabs>
          <w:tab w:leader="none" w:pos="12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or officer thereof, or, to the Company’s knowledge, any employee, agent, controlled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183" w:lineRule="exact"/>
        <w:rPr>
          <w:rFonts w:ascii="Arial" w:cs="Arial" w:eastAsia="Arial" w:hAnsi="Arial"/>
          <w:sz w:val="18"/>
          <w:szCs w:val="18"/>
          <w:color w:val="auto"/>
        </w:rPr>
      </w:pPr>
    </w:p>
    <w:p>
      <w:pPr>
        <w:ind w:left="840" w:right="100" w:firstLine="1288"/>
        <w:spacing w:after="0" w:line="263" w:lineRule="auto"/>
        <w:tabs>
          <w:tab w:leader="none" w:pos="2926"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840" w:right="260" w:firstLine="1288"/>
        <w:spacing w:after="0" w:line="277" w:lineRule="auto"/>
        <w:tabs>
          <w:tab w:leader="none" w:pos="2916" w:val="left"/>
        </w:tabs>
        <w:numPr>
          <w:ilvl w:val="2"/>
          <w:numId w:val="1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170" w:lineRule="exact"/>
        <w:rPr>
          <w:rFonts w:ascii="Arial" w:cs="Arial" w:eastAsia="Arial" w:hAnsi="Arial"/>
          <w:sz w:val="18"/>
          <w:szCs w:val="18"/>
          <w:color w:val="auto"/>
        </w:rPr>
      </w:pPr>
    </w:p>
    <w:p>
      <w:pPr>
        <w:ind w:left="180" w:right="280" w:firstLine="976"/>
        <w:spacing w:after="0" w:line="277" w:lineRule="auto"/>
        <w:tabs>
          <w:tab w:leader="none" w:pos="19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840" w:right="240" w:firstLine="1288"/>
        <w:spacing w:after="0" w:line="277" w:lineRule="auto"/>
        <w:tabs>
          <w:tab w:leader="none" w:pos="2926"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840" w:right="40" w:firstLine="1288"/>
        <w:spacing w:after="0" w:line="277" w:lineRule="auto"/>
        <w:tabs>
          <w:tab w:leader="none" w:pos="2916"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80" w:right="200" w:firstLine="976"/>
        <w:spacing w:after="0" w:line="263" w:lineRule="auto"/>
        <w:tabs>
          <w:tab w:leader="none" w:pos="19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3" w:lineRule="exact"/>
        <w:rPr>
          <w:rFonts w:ascii="Arial" w:cs="Arial" w:eastAsia="Arial" w:hAnsi="Arial"/>
          <w:sz w:val="18"/>
          <w:szCs w:val="18"/>
          <w:color w:val="auto"/>
        </w:rPr>
      </w:pPr>
    </w:p>
    <w:p>
      <w:pPr>
        <w:ind w:left="-460" w:firstLine="968"/>
        <w:spacing w:after="0" w:line="288" w:lineRule="auto"/>
        <w:tabs>
          <w:tab w:leader="none" w:pos="13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repurchases of shares issued upon exercise of outstanding warrants and options or otherwise issued pursuant to equity compensation plans or agreements set forth in each of the Registration Statement, the Time of Sale Prospectus and the Prospectus), nor declared, paid or otherwise made any dividend or distribution of any kind on its capital stock other than ordinary and customary dividends; and (iii) there has not been any material change in the capital stock (other than the exercise or grant of equity awards or the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and its subsidiaries, except in each case as described in each of the Registration Statement, the Time of Sale Prospectus and the Prospectus, respectively.</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2" w:name="page13"/>
    <w:bookmarkEnd w:id="12"/>
    <w:p>
      <w:pPr>
        <w:ind w:left="-460" w:right="60" w:firstLine="968"/>
        <w:spacing w:after="0" w:line="254" w:lineRule="auto"/>
        <w:tabs>
          <w:tab w:leader="none" w:pos="12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all real property and good and marketable title to all personal property (other than intellectual property, which is addressed exclusively in Section 1(w)) owned by them, in each case, which is material to the business of the Company and its subsidiaries taken as a whole, free and clear of all liens, encumbrances and defects except as described in the Time of Sale Prospectus or such as do not materially diminish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would not reasonably be expected to materially interfere with the use made and proposed to be made of such property and buildings by the Company and its subsidiaries.</w:t>
      </w:r>
    </w:p>
    <w:p>
      <w:pPr>
        <w:spacing w:after="0" w:line="191" w:lineRule="exact"/>
        <w:rPr>
          <w:rFonts w:ascii="Arial" w:cs="Arial" w:eastAsia="Arial" w:hAnsi="Arial"/>
          <w:sz w:val="18"/>
          <w:szCs w:val="18"/>
          <w:color w:val="auto"/>
        </w:rPr>
      </w:pPr>
    </w:p>
    <w:p>
      <w:pPr>
        <w:ind w:left="-460" w:right="180" w:firstLine="968"/>
        <w:spacing w:after="0" w:line="293" w:lineRule="auto"/>
        <w:tabs>
          <w:tab w:leader="none" w:pos="12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sufficient rights to use all material patents, patent rights, licenses, inventions, copyrights, know-how (including trade secrets and other unpatented or unpatentable proprietary or confidential information, systems or procedures), trademarks, service marks and trade names currently employed by them in connection with the business described in the Time of Sale Prospectus. Neither the Company nor any of its subsidiaries has received any written notice of infringement of or conflict with asserted rights of others with respect to any of the foregoing which, singly or in the aggregate, would reasonably be expected to have a material adverse effect on the Company and its subsidiaries, taken as a whole.</w:t>
      </w:r>
    </w:p>
    <w:p>
      <w:pPr>
        <w:spacing w:after="0" w:line="164" w:lineRule="exact"/>
        <w:rPr>
          <w:rFonts w:ascii="Arial" w:cs="Arial" w:eastAsia="Arial" w:hAnsi="Arial"/>
          <w:sz w:val="16"/>
          <w:szCs w:val="16"/>
          <w:color w:val="auto"/>
        </w:rPr>
      </w:pPr>
    </w:p>
    <w:p>
      <w:pPr>
        <w:ind w:left="-460" w:right="80" w:firstLine="968"/>
        <w:spacing w:after="0" w:line="311" w:lineRule="auto"/>
        <w:tabs>
          <w:tab w:leader="none" w:pos="12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have a material adverse effect on the Company and its subsidiaries, taken as a whole.</w:t>
      </w:r>
    </w:p>
    <w:p>
      <w:pPr>
        <w:spacing w:after="0" w:line="149" w:lineRule="exact"/>
        <w:rPr>
          <w:sz w:val="20"/>
          <w:szCs w:val="20"/>
          <w:color w:val="auto"/>
        </w:rPr>
      </w:pPr>
    </w:p>
    <w:p>
      <w:pPr>
        <w:ind w:left="-460" w:firstLine="968"/>
        <w:spacing w:after="0" w:line="255" w:lineRule="auto"/>
        <w:tabs>
          <w:tab w:leader="none" w:pos="10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each of its subsidiaries are insured by insurers of recognized financial responsibility against such losses and risks and in such amounts as the Company believes in good faith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3" w:name="page14"/>
    <w:bookmarkEnd w:id="13"/>
    <w:p>
      <w:pPr>
        <w:ind w:left="-460" w:right="160" w:firstLine="968"/>
        <w:spacing w:after="0" w:line="273" w:lineRule="auto"/>
        <w:tabs>
          <w:tab w:leader="none" w:pos="108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its subsidiaries, taken as a whole, possess all certificates, authorizations and permits issued by the appropriate federal, state or foreign regulatory authorities necessary to conduct their respective businesses, except where the failure to have such certificates, authorizations or permits would not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would reasonably be expected to have a material adverse effect on the Company and its subsidiaries, taken as a whole.</w:t>
      </w:r>
    </w:p>
    <w:p>
      <w:pPr>
        <w:spacing w:after="0" w:line="177" w:lineRule="exact"/>
        <w:rPr>
          <w:rFonts w:ascii="Arial" w:cs="Arial" w:eastAsia="Arial" w:hAnsi="Arial"/>
          <w:sz w:val="17"/>
          <w:szCs w:val="17"/>
          <w:color w:val="auto"/>
        </w:rPr>
      </w:pPr>
    </w:p>
    <w:p>
      <w:pPr>
        <w:ind w:left="-460" w:firstLine="968"/>
        <w:spacing w:after="0" w:line="286" w:lineRule="auto"/>
        <w:tabs>
          <w:tab w:leader="none" w:pos="10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of its consolidated subsidiaries maintain a system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Prospectus and the Time of Sale Prospectus is accurate and is prepared in accordance with the Commission’s rules and guidelines applicable thereto. Based on the Company’s most recent evaluation of its internal controls over financial reporting pursuant to Rule 13a-15(c) of the Exchange Act,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4" w:name="page15"/>
    <w:bookmarkEnd w:id="14"/>
    <w:p>
      <w:pPr>
        <w:ind w:left="-460" w:firstLine="968"/>
        <w:spacing w:after="0" w:line="254"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maintains an effective system of “disclosure controls and procedures” as defined in Rule 13a-15(e) under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under the Exchange Act through January 31, 2021.</w:t>
      </w:r>
    </w:p>
    <w:p>
      <w:pPr>
        <w:spacing w:after="0" w:line="194" w:lineRule="exact"/>
        <w:rPr>
          <w:rFonts w:ascii="Arial" w:cs="Arial" w:eastAsia="Arial" w:hAnsi="Arial"/>
          <w:sz w:val="18"/>
          <w:szCs w:val="18"/>
          <w:color w:val="auto"/>
        </w:rPr>
      </w:pPr>
    </w:p>
    <w:p>
      <w:pPr>
        <w:ind w:left="-460" w:firstLine="968"/>
        <w:spacing w:after="0" w:line="289" w:lineRule="auto"/>
        <w:tabs>
          <w:tab w:leader="none" w:pos="10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by them through the date of this Agreement or have requested extensions thereof (except where the failure to file would not, individually or in the aggregate, reasonably be expected to have a material adverse effect on the Company and its subsidiaries, taken as a whole) and have paid all taxes required to be paid thereon (except for cases in which the failure to file or pay would not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w:t>
      </w:r>
    </w:p>
    <w:p>
      <w:pPr>
        <w:spacing w:after="0" w:line="166" w:lineRule="exact"/>
        <w:rPr>
          <w:rFonts w:ascii="Arial" w:cs="Arial" w:eastAsia="Arial" w:hAnsi="Arial"/>
          <w:sz w:val="16"/>
          <w:szCs w:val="16"/>
          <w:color w:val="auto"/>
        </w:rPr>
      </w:pPr>
    </w:p>
    <w:p>
      <w:pPr>
        <w:ind w:left="-460" w:right="40" w:firstLine="968"/>
        <w:spacing w:after="0" w:line="257" w:lineRule="auto"/>
        <w:tabs>
          <w:tab w:leader="none" w:pos="10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(A) Registration Statement, including the information incorporated by reference therein, (B) the Time of Sale Prospectus, and (C) any free writing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7" w:lineRule="exact"/>
        <w:rPr>
          <w:rFonts w:ascii="Arial" w:cs="Arial" w:eastAsia="Arial" w:hAnsi="Arial"/>
          <w:sz w:val="18"/>
          <w:szCs w:val="18"/>
          <w:color w:val="auto"/>
        </w:rPr>
      </w:pPr>
    </w:p>
    <w:p>
      <w:pPr>
        <w:jc w:val="both"/>
        <w:ind w:left="-460" w:right="420" w:firstLine="968"/>
        <w:spacing w:after="0" w:line="263"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it to reasonably believe that the industry-related and market-related data included or incorporated by reference in the Time of Sale Prospectus and the Prospectus is not based on or derived from sources that are reliable and accurate in all material respects.</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15" w:name="page16"/>
    <w:bookmarkEnd w:id="15"/>
    <w:p>
      <w:pPr>
        <w:ind w:left="-460" w:firstLine="968"/>
        <w:spacing w:after="0" w:line="285" w:lineRule="auto"/>
        <w:tabs>
          <w:tab w:leader="none" w:pos="10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consolidated financial statements (including the related notes thereto) of the Company and its consolidated subsidiaries included or incorporated by reference in the Registration Statement, the Time of Sale Prospectus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U.S. GAAP applied on a consistent basis throughout the periods covered thereby; and any supporting schedules included or incorporated by reference in the Registration Statement present fairly in all material respects the information required to be stated therein; the other financial information included or incorporated by reference in the Registration Statement, the Time of Sale Prospectus and the Prospectus has been derived from the accounting or other records of the Company and its consolidated subsidiaries and presents fairly in all material respects the information shown thereby; the pro forma financial information and the related notes thereto included or incorporated by reference in the Registration Statement, the Time of Sale Prospectus and the Prospectus have been prepared in accordance with the applicable requirements of the Securities Act and the assumptions underlying such pro forma financial information are set forth in the Registration Statement, the Time of Sale Prospectus and the Prospectus and provide a reasonable basis for presenting the effects directly attributable to the transactions and events described therein; and, in the case of “non-GAAP financial measures” (as such term is defined by the rules and regulations of the Commission) included or incorporated by reference in the Registration Statement, the Time of Sale Prospectus and the Prospectus, such measures are presented in all material respects in compliance with Regulation G under the Exchange Act and Item 10 of Regulation S-K under the Securities Act, as applicable.</w:t>
      </w:r>
    </w:p>
    <w:p>
      <w:pPr>
        <w:spacing w:after="0" w:line="172" w:lineRule="exact"/>
        <w:rPr>
          <w:rFonts w:ascii="Arial" w:cs="Arial" w:eastAsia="Arial" w:hAnsi="Arial"/>
          <w:sz w:val="16"/>
          <w:szCs w:val="16"/>
          <w:color w:val="auto"/>
        </w:rPr>
      </w:pPr>
    </w:p>
    <w:p>
      <w:pPr>
        <w:ind w:left="-460" w:right="160" w:firstLine="968"/>
        <w:spacing w:after="0" w:line="261" w:lineRule="auto"/>
        <w:tabs>
          <w:tab w:leader="none" w:pos="12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83" w:lineRule="exact"/>
        <w:rPr>
          <w:rFonts w:ascii="Arial" w:cs="Arial" w:eastAsia="Arial" w:hAnsi="Arial"/>
          <w:sz w:val="18"/>
          <w:szCs w:val="18"/>
          <w:color w:val="auto"/>
        </w:rPr>
      </w:pPr>
    </w:p>
    <w:p>
      <w:pPr>
        <w:ind w:left="-460" w:right="20" w:firstLine="968"/>
        <w:spacing w:after="0" w:line="255" w:lineRule="auto"/>
        <w:tabs>
          <w:tab w:leader="none" w:pos="10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would have any liability has been maintained in material compliance with its terms and the requirements of any applicable statutes, orders, rules and regulations, including but not limited to, ERISA and the Code, except for noncompliance that would not reasonably be expected to have a material adverse effect on the Company and its subsidiaries, taken as a whole.</w:t>
      </w:r>
    </w:p>
    <w:p>
      <w:pPr>
        <w:spacing w:after="0" w:line="192" w:lineRule="exact"/>
        <w:rPr>
          <w:rFonts w:ascii="Arial" w:cs="Arial" w:eastAsia="Arial" w:hAnsi="Arial"/>
          <w:sz w:val="18"/>
          <w:szCs w:val="18"/>
          <w:color w:val="auto"/>
        </w:rPr>
      </w:pPr>
    </w:p>
    <w:p>
      <w:pPr>
        <w:ind w:left="-460" w:right="240" w:firstLine="968"/>
        <w:spacing w:after="0" w:line="259" w:lineRule="auto"/>
        <w:tabs>
          <w:tab w:leader="none" w:pos="10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taken, directly or indirectly, any action which is designed, or would reasonably be expected, to cause or result in, or which constitutes, the stabilization or manipulation of the price of any of the Shares to facilitate the sale or resale of the Shares or to result in a violation of Regulation M under the Exchange Act, provided, however, the Company makes no representation with respect to any actions taken by the Underwriters.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ind w:left="4" w:right="80" w:firstLine="968"/>
        <w:spacing w:after="0" w:line="263" w:lineRule="auto"/>
        <w:tabs>
          <w:tab w:leader="none" w:pos="14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reasonably be expected to give rise to a valid claim against any of them or any Underwriter for a brokerage commission, finder’s fee or like payment in connection with the offering.</w:t>
      </w:r>
    </w:p>
    <w:p>
      <w:pPr>
        <w:spacing w:after="0" w:line="183" w:lineRule="exact"/>
        <w:rPr>
          <w:rFonts w:ascii="Arial" w:cs="Arial" w:eastAsia="Arial" w:hAnsi="Arial"/>
          <w:sz w:val="18"/>
          <w:szCs w:val="18"/>
          <w:color w:val="auto"/>
        </w:rPr>
      </w:pPr>
    </w:p>
    <w:p>
      <w:pPr>
        <w:ind w:left="4" w:firstLine="968"/>
        <w:spacing w:after="0" w:line="257" w:lineRule="auto"/>
        <w:tabs>
          <w:tab w:leader="none" w:pos="16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in each case would not reasonably be expected to have a material adverse effect on the Company and its subsidiaries, taken as a whole, the Company has operated its business in a manner compliant with all privacy and data protection laws and regulations applicable to the Company’s collection, handling, and storage of its customers’ data; the Company has policies and procedures in place designed to ensure privacy and data protection laws are complied with and takes steps which are reasonably designed to assure compliance in all material respects with such policies and procedures.</w:t>
      </w:r>
    </w:p>
    <w:p>
      <w:pPr>
        <w:spacing w:after="0" w:line="187" w:lineRule="exact"/>
        <w:rPr>
          <w:rFonts w:ascii="Arial" w:cs="Arial" w:eastAsia="Arial" w:hAnsi="Arial"/>
          <w:sz w:val="18"/>
          <w:szCs w:val="18"/>
          <w:color w:val="auto"/>
        </w:rPr>
      </w:pPr>
    </w:p>
    <w:p>
      <w:pPr>
        <w:ind w:left="4" w:right="360" w:firstLine="968"/>
        <w:spacing w:after="0" w:line="291" w:lineRule="auto"/>
        <w:tabs>
          <w:tab w:leader="none" w:pos="154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information technology systems, equipment and software used by the Company or any of its subsidiaries in their respective businesses (the “</w:t>
      </w:r>
      <w:r>
        <w:rPr>
          <w:rFonts w:ascii="Arial" w:cs="Arial" w:eastAsia="Arial" w:hAnsi="Arial"/>
          <w:sz w:val="16"/>
          <w:szCs w:val="16"/>
          <w:b w:val="1"/>
          <w:bCs w:val="1"/>
          <w:color w:val="auto"/>
        </w:rPr>
        <w:t>IT Assets</w:t>
      </w:r>
      <w:r>
        <w:rPr>
          <w:rFonts w:ascii="Arial" w:cs="Arial" w:eastAsia="Arial" w:hAnsi="Arial"/>
          <w:sz w:val="16"/>
          <w:szCs w:val="16"/>
          <w:color w:val="auto"/>
        </w:rPr>
        <w:t>”) are adequate for the operation of the business of the Company as currently conducted. Such IT Assets</w:t>
      </w:r>
    </w:p>
    <w:p>
      <w:pPr>
        <w:ind w:left="4" w:right="40" w:hanging="4"/>
        <w:spacing w:after="0" w:line="268" w:lineRule="auto"/>
        <w:tabs>
          <w:tab w:leader="none" w:pos="21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operate and perform in all material respects in accordance with their documentation and functional specifications and otherwise as required by the Company’s and its subsidiaries’ respective businesses as currently conducted, (ii) except as described in the Registration Statement, the Time of Sale Prospectus and the Prospectus, have not materially malfunctioned or failed since the Company’s inception, except as would not be expected to have a material adverse effect on the Company and its subsidiaries, taken as a whole, and (iii) to the Company’s knowledge, are free of any viruses, “back doors,” “Trojan horses,” “time bombs, “worms,” “drop dead devices” or other software or hardware components that are designed or intended to interrupt use of, permit unauthorized access to, or disable, damage or erase, any software material to the business of the Company or any of its subsidiaries. The Company and its subsidiaries have implemented commercially reasonable backup and disaster recovery technology processes consistent with prevalent industry practices. To the Company’s knowledge, no person has gained unauthorized access to any IT Asset since the Company’s inception in a manner that has resulted or could reasonably be expected to result in a material adverse effect on the Company and its subsidiaries, taken as a whole.</w:t>
      </w:r>
    </w:p>
    <w:p>
      <w:pPr>
        <w:spacing w:after="0" w:line="178" w:lineRule="exact"/>
        <w:rPr>
          <w:rFonts w:ascii="Arial" w:cs="Arial" w:eastAsia="Arial" w:hAnsi="Arial"/>
          <w:sz w:val="17"/>
          <w:szCs w:val="17"/>
          <w:color w:val="auto"/>
        </w:rPr>
      </w:pPr>
    </w:p>
    <w:p>
      <w:pPr>
        <w:ind w:left="4" w:right="420" w:firstLine="968"/>
        <w:spacing w:after="0" w:line="277" w:lineRule="auto"/>
        <w:tabs>
          <w:tab w:leader="none" w:pos="18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are no debt securities or preferred stock issued, or guaranteed, by the Company that are rated by a “nationally recognized statistical rating organization,” as such term is defined in Section 3(a)(62) of the Exchange Act.</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7" w:name="page18"/>
    <w:bookmarkEnd w:id="17"/>
    <w:p>
      <w:pPr>
        <w:ind w:left="660" w:right="120" w:firstLine="968"/>
        <w:spacing w:after="0" w:line="263" w:lineRule="auto"/>
        <w:tabs>
          <w:tab w:leader="none" w:pos="2202"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included or incorporated by reference in any of the Registration Statement, the Time of Sale Prospectus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ind w:right="80" w:firstLine="656"/>
        <w:spacing w:after="0" w:line="259" w:lineRule="auto"/>
        <w:tabs>
          <w:tab w:leader="none" w:pos="132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several Underwriters, and each Underwriter, upon the basis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representations and warranties herein contained, but subject to the conditions hereinafter stated, agrees, severally and not jointly, to purchase from the Company at $355.91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 the respective number of Shares set forth in Schedule I hereto opposite the name of such Underwriter.</w:t>
      </w:r>
    </w:p>
    <w:p>
      <w:pPr>
        <w:spacing w:after="0" w:line="186" w:lineRule="exact"/>
        <w:rPr>
          <w:rFonts w:ascii="Arial" w:cs="Arial" w:eastAsia="Arial" w:hAnsi="Arial"/>
          <w:sz w:val="18"/>
          <w:szCs w:val="18"/>
          <w:color w:val="auto"/>
        </w:rPr>
      </w:pPr>
    </w:p>
    <w:p>
      <w:pPr>
        <w:ind w:right="100" w:firstLine="656"/>
        <w:spacing w:after="0" w:line="301" w:lineRule="auto"/>
        <w:tabs>
          <w:tab w:leader="none" w:pos="132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you that the Underwriters propose to make a public offering of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the Shares as soon after the Registration Statement and this Agreement have become effective as in your judgment is advisable. The Company is further advised by you that the Shares are to be offered to the public initially at $365.00 a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you at a price that represents a concession not in excess of $1.50 a share under the Public Offering Price.</w:t>
      </w:r>
    </w:p>
    <w:p>
      <w:pPr>
        <w:spacing w:after="0" w:line="157" w:lineRule="exact"/>
        <w:rPr>
          <w:rFonts w:ascii="Arial" w:cs="Arial" w:eastAsia="Arial" w:hAnsi="Arial"/>
          <w:sz w:val="16"/>
          <w:szCs w:val="16"/>
          <w:color w:val="auto"/>
        </w:rPr>
      </w:pPr>
    </w:p>
    <w:p>
      <w:pPr>
        <w:ind w:right="40" w:firstLine="656"/>
        <w:spacing w:after="0" w:line="259" w:lineRule="auto"/>
        <w:tabs>
          <w:tab w:leader="none" w:pos="132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Shares for the respective accounts of the several Underwriters at 10:00 a.m., New York City time, on July 2, 2021, or at such other time on the same or such other date, not later than July 9, 2021, as shall be designated in writing by you.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Shares shall be registered in such names and in such denominations as you shall request in writing not later than one full business day prior to the Closing Date. The Shares shall be delivered to you on the Closing Date for the respective accounts of the several Underwriters with any transfer taxes payable in connection with the transfer of the Shares to the Underwriters duly paid against the purchase price therefor.</w:t>
      </w:r>
    </w:p>
    <w:p>
      <w:pPr>
        <w:spacing w:after="0" w:line="165" w:lineRule="exact"/>
        <w:rPr>
          <w:sz w:val="20"/>
          <w:szCs w:val="20"/>
          <w:color w:val="auto"/>
        </w:rPr>
      </w:pPr>
    </w:p>
    <w:p>
      <w:pPr>
        <w:ind w:right="260" w:firstLine="656"/>
        <w:spacing w:after="0" w:line="263" w:lineRule="auto"/>
        <w:tabs>
          <w:tab w:leader="none" w:pos="132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Underwriters to purchase and pay for the Shares on the Closing Date are subject to the condition that the Registration Statement shall have become effective not later than 5:00 P.M. (New York City time) on the date 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left="2360" w:hanging="732"/>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1300" w:right="60" w:firstLine="976"/>
        <w:spacing w:after="0" w:line="308" w:lineRule="auto"/>
        <w:tabs>
          <w:tab w:leader="none" w:pos="2982"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8" w:name="page19"/>
    <w:bookmarkEnd w:id="18"/>
    <w:p>
      <w:pPr>
        <w:jc w:val="both"/>
        <w:ind w:left="1300" w:firstLine="976"/>
        <w:spacing w:after="0" w:line="259" w:lineRule="auto"/>
        <w:tabs>
          <w:tab w:leader="none" w:pos="30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186" w:lineRule="exact"/>
        <w:rPr>
          <w:rFonts w:ascii="Arial" w:cs="Arial" w:eastAsia="Arial" w:hAnsi="Arial"/>
          <w:sz w:val="18"/>
          <w:szCs w:val="18"/>
          <w:color w:val="auto"/>
        </w:rPr>
      </w:pPr>
    </w:p>
    <w:p>
      <w:pPr>
        <w:ind w:left="1300" w:right="80" w:firstLine="976"/>
        <w:spacing w:after="0" w:line="301" w:lineRule="auto"/>
        <w:tabs>
          <w:tab w:leader="none" w:pos="3082"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management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57" w:lineRule="exact"/>
        <w:rPr>
          <w:rFonts w:ascii="Arial" w:cs="Arial" w:eastAsia="Arial" w:hAnsi="Arial"/>
          <w:sz w:val="16"/>
          <w:szCs w:val="16"/>
          <w:color w:val="auto"/>
        </w:rPr>
      </w:pPr>
    </w:p>
    <w:p>
      <w:pPr>
        <w:ind w:left="660" w:firstLine="968"/>
        <w:spacing w:after="0" w:line="259" w:lineRule="auto"/>
        <w:tabs>
          <w:tab w:leader="none" w:pos="23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on behalf of the Company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225" w:lineRule="exact"/>
        <w:rPr>
          <w:sz w:val="20"/>
          <w:szCs w:val="20"/>
          <w:color w:val="auto"/>
        </w:rPr>
      </w:pPr>
    </w:p>
    <w:p>
      <w:pPr>
        <w:ind w:left="660" w:right="580" w:firstLine="968"/>
        <w:spacing w:after="0" w:line="342" w:lineRule="auto"/>
        <w:tabs>
          <w:tab w:leader="none" w:pos="23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and negative assurance letter of Cooley LLP (“</w:t>
      </w:r>
      <w:r>
        <w:rPr>
          <w:rFonts w:ascii="Arial" w:cs="Arial" w:eastAsia="Arial" w:hAnsi="Arial"/>
          <w:sz w:val="16"/>
          <w:szCs w:val="16"/>
          <w:b w:val="1"/>
          <w:bCs w:val="1"/>
          <w:color w:val="auto"/>
        </w:rPr>
        <w:t>Cooley</w:t>
      </w:r>
      <w:r>
        <w:rPr>
          <w:rFonts w:ascii="Arial" w:cs="Arial" w:eastAsia="Arial" w:hAnsi="Arial"/>
          <w:sz w:val="16"/>
          <w:szCs w:val="16"/>
          <w:color w:val="auto"/>
        </w:rPr>
        <w:t>”), outside counsel for the Company, dated the Closing Date, in form and substance satisfactory to the Representatives.</w:t>
      </w:r>
    </w:p>
    <w:p>
      <w:pPr>
        <w:spacing w:after="0" w:line="123" w:lineRule="exact"/>
        <w:rPr>
          <w:rFonts w:ascii="Arial" w:cs="Arial" w:eastAsia="Arial" w:hAnsi="Arial"/>
          <w:sz w:val="16"/>
          <w:szCs w:val="16"/>
          <w:color w:val="auto"/>
        </w:rPr>
      </w:pPr>
    </w:p>
    <w:p>
      <w:pPr>
        <w:ind w:left="660" w:right="80" w:firstLine="968"/>
        <w:spacing w:after="0" w:line="342" w:lineRule="auto"/>
        <w:tabs>
          <w:tab w:leader="none" w:pos="23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of Wilson Sonsini Goodrich &amp; Rosati, Professional Corporation (“</w:t>
      </w:r>
      <w:r>
        <w:rPr>
          <w:rFonts w:ascii="Arial" w:cs="Arial" w:eastAsia="Arial" w:hAnsi="Arial"/>
          <w:sz w:val="16"/>
          <w:szCs w:val="16"/>
          <w:b w:val="1"/>
          <w:bCs w:val="1"/>
          <w:color w:val="auto"/>
        </w:rPr>
        <w:t>WSGR</w:t>
      </w:r>
      <w:r>
        <w:rPr>
          <w:rFonts w:ascii="Arial" w:cs="Arial" w:eastAsia="Arial" w:hAnsi="Arial"/>
          <w:sz w:val="16"/>
          <w:szCs w:val="16"/>
          <w:color w:val="auto"/>
        </w:rPr>
        <w:t>”), counsel for the Underwriters, dated the Closing Date, in form and substance satisfactory to the Representatives.</w:t>
      </w:r>
    </w:p>
    <w:p>
      <w:pPr>
        <w:spacing w:after="0" w:line="124"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With respect to Section 5(c) and 5(d), Cooley and WSGR,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The opinion of Cooley described in Section 5(c) above shall be rendered to the Underwriters at the request of the Company, and shall so state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11" w:lineRule="exact"/>
        <w:rPr>
          <w:sz w:val="20"/>
          <w:szCs w:val="20"/>
          <w:color w:val="auto"/>
        </w:rPr>
      </w:pPr>
    </w:p>
    <w:p>
      <w:pPr>
        <w:ind w:left="660" w:right="120" w:firstLine="968"/>
        <w:spacing w:after="0" w:line="257" w:lineRule="auto"/>
        <w:tabs>
          <w:tab w:leader="none" w:pos="23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each of the date hereof and the Closing Date, a letter dated the date hereof or the Closing Date, as the case may be, in form and substance satisfactory to the Representatives, from PwC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187" w:lineRule="exact"/>
        <w:rPr>
          <w:rFonts w:ascii="Arial" w:cs="Arial" w:eastAsia="Arial" w:hAnsi="Arial"/>
          <w:sz w:val="18"/>
          <w:szCs w:val="18"/>
          <w:color w:val="auto"/>
        </w:rPr>
      </w:pPr>
    </w:p>
    <w:p>
      <w:pPr>
        <w:ind w:left="660" w:right="80" w:firstLine="968"/>
        <w:spacing w:after="0" w:line="277" w:lineRule="auto"/>
        <w:tabs>
          <w:tab w:leader="none" w:pos="23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and the Closing Date, a certificate, in form and substance satisfactory to the Representatives, signed by the Chief Financial Officer of the Company.</w:t>
      </w:r>
    </w:p>
    <w:p>
      <w:pPr>
        <w:spacing w:after="0" w:line="170" w:lineRule="exact"/>
        <w:rPr>
          <w:rFonts w:ascii="Arial" w:cs="Arial" w:eastAsia="Arial" w:hAnsi="Arial"/>
          <w:sz w:val="18"/>
          <w:szCs w:val="18"/>
          <w:color w:val="auto"/>
        </w:rPr>
      </w:pPr>
    </w:p>
    <w:p>
      <w:pPr>
        <w:ind w:left="660" w:right="480" w:firstLine="968"/>
        <w:spacing w:after="0" w:line="286" w:lineRule="auto"/>
        <w:tabs>
          <w:tab w:leader="none" w:pos="2381"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you and certain shareholders,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65" w:lineRule="exact"/>
        <w:rPr>
          <w:rFonts w:ascii="Arial" w:cs="Arial" w:eastAsia="Arial" w:hAnsi="Arial"/>
          <w:sz w:val="17"/>
          <w:szCs w:val="17"/>
          <w:color w:val="auto"/>
        </w:rPr>
      </w:pPr>
    </w:p>
    <w:p>
      <w:pPr>
        <w:ind w:left="660" w:right="380" w:firstLine="968"/>
        <w:spacing w:after="0" w:line="277" w:lineRule="auto"/>
        <w:tabs>
          <w:tab w:leader="none" w:pos="2381"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have furnished to the Representatives such further certificates and documents as the Representatives may reasonably request.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rFonts w:ascii="Arial" w:cs="Arial" w:eastAsia="Arial" w:hAnsi="Arial"/>
          <w:sz w:val="18"/>
          <w:szCs w:val="18"/>
          <w:color w:val="auto"/>
        </w:rPr>
      </w:pPr>
    </w:p>
    <w:p>
      <w:pPr>
        <w:ind w:left="660" w:right="140" w:firstLine="968"/>
        <w:spacing w:after="0" w:line="255" w:lineRule="auto"/>
        <w:tabs>
          <w:tab w:leader="none" w:pos="23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furnish to you, without charge, seven (7) conformed copies of the Registration Statement (including exhibits thereto) and for delivery to each other Underwriter a conformed copy of the Registration Statement (without exhibits thereto) and so long as delivery of a prospectus by an Underwriter or dealer is required by the Securities Act (including in circumstances where such requirement may be satisfied pursuant to Rule 172 under the Securities Act) (the “</w:t>
      </w:r>
      <w:r>
        <w:rPr>
          <w:rFonts w:ascii="Arial" w:cs="Arial" w:eastAsia="Arial" w:hAnsi="Arial"/>
          <w:sz w:val="18"/>
          <w:szCs w:val="18"/>
          <w:b w:val="1"/>
          <w:bCs w:val="1"/>
          <w:color w:val="auto"/>
        </w:rPr>
        <w:t>Prospectus Delivery Period</w:t>
      </w:r>
      <w:r>
        <w:rPr>
          <w:rFonts w:ascii="Arial" w:cs="Arial" w:eastAsia="Arial" w:hAnsi="Arial"/>
          <w:sz w:val="18"/>
          <w:szCs w:val="18"/>
          <w:color w:val="auto"/>
        </w:rPr>
        <w:t>”) to furnish to you in New York City, without charge, as many copies of the Time of Sale Prospectus, the Prospectus and any supplements and amendments thereto or to the Registration Statement as you may reasonably request.</w:t>
      </w:r>
    </w:p>
    <w:p>
      <w:pPr>
        <w:spacing w:after="0" w:line="192" w:lineRule="exact"/>
        <w:rPr>
          <w:rFonts w:ascii="Arial" w:cs="Arial" w:eastAsia="Arial" w:hAnsi="Arial"/>
          <w:sz w:val="18"/>
          <w:szCs w:val="18"/>
          <w:color w:val="auto"/>
        </w:rPr>
      </w:pPr>
    </w:p>
    <w:p>
      <w:pPr>
        <w:ind w:left="660" w:firstLine="968"/>
        <w:spacing w:after="0" w:line="259" w:lineRule="auto"/>
        <w:tabs>
          <w:tab w:leader="none" w:pos="2381" w:val="left"/>
        </w:tabs>
        <w:numPr>
          <w:ilvl w:val="1"/>
          <w:numId w:val="26"/>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460" w:right="40" w:firstLine="968"/>
        <w:spacing w:after="0" w:line="277" w:lineRule="auto"/>
        <w:tabs>
          <w:tab w:leader="none" w:pos="12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70" w:lineRule="exact"/>
        <w:rPr>
          <w:rFonts w:ascii="Arial" w:cs="Arial" w:eastAsia="Arial" w:hAnsi="Arial"/>
          <w:sz w:val="18"/>
          <w:szCs w:val="18"/>
          <w:color w:val="auto"/>
        </w:rPr>
      </w:pPr>
    </w:p>
    <w:p>
      <w:pPr>
        <w:ind w:left="-460" w:right="320" w:firstLine="968"/>
        <w:spacing w:after="0" w:line="263" w:lineRule="auto"/>
        <w:tabs>
          <w:tab w:leader="none" w:pos="12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3" w:lineRule="exact"/>
        <w:rPr>
          <w:rFonts w:ascii="Arial" w:cs="Arial" w:eastAsia="Arial" w:hAnsi="Arial"/>
          <w:sz w:val="18"/>
          <w:szCs w:val="18"/>
          <w:color w:val="auto"/>
        </w:rPr>
      </w:pPr>
    </w:p>
    <w:p>
      <w:pPr>
        <w:ind w:left="-460" w:right="20" w:firstLine="968"/>
        <w:spacing w:after="0" w:line="288" w:lineRule="auto"/>
        <w:tabs>
          <w:tab w:leader="none" w:pos="12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68" w:lineRule="exact"/>
        <w:rPr>
          <w:rFonts w:ascii="Arial" w:cs="Arial" w:eastAsia="Arial" w:hAnsi="Arial"/>
          <w:sz w:val="16"/>
          <w:szCs w:val="16"/>
          <w:color w:val="auto"/>
        </w:rPr>
      </w:pPr>
    </w:p>
    <w:p>
      <w:pPr>
        <w:ind w:left="-460" w:firstLine="968"/>
        <w:spacing w:after="0" w:line="269" w:lineRule="auto"/>
        <w:tabs>
          <w:tab w:leader="none" w:pos="12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1" w:name="page22"/>
    <w:bookmarkEnd w:id="21"/>
    <w:p>
      <w:pPr>
        <w:ind w:left="4" w:right="20" w:firstLine="968"/>
        <w:spacing w:after="0" w:line="279" w:lineRule="auto"/>
        <w:tabs>
          <w:tab w:leader="none" w:pos="17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To endeavor to qualify the Shares for offer and sale under the securities or Blue Sky laws of such jurisdictions as you shall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71" w:lineRule="exact"/>
        <w:rPr>
          <w:rFonts w:ascii="Arial" w:cs="Arial" w:eastAsia="Arial" w:hAnsi="Arial"/>
          <w:sz w:val="17"/>
          <w:szCs w:val="17"/>
          <w:color w:val="auto"/>
        </w:rPr>
      </w:pPr>
    </w:p>
    <w:p>
      <w:pPr>
        <w:ind w:left="4" w:right="100" w:firstLine="968"/>
        <w:spacing w:after="0" w:line="279" w:lineRule="auto"/>
        <w:tabs>
          <w:tab w:leader="none" w:pos="17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make generally available (which may be satisfied by filing with the Commission on its Electronic Data Gathering, Analysis and Retrieval System) to the Company’s security holders and to you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1" w:lineRule="exact"/>
        <w:rPr>
          <w:rFonts w:ascii="Arial" w:cs="Arial" w:eastAsia="Arial" w:hAnsi="Arial"/>
          <w:sz w:val="17"/>
          <w:szCs w:val="17"/>
          <w:color w:val="auto"/>
        </w:rPr>
      </w:pPr>
    </w:p>
    <w:p>
      <w:pPr>
        <w:ind w:left="4" w:right="100" w:firstLine="968"/>
        <w:spacing w:after="0" w:line="277" w:lineRule="auto"/>
        <w:tabs>
          <w:tab w:leader="none" w:pos="168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reasonably be expected to cause or result in any stabilization or manipulation of the price of the Shares.</w:t>
      </w:r>
    </w:p>
    <w:p>
      <w:pPr>
        <w:spacing w:after="0" w:line="170" w:lineRule="exact"/>
        <w:rPr>
          <w:rFonts w:ascii="Arial" w:cs="Arial" w:eastAsia="Arial" w:hAnsi="Arial"/>
          <w:sz w:val="18"/>
          <w:szCs w:val="18"/>
          <w:color w:val="auto"/>
        </w:rPr>
      </w:pPr>
    </w:p>
    <w:p>
      <w:pPr>
        <w:jc w:val="both"/>
        <w:ind w:left="4" w:firstLine="968"/>
        <w:spacing w:after="0" w:line="291" w:lineRule="auto"/>
        <w:tabs>
          <w:tab w:leader="none" w:pos="168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hereby agrees that, without the prior written consent of the Representatives on behalf of the Underwriters, it will not, and will not publicly disclose an intention to, during the period ending 60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left="4" w:right="20" w:hanging="4"/>
        <w:spacing w:after="0" w:line="252" w:lineRule="auto"/>
        <w:tabs>
          <w:tab w:leader="none" w:pos="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confidentially submit or file any registration statement with the Commission relating to the offering of any shares of Common Stock or any securities convertible into or exercisable or exchangeable for Common Stock.</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2" w:name="page23"/>
    <w:bookmarkEnd w:id="22"/>
    <w:p>
      <w:pPr>
        <w:ind w:right="40"/>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Shares to be sold hereunder, (b) the issuance by the Company of shares of Common Stock or securities convertible into or exercisable for Common Stock pursuant to the conversion or exchange of convertible or exchangeable securities or the exercise of warrants or options, in each case outstanding on the date hereof and described in the Time of Sale Prospectus, (c) grants of stock options, stock awards, restricted stock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Prospectus, (d) the entry into an agreement providing for the issuance by the Company of Common Stock or securities convertible into, exercisable for or which are otherwise exchangeable for or represent the right to receive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Common Stock or securities convertible into, exercisable for or which are otherwise exchangeable for or represent the right to receive Common Stock pursuant to any such agreement or (y) the Company’s joint ventures, commercial relationships and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securities convertible into, exercisable for or which are otherwise exchangeable for or represent the right to receive Common Stock that the Company may sell or issue or agree to sell or issue pursuant to this clause (d) shall not exceed 5% of the total number of shares of Common Stock outstanding immediately following the completion of the transactions contemplated by this Agreement and all recipients of any such securities shall enter into a lock-up letter substantially in the form of Exhibit A covering the remainder of the Restricted Period,</w:t>
      </w:r>
    </w:p>
    <w:p>
      <w:pPr>
        <w:ind w:right="20" w:firstLine="8"/>
        <w:spacing w:after="0" w:line="290"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establishment or amendment of a trading plan pursuant to Rule 10b5-1 under the Exchange Act for the transfer of shares of Common Stock,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plan does not provide for the transfer of Common Stock during the Restricted Period and (ii) to the extent a public announcement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under the Exchange Act, if any, is required of or voluntarily made by the Company regarding the establishment or amendment of such plan, such announcement or filing shall include a statement to the effect that no transfer of Common Stock may be made under such plan during the Restricted Period, or (f) the filing of any registration statement on Form S-8 relating to securities granted or to be granted pursuant to any plan in effect on the date hereof and described in the Time of Sale Prospectus or any assumed benefit plan contemplated by clause (d).</w:t>
      </w:r>
    </w:p>
    <w:p>
      <w:pPr>
        <w:spacing w:after="0" w:line="163" w:lineRule="exact"/>
        <w:rPr>
          <w:rFonts w:ascii="Arial" w:cs="Arial" w:eastAsia="Arial" w:hAnsi="Arial"/>
          <w:sz w:val="16"/>
          <w:szCs w:val="16"/>
          <w:color w:val="auto"/>
        </w:rPr>
      </w:pPr>
    </w:p>
    <w:p>
      <w:pPr>
        <w:ind w:left="660" w:firstLine="968"/>
        <w:spacing w:after="0" w:line="286" w:lineRule="auto"/>
        <w:tabs>
          <w:tab w:leader="none" w:pos="2381"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Company hereby agrees that, without the prior written consent of the Representatives on behalf of the Underwriters, it will not, during the Restricted Period, grant any release, waiver or termination: (i) from the market standoff restrictions under Section 2.11 of that certain Fifth Amended and Restated Investors’ Rights Agreement by and among the Company and the investors listed on Schedule A thereto, dated as of October 2, 2013, or as thereafter amended (the “</w:t>
      </w:r>
      <w:r>
        <w:rPr>
          <w:rFonts w:ascii="Arial" w:cs="Arial" w:eastAsia="Arial" w:hAnsi="Arial"/>
          <w:sz w:val="16"/>
          <w:szCs w:val="16"/>
          <w:b w:val="1"/>
          <w:bCs w:val="1"/>
          <w:color w:val="auto"/>
        </w:rPr>
        <w:t>Investors’ Rights Agreement</w:t>
      </w:r>
      <w:r>
        <w:rPr>
          <w:rFonts w:ascii="Arial" w:cs="Arial" w:eastAsia="Arial" w:hAnsi="Arial"/>
          <w:sz w:val="16"/>
          <w:szCs w:val="16"/>
          <w:color w:val="auto"/>
        </w:rPr>
        <w:t>”), to any signatory to the Investors’ Rights Agreement,</w:t>
      </w:r>
    </w:p>
    <w:p>
      <w:pPr>
        <w:spacing w:after="0" w:line="1" w:lineRule="exact"/>
        <w:rPr>
          <w:rFonts w:ascii="Arial" w:cs="Arial" w:eastAsia="Arial" w:hAnsi="Arial"/>
          <w:sz w:val="16"/>
          <w:szCs w:val="16"/>
          <w:color w:val="auto"/>
        </w:rPr>
      </w:pPr>
    </w:p>
    <w:p>
      <w:pPr>
        <w:ind w:left="660" w:right="320" w:hanging="4"/>
        <w:spacing w:after="0" w:line="295" w:lineRule="auto"/>
        <w:tabs>
          <w:tab w:leader="none" w:pos="925" w:val="left"/>
        </w:tabs>
        <w:numPr>
          <w:ilvl w:val="1"/>
          <w:numId w:val="30"/>
        </w:numPr>
        <w:rPr>
          <w:rFonts w:ascii="Arial" w:cs="Arial" w:eastAsia="Arial" w:hAnsi="Arial"/>
          <w:sz w:val="16"/>
          <w:szCs w:val="16"/>
          <w:color w:val="auto"/>
        </w:rPr>
      </w:pPr>
      <w:r>
        <w:rPr>
          <w:rFonts w:ascii="Arial" w:cs="Arial" w:eastAsia="Arial" w:hAnsi="Arial"/>
          <w:sz w:val="16"/>
          <w:szCs w:val="16"/>
          <w:color w:val="auto"/>
        </w:rPr>
        <w:t>from any lock-up or market standoff restrictions in the Company’s 2016 Equity Incentive Plan, as amended (the “</w:t>
      </w:r>
      <w:r>
        <w:rPr>
          <w:rFonts w:ascii="Arial" w:cs="Arial" w:eastAsia="Arial" w:hAnsi="Arial"/>
          <w:sz w:val="16"/>
          <w:szCs w:val="16"/>
          <w:b w:val="1"/>
          <w:bCs w:val="1"/>
          <w:color w:val="auto"/>
        </w:rPr>
        <w:t>2016 Plan</w:t>
      </w:r>
      <w:r>
        <w:rPr>
          <w:rFonts w:ascii="Arial" w:cs="Arial" w:eastAsia="Arial" w:hAnsi="Arial"/>
          <w:sz w:val="16"/>
          <w:szCs w:val="16"/>
          <w:color w:val="auto"/>
        </w:rPr>
        <w:t>”), or the Company’s 2008 Stock Incentive Plan, dated as of March 1, 2008, or as thereafter amended (the “</w:t>
      </w:r>
      <w:r>
        <w:rPr>
          <w:rFonts w:ascii="Arial" w:cs="Arial" w:eastAsia="Arial" w:hAnsi="Arial"/>
          <w:sz w:val="16"/>
          <w:szCs w:val="16"/>
          <w:b w:val="1"/>
          <w:bCs w:val="1"/>
          <w:color w:val="auto"/>
        </w:rPr>
        <w:t>2008 Plan</w:t>
      </w:r>
      <w:r>
        <w:rPr>
          <w:rFonts w:ascii="Arial" w:cs="Arial" w:eastAsia="Arial" w:hAnsi="Arial"/>
          <w:sz w:val="16"/>
          <w:szCs w:val="16"/>
          <w:color w:val="auto"/>
        </w:rPr>
        <w:t>”), to any parties to options, stock awards or other equity agreements granted pursuant to the 2016 Plan or 2008 Plan, as applicable, or (iii) from any other contractual lock-up or market standoff restrictions entered into by the Company, to any party to such contractual lock-up or market standoff restrictions.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ind w:left="-8" w:firstLine="656"/>
        <w:spacing w:after="0" w:line="282" w:lineRule="auto"/>
        <w:tabs>
          <w:tab w:leader="none" w:pos="1315"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Whether or not the transactions contemplated in this Agreement are consummated or this Agreement is terminated,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agrees to pay or cause to be paid all expenses incident to the performance of their obligations under this Agreement, including: (i) the fees, disbursements and expenses of the Company’s counsel and the Company’s accountants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the amount payable by the Company with respect to fees and disbursements of counsel for the Underwriters pursuant to subsections (iii) and (iv) shall not exceed $30,000); (v)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(with the Underwriters agreeing to pay all costs and expenses related to their participation in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any such consultants, and the Company’s pro rata share (based on the number of seats occupied by representatives and officers of the Company and any such consultants, on the one hand, and by representatives and officers of the Underwriters, on the other hand, in each case counting each individual flight between destinations as a separate trip to measure such relative use; for the avoidance of doubt, if any seats are not occupied for a leg of the trip, they will not be counted as used by either party for such calculation) of the cost of any aircraft chartered in connection with the road show with the prior approval of the Company (with the remainder of the cost of such aircraft to be paid by the Underwriters);</w:t>
      </w:r>
    </w:p>
    <w:p>
      <w:pPr>
        <w:spacing w:after="0" w:line="9" w:lineRule="exact"/>
        <w:rPr>
          <w:rFonts w:ascii="Arial" w:cs="Arial" w:eastAsia="Arial" w:hAnsi="Arial"/>
          <w:sz w:val="16"/>
          <w:szCs w:val="16"/>
          <w:color w:val="auto"/>
        </w:rPr>
      </w:pPr>
    </w:p>
    <w:p>
      <w:pPr>
        <w:ind w:left="-8" w:firstLine="8"/>
        <w:spacing w:after="0" w:line="252" w:lineRule="auto"/>
        <w:tabs>
          <w:tab w:leader="none" w:pos="2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w:t>
      </w:r>
    </w:p>
    <w:p>
      <w:pPr>
        <w:spacing w:after="0" w:line="200" w:lineRule="exact"/>
        <w:rPr>
          <w:sz w:val="20"/>
          <w:szCs w:val="20"/>
          <w:color w:val="auto"/>
        </w:rPr>
      </w:pPr>
    </w:p>
    <w:p>
      <w:pPr>
        <w:spacing w:after="0" w:line="20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24" w:name="page25"/>
    <w:bookmarkEnd w:id="24"/>
    <w:p>
      <w:pPr>
        <w:ind w:right="160" w:firstLine="656"/>
        <w:spacing w:after="0" w:line="263" w:lineRule="auto"/>
        <w:tabs>
          <w:tab w:leader="none" w:pos="132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3" w:lineRule="exact"/>
        <w:rPr>
          <w:rFonts w:ascii="Arial" w:cs="Arial" w:eastAsia="Arial" w:hAnsi="Arial"/>
          <w:sz w:val="18"/>
          <w:szCs w:val="18"/>
          <w:color w:val="auto"/>
        </w:rPr>
      </w:pPr>
    </w:p>
    <w:p>
      <w:pPr>
        <w:ind w:right="20" w:firstLine="656"/>
        <w:spacing w:after="0" w:line="284" w:lineRule="auto"/>
        <w:tabs>
          <w:tab w:leader="none" w:pos="1323"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Underwriter, its directors and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w:t>
      </w:r>
    </w:p>
    <w:p>
      <w:pPr>
        <w:spacing w:after="0" w:line="4"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8"/>
          <w:szCs w:val="18"/>
          <w:color w:val="auto"/>
        </w:rPr>
        <w:t>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any Written Testing-the-Waters Communications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 it being understood and agreed that the only such information furnished by the Underwriters through the Representatives is the Underwriters’ Information. “</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written communication (within the meaning of Rule 405 under the Securities Act) with potential investors undertaken in reliance on Section 5(d) or Rule 163B of the Securities Act.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firstLine="968"/>
        <w:spacing w:after="0" w:line="286" w:lineRule="auto"/>
        <w:tabs>
          <w:tab w:leader="none" w:pos="172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any Written Testing-the-Waters Communications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is the Underwriters’ Information.</w:t>
      </w:r>
    </w:p>
    <w:p>
      <w:pPr>
        <w:spacing w:after="0" w:line="3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908" w:right="459" w:bottom="1440" w:gutter="0" w:footer="0" w:header="0"/>
        </w:sectPr>
      </w:pPr>
    </w:p>
    <w:bookmarkStart w:id="26" w:name="page27"/>
    <w:bookmarkEnd w:id="26"/>
    <w:p>
      <w:pPr>
        <w:ind w:left="-460" w:firstLine="968"/>
        <w:spacing w:after="0" w:line="283" w:lineRule="auto"/>
        <w:tabs>
          <w:tab w:leader="none" w:pos="125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9(a) or 9(b),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(A) more than 90 days after receipt by such indemnifying party of the aforesaid request and (B) more than 15 days after receipt by such indemnifying party of notice specifying the terms of such settlement and that the indemnified party intends to enter into such settlement,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in form and substance reasonably satisfactory to such indemnified party from all liability on claims that are the subject matter of such proceeding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7" w:name="page28"/>
    <w:bookmarkEnd w:id="27"/>
    <w:p>
      <w:pPr>
        <w:ind w:left="-460" w:firstLine="968"/>
        <w:spacing w:after="0" w:line="285" w:lineRule="auto"/>
        <w:tabs>
          <w:tab w:leader="none" w:pos="12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392" w:lineRule="exact"/>
        <w:rPr>
          <w:rFonts w:ascii="Arial" w:cs="Arial" w:eastAsia="Arial" w:hAnsi="Arial"/>
          <w:sz w:val="16"/>
          <w:szCs w:val="16"/>
          <w:color w:val="auto"/>
        </w:rPr>
      </w:pPr>
    </w:p>
    <w:p>
      <w:pPr>
        <w:ind w:left="-460" w:right="40" w:firstLine="968"/>
        <w:spacing w:after="0" w:line="287" w:lineRule="auto"/>
        <w:tabs>
          <w:tab w:leader="none" w:pos="1251"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9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71" w:lineRule="exact"/>
        <w:rPr>
          <w:rFonts w:ascii="Arial" w:cs="Arial" w:eastAsia="Arial" w:hAnsi="Arial"/>
          <w:sz w:val="16"/>
          <w:szCs w:val="16"/>
          <w:color w:val="auto"/>
        </w:rPr>
      </w:pPr>
    </w:p>
    <w:p>
      <w:pPr>
        <w:ind w:left="-460" w:right="80" w:firstLine="968"/>
        <w:spacing w:after="0" w:line="257" w:lineRule="auto"/>
        <w:tabs>
          <w:tab w:leader="none" w:pos="12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Shares.</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ind w:firstLine="656"/>
        <w:spacing w:after="0" w:line="253" w:lineRule="auto"/>
        <w:tabs>
          <w:tab w:leader="none" w:pos="141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Underwriters may terminate this Agreement by notice given by you to the Company, if after the execution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this Agreement and prior to the Closing Date (i) trading generally shall have been suspended or materially limited on, or by, as the case may be, any of the New York Stock Exchange, the NYSE MKT,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96" w:lineRule="exact"/>
        <w:rPr>
          <w:rFonts w:ascii="Arial" w:cs="Arial" w:eastAsia="Arial" w:hAnsi="Arial"/>
          <w:sz w:val="18"/>
          <w:szCs w:val="18"/>
          <w:color w:val="auto"/>
        </w:rPr>
      </w:pPr>
    </w:p>
    <w:p>
      <w:pPr>
        <w:ind w:left="1420" w:hanging="764"/>
        <w:spacing w:after="0"/>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If, on the Closing Date,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Shares set forth opposite their respective names in Schedule I bears to the aggregate number of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Shares and the aggregate number of Shares with respect to which such default occurs is more than one-tenth of the aggregate number of Shares to be purchased on such date, and arrangements satisfactory to you and the Company for the purchase of such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 w:name="page30"/>
    <w:bookmarkEnd w:id="29"/>
    <w:p>
      <w:pPr>
        <w:ind w:right="20" w:firstLine="648"/>
        <w:spacing w:after="0" w:line="290"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required to be complied with, or if for any reason the Company shall be unable to perform its obligations under this Agreement other than by reason of a default by the Underwriters or the occurrence of any of the events described in clauses (i), (iii), (iv) or (v) of Section 10,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and in the case of a default by the Underwriters, the Company will reimburse the non-defaulting Underwriters who have terminated this Agreement, severally, for all of their out-of-pocket expenses (including their pro rata share of fees and disbursements of their counsel) reasonably incurred by such non-defaulting Underwriters in connection with this Agreement.</w:t>
      </w:r>
    </w:p>
    <w:p>
      <w:pPr>
        <w:spacing w:after="0" w:line="165" w:lineRule="exact"/>
        <w:rPr>
          <w:sz w:val="20"/>
          <w:szCs w:val="20"/>
          <w:color w:val="auto"/>
        </w:rPr>
      </w:pPr>
    </w:p>
    <w:p>
      <w:pPr>
        <w:ind w:right="20" w:firstLine="656"/>
        <w:spacing w:after="0" w:line="263" w:lineRule="auto"/>
        <w:tabs>
          <w:tab w:leader="none" w:pos="141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represents the entire agreement between the Company, on the one hand, and the Underwriters,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hand, with respect to the preparation of any preliminary prospectus, the Time of Sale Prospectus, the Prospectus, the conduct of the offering, and the purchase and sale of the Shares.</w:t>
      </w:r>
    </w:p>
    <w:p>
      <w:pPr>
        <w:spacing w:after="0" w:line="183" w:lineRule="exact"/>
        <w:rPr>
          <w:rFonts w:ascii="Arial" w:cs="Arial" w:eastAsia="Arial" w:hAnsi="Arial"/>
          <w:sz w:val="18"/>
          <w:szCs w:val="18"/>
          <w:color w:val="auto"/>
        </w:rPr>
      </w:pPr>
    </w:p>
    <w:p>
      <w:pPr>
        <w:ind w:left="660" w:right="60" w:firstLine="968"/>
        <w:spacing w:after="0" w:line="254" w:lineRule="auto"/>
        <w:tabs>
          <w:tab w:leader="none" w:pos="23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91" w:lineRule="exact"/>
        <w:rPr>
          <w:rFonts w:ascii="Arial" w:cs="Arial" w:eastAsia="Arial" w:hAnsi="Arial"/>
          <w:sz w:val="18"/>
          <w:szCs w:val="18"/>
          <w:color w:val="auto"/>
        </w:rPr>
      </w:pPr>
    </w:p>
    <w:p>
      <w:pPr>
        <w:ind w:firstLine="656"/>
        <w:spacing w:after="0" w:line="270" w:lineRule="auto"/>
        <w:tabs>
          <w:tab w:leader="none" w:pos="141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two or more counterparts, each of which shall be an original, with the same effect as if</w:t>
      </w:r>
      <w:r>
        <w:rPr>
          <w:rFonts w:ascii="Arial" w:cs="Arial" w:eastAsia="Arial" w:hAnsi="Arial"/>
          <w:sz w:val="17"/>
          <w:szCs w:val="17"/>
          <w:i w:val="1"/>
          <w:iCs w:val="1"/>
          <w:color w:val="auto"/>
        </w:rPr>
        <w:t xml:space="preserve"> </w:t>
      </w:r>
      <w:r>
        <w:rPr>
          <w:rFonts w:ascii="Arial" w:cs="Arial" w:eastAsia="Arial" w:hAnsi="Arial"/>
          <w:sz w:val="17"/>
          <w:szCs w:val="17"/>
          <w:color w:val="auto"/>
        </w:rPr>
        <w:t>the signatures thereto and hereto were upon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1420" w:hanging="764"/>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shall be governed by and construed in accordance with the internal laws of the State of New York.</w:t>
      </w:r>
    </w:p>
    <w:p>
      <w:pPr>
        <w:spacing w:after="0" w:line="248" w:lineRule="exact"/>
        <w:rPr>
          <w:rFonts w:ascii="Arial" w:cs="Arial" w:eastAsia="Arial" w:hAnsi="Arial"/>
          <w:sz w:val="16"/>
          <w:szCs w:val="16"/>
          <w:color w:val="auto"/>
        </w:rPr>
      </w:pPr>
    </w:p>
    <w:p>
      <w:pPr>
        <w:jc w:val="both"/>
        <w:ind w:right="100" w:firstLine="656"/>
        <w:spacing w:after="0" w:line="279" w:lineRule="auto"/>
        <w:tabs>
          <w:tab w:leader="none" w:pos="141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1" w:lineRule="exact"/>
        <w:rPr>
          <w:rFonts w:ascii="Arial" w:cs="Arial" w:eastAsia="Arial" w:hAnsi="Arial"/>
          <w:sz w:val="17"/>
          <w:szCs w:val="17"/>
          <w:color w:val="auto"/>
        </w:rPr>
      </w:pPr>
    </w:p>
    <w:p>
      <w:pPr>
        <w:ind w:left="660" w:firstLine="968"/>
        <w:spacing w:after="0" w:line="259" w:lineRule="auto"/>
        <w:tabs>
          <w:tab w:leader="none" w:pos="23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purposes of this Section a “</w:t>
      </w:r>
      <w:r>
        <w:rPr>
          <w:rFonts w:ascii="Arial" w:cs="Arial" w:eastAsia="Arial" w:hAnsi="Arial"/>
          <w:sz w:val="18"/>
          <w:szCs w:val="18"/>
          <w:b w:val="1"/>
          <w:bCs w:val="1"/>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w:t>
      </w:r>
      <w:r>
        <w:rPr>
          <w:rFonts w:ascii="Arial" w:cs="Arial" w:eastAsia="Arial" w:hAnsi="Arial"/>
          <w:sz w:val="18"/>
          <w:szCs w:val="18"/>
          <w:b w:val="1"/>
          <w:b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3" w:lineRule="exact"/>
        <w:rPr>
          <w:sz w:val="20"/>
          <w:szCs w:val="20"/>
          <w:color w:val="auto"/>
        </w:rPr>
      </w:pPr>
    </w:p>
    <w:p>
      <w:pPr>
        <w:ind w:right="20" w:firstLine="656"/>
        <w:spacing w:after="0" w:line="277" w:lineRule="auto"/>
        <w:tabs>
          <w:tab w:leader="none" w:pos="141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a part of this Agreement.</w:t>
      </w:r>
    </w:p>
    <w:p>
      <w:pPr>
        <w:spacing w:after="0" w:line="170" w:lineRule="exact"/>
        <w:rPr>
          <w:rFonts w:ascii="Arial" w:cs="Arial" w:eastAsia="Arial" w:hAnsi="Arial"/>
          <w:sz w:val="18"/>
          <w:szCs w:val="18"/>
          <w:color w:val="auto"/>
        </w:rPr>
      </w:pPr>
    </w:p>
    <w:p>
      <w:pPr>
        <w:ind w:right="60" w:firstLine="656"/>
        <w:spacing w:after="0" w:line="259" w:lineRule="auto"/>
        <w:tabs>
          <w:tab w:leader="none" w:pos="1413"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communications hereunder shall be in writing and effective only upon receipt and if to the Underwriters shall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mailed or sent to you in care of Morgan Stanley &amp; Co. LLC, 1585 Broadway, New York, New York 10036, Attention: Equity Syndicate Desk, with a copy to the Legal Department; in care of Goldman Sachs &amp; Co. LLC, 200 West Street, New York, New York 10282, Attention: Registration Department; to Wilson Sonsini Goodrich &amp; Rosati, P.C., 1700 K Street NW, 5th Floor, Washington, DC 20006, Attention: Michael C. Labriola; if to the Company shall be delivered, mailed or sent to MongoDB, Inc., 229 W. 43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Street,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10036, Attention: Chief Financial Officer, with a copy to Cooley LLP, 500 Boylston Street,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Boston, MA 02116, Attention: Nicole Brookshire.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120" w:firstLine="656"/>
        <w:spacing w:after="0" w:line="259" w:lineRule="auto"/>
        <w:tabs>
          <w:tab w:leader="none" w:pos="129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908" w:right="459" w:bottom="1440" w:gutter="0" w:footer="0" w:header="0"/>
        </w:sectPr>
      </w:pPr>
    </w:p>
    <w:bookmarkStart w:id="32" w:name="page33"/>
    <w:bookmarkEnd w:id="32"/>
    <w:p>
      <w:pPr>
        <w:ind w:left="450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MongoDB,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Dev Ittycheria</w:t>
      </w:r>
    </w:p>
    <w:p>
      <w:pPr>
        <w:spacing w:after="0" w:line="36" w:lineRule="exact"/>
        <w:rPr>
          <w:sz w:val="20"/>
          <w:szCs w:val="20"/>
          <w:color w:val="auto"/>
        </w:rPr>
      </w:pPr>
    </w:p>
    <w:p>
      <w:pPr>
        <w:jc w:val="both"/>
        <w:ind w:left="4840"/>
        <w:spacing w:after="0"/>
        <w:tabs>
          <w:tab w:leader="none" w:pos="54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51"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 several Underwriters named in Schedule I 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Andrew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Andrew Daly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 several Underwriters named in Schedule I 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William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William Connolly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680"/>
              <w:spacing w:after="0"/>
              <w:rPr>
                <w:sz w:val="20"/>
                <w:szCs w:val="20"/>
                <w:color w:val="auto"/>
              </w:rPr>
            </w:pPr>
            <w:r>
              <w:rPr>
                <w:rFonts w:ascii="Arial" w:cs="Arial" w:eastAsia="Arial" w:hAnsi="Arial"/>
                <w:sz w:val="18"/>
                <w:szCs w:val="18"/>
                <w:b w:val="1"/>
                <w:bCs w:val="1"/>
                <w:color w:val="auto"/>
                <w:w w:val="99"/>
              </w:rPr>
              <w:t>SCHEDULE I</w:t>
            </w:r>
          </w:p>
        </w:tc>
      </w:tr>
      <w:tr>
        <w:trPr>
          <w:trHeight w:val="414"/>
        </w:trPr>
        <w:tc>
          <w:tcPr>
            <w:tcW w:w="5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Number of Shares To</w:t>
            </w:r>
          </w:p>
        </w:tc>
      </w:tr>
      <w:tr>
        <w:trPr>
          <w:trHeight w:val="216"/>
        </w:trPr>
        <w:tc>
          <w:tcPr>
            <w:tcW w:w="5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Be</w:t>
            </w:r>
          </w:p>
        </w:tc>
      </w:tr>
      <w:tr>
        <w:trPr>
          <w:trHeight w:val="234"/>
        </w:trPr>
        <w:tc>
          <w:tcPr>
            <w:tcW w:w="5320" w:type="dxa"/>
            <w:vAlign w:val="bottom"/>
          </w:tcPr>
          <w:p>
            <w:pPr>
              <w:ind w:left="4140"/>
              <w:spacing w:after="0"/>
              <w:rPr>
                <w:sz w:val="20"/>
                <w:szCs w:val="20"/>
                <w:color w:val="auto"/>
              </w:rPr>
            </w:pPr>
            <w:r>
              <w:rPr>
                <w:rFonts w:ascii="Arial" w:cs="Arial" w:eastAsia="Arial" w:hAnsi="Arial"/>
                <w:sz w:val="18"/>
                <w:szCs w:val="18"/>
                <w:b w:val="1"/>
                <w:bCs w:val="1"/>
                <w:color w:val="auto"/>
              </w:rPr>
              <w:t>Underwriter</w:t>
            </w: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5920" w:type="dxa"/>
            <w:vAlign w:val="bottom"/>
            <w:gridSpan w:val="5"/>
          </w:tcPr>
          <w:p>
            <w:pPr>
              <w:jc w:val="right"/>
              <w:ind w:right="100"/>
              <w:spacing w:after="0"/>
              <w:rPr>
                <w:sz w:val="20"/>
                <w:szCs w:val="20"/>
                <w:color w:val="auto"/>
              </w:rPr>
            </w:pPr>
            <w:r>
              <w:rPr>
                <w:rFonts w:ascii="Arial" w:cs="Arial" w:eastAsia="Arial" w:hAnsi="Arial"/>
                <w:sz w:val="18"/>
                <w:szCs w:val="18"/>
                <w:color w:val="auto"/>
              </w:rPr>
              <w:t>1,075,000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5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Guzman &amp; Company</w:t>
            </w:r>
          </w:p>
        </w:tc>
        <w:tc>
          <w:tcPr>
            <w:tcW w:w="5920" w:type="dxa"/>
            <w:vAlign w:val="bottom"/>
            <w:gridSpan w:val="5"/>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5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Tigress Financial Partners LLC</w:t>
            </w:r>
          </w:p>
        </w:tc>
        <w:tc>
          <w:tcPr>
            <w:tcW w:w="5920" w:type="dxa"/>
            <w:vAlign w:val="bottom"/>
            <w:gridSpan w:val="5"/>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5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3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I-1</w:t>
            </w:r>
          </w:p>
        </w:tc>
      </w:tr>
    </w:tbl>
    <w:p>
      <w:pPr>
        <w:sectPr>
          <w:pgSz w:w="11900" w:h="16838" w:orient="portrait"/>
          <w:cols w:equalWidth="0" w:num="1">
            <w:col w:w="11240"/>
          </w:cols>
          <w:pgMar w:left="320" w:top="90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left="8" w:right="5060" w:hanging="8"/>
        <w:spacing w:after="0" w:line="500" w:lineRule="auto"/>
        <w:tabs>
          <w:tab w:leader="none" w:pos="2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Time of Sale Prospectus: None</w:t>
      </w:r>
    </w:p>
    <w:p>
      <w:pPr>
        <w:spacing w:after="0" w:line="1" w:lineRule="exact"/>
        <w:rPr>
          <w:rFonts w:ascii="Arial" w:cs="Arial" w:eastAsia="Arial" w:hAnsi="Arial"/>
          <w:sz w:val="18"/>
          <w:szCs w:val="18"/>
          <w:color w:val="auto"/>
        </w:rPr>
      </w:pPr>
    </w:p>
    <w:p>
      <w:pPr>
        <w:ind w:left="248" w:hanging="248"/>
        <w:spacing w:after="0"/>
        <w:tabs>
          <w:tab w:leader="none" w:pos="2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 w:right="4260" w:hanging="8"/>
        <w:spacing w:after="0" w:line="500" w:lineRule="auto"/>
        <w:tabs>
          <w:tab w:leader="none" w:pos="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Time of Sale Prospectus: Price to the public: $365.00</w:t>
      </w:r>
    </w:p>
    <w:p>
      <w:pPr>
        <w:spacing w:after="0" w:line="1"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The number of Shares purchased by the Underwriters is 2,500,000.</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7" w:name="page38"/>
    <w:bookmarkEnd w:id="37"/>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________,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understands that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proposes to enter into an Underwriting Agreement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MongoDB,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by the several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including Morgan Stanley, of 2,500,000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Class A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 undersigned hereby agrees that, without the prior written consent of Morgan Stanley, on behalf of the Underwriters, it will not, and will not publicly announce its intention to, during the period commencing on the date hereof and ending 60 days after the date of the final prospectus (the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relating to the Public Offering (the “</w:t>
      </w:r>
      <w:r>
        <w:rPr>
          <w:rFonts w:ascii="Arial" w:cs="Arial" w:eastAsia="Arial" w:hAnsi="Arial"/>
          <w:sz w:val="17"/>
          <w:szCs w:val="17"/>
          <w:b w:val="1"/>
          <w:bCs w:val="1"/>
          <w:color w:val="auto"/>
        </w:rPr>
        <w:t>Prospectus</w:t>
      </w:r>
      <w:r>
        <w:rPr>
          <w:rFonts w:ascii="Arial" w:cs="Arial" w:eastAsia="Arial" w:hAnsi="Arial"/>
          <w:sz w:val="17"/>
          <w:szCs w:val="17"/>
          <w:color w:val="auto"/>
        </w:rPr>
        <w:t>”), (1) offer, pledge, sell, contract to sell, sell any option or contract to purchase, purchase any</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 designed or intended, or which could reasonably be expected to lead to or result in, a sale or disposition of any shares of the Common Stock, or any securities convertible into or exercisable or exchangeable for the Common Stock, even if any such sale or disposition transaction or transactions would be made or executed by or on behalf of someone other than the undersigned. The foregoing sentence shall not apply to:</w:t>
      </w:r>
    </w:p>
    <w:p>
      <w:pPr>
        <w:spacing w:after="0" w:line="186" w:lineRule="exact"/>
        <w:rPr>
          <w:sz w:val="20"/>
          <w:szCs w:val="20"/>
          <w:color w:val="auto"/>
        </w:rPr>
      </w:pPr>
    </w:p>
    <w:p>
      <w:pPr>
        <w:ind w:right="80" w:firstLine="656"/>
        <w:spacing w:after="0" w:line="259"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Class A Stock or other securities acquired in the Public Offering or in open market transactions after the completion of the Public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reporting a reduction in beneficial ownership of shares of Class A Stock, shall be required or shall be voluntarily made in connection with subsequent sales of Class A Stock or other securities acquired in such open market transactions during the Restricted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920" w:hanging="264"/>
        <w:spacing w:after="0"/>
        <w:tabs>
          <w:tab w:leader="none" w:pos="9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color w:val="auto"/>
        </w:rPr>
      </w:pPr>
    </w:p>
    <w:p>
      <w:pPr>
        <w:ind w:firstLine="8"/>
        <w:spacing w:after="0" w:line="252"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to an immediate family member (as defined below) or to any trust for the direct or indirect benefit of the undersigned or an immediate family member of the undersigned, (iii) to any corporation, partnership, limited liability company, investment fund or other entity controlled or managed, or under common control or management by, the undersigned, or (iv) by will, other testamentary document or intestate succession to the legal representative, heir, beneficiary or an immediate family member of the undersigned,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transfer pursuant to this clause (b), (i) each transferee shall sign and deliver a lock-up agreement substantially in the form of this agreement, (ii) no filing under Section 16(a) of the Exchange Act, reporting a reduction in beneficial ownership of shares of Common Stock, shall be required or shall be voluntarily made during the Restricted Period and (iii) such transfer shall not involve a disposition for value;</w:t>
      </w:r>
    </w:p>
    <w:p>
      <w:pPr>
        <w:spacing w:after="0" w:line="192" w:lineRule="exact"/>
        <w:rPr>
          <w:rFonts w:ascii="Arial" w:cs="Arial" w:eastAsia="Arial" w:hAnsi="Arial"/>
          <w:sz w:val="18"/>
          <w:szCs w:val="18"/>
          <w:color w:val="auto"/>
        </w:rPr>
      </w:pPr>
    </w:p>
    <w:p>
      <w:pPr>
        <w:ind w:right="140" w:firstLine="656"/>
        <w:spacing w:after="0" w:line="273" w:lineRule="auto"/>
        <w:tabs>
          <w:tab w:leader="none" w:pos="893"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transfers or distributions of shares of Common Stock or any security convertible into or exercisable or exchangeable for Common Stock to current or former general or limited partners, managers or members, stockholders or direct or indirect affiliates (within the meaning of Rule 405 under the Securities Act of 1933, as amended) of the undersigned or to the estates of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transfer or distribution pursuant to this clause (c), (i) each transferee or distributee shall sign and deliver a lock-up agreement substantially in the form of this agreement, (ii) no filing under Section 16(a) of the Exchange Act, reporting a reduction in beneficial ownership of shares of Common Stock, shall be required or shall be voluntarily made during the Restricted Period and (iii) such transfer shall not involve a disposition for value;</w:t>
      </w:r>
    </w:p>
    <w:p>
      <w:pPr>
        <w:spacing w:after="0" w:line="177" w:lineRule="exact"/>
        <w:rPr>
          <w:rFonts w:ascii="Arial" w:cs="Arial" w:eastAsia="Arial" w:hAnsi="Arial"/>
          <w:sz w:val="17"/>
          <w:szCs w:val="17"/>
          <w:color w:val="auto"/>
        </w:rPr>
      </w:pPr>
    </w:p>
    <w:p>
      <w:pPr>
        <w:ind w:firstLine="656"/>
        <w:spacing w:after="0" w:line="283" w:lineRule="auto"/>
        <w:tabs>
          <w:tab w:leader="none" w:pos="903" w:val="left"/>
        </w:tabs>
        <w:numPr>
          <w:ilvl w:val="1"/>
          <w:numId w:val="46"/>
        </w:numPr>
        <w:rPr>
          <w:rFonts w:ascii="Arial" w:cs="Arial" w:eastAsia="Arial" w:hAnsi="Arial"/>
          <w:sz w:val="16"/>
          <w:szCs w:val="16"/>
          <w:color w:val="auto"/>
        </w:rPr>
      </w:pPr>
      <w:r>
        <w:rPr>
          <w:rFonts w:ascii="Arial" w:cs="Arial" w:eastAsia="Arial" w:hAnsi="Arial"/>
          <w:sz w:val="16"/>
          <w:szCs w:val="16"/>
          <w:color w:val="auto"/>
        </w:rPr>
        <w:t>(i) the exercise of (A) options or other stock awards to purchase shares of Common Stock insofar as such options or stock awards are outstanding as of the date of the Prospectus and granted under any equity incentive plan or stock purchase plan of the Company described in the registration statement related to the Public Offering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and the Prospectus or (B) warrants, insofar as such warrants are outstanding on the date of the Prospectus and described in the Registration Statement and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underlying shares shall continue to be subject to the restrictions on transfer set forth in this agreement, or (ii) the transfer of shares of Common Stock or any securities convertible into or exercisable or exchangeable for Common Stock to the Company upon a vesting event of the Company’s securities, including the vesting and settlement of restricted stock units granted under any equity incentive plan or stock purchase plan of the Company described in the Registration Statement or the Prospectus, or upon the “net” or “cashless” exercise of options or warrants that would otherwise expire during the Restricted Period to the extent permitted by the instruments representing such options or warrants (including any transfer to the Company necessary to generate any amount of cash needed for the payment of taxes, including estimated taxes, due as a result of such vesting or exercise whether by means of a “net settlement” or otherwise), so long as such “cashless” or “net” exercise is effected solely by the surrender of outstanding options or warrants (or underlying shares of Common Stock) to the Company, and the Company’s cancellation of all or a portion thereof to pay the exercise price and/or withholding tax obligations, but for the avoidance of doubt, excluding all methods of exercise that would involve a sale other than to the Company of any shares of Common Stock relating to options or warrants, whether to cover the applicable exercise price and/or withholding tax obligations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and (ii), no filing under Section 16(a) of the Exchange Act, or any other public filing or disclosure of such receipt or transfer by or on behalf of the</w:t>
      </w:r>
    </w:p>
    <w:p>
      <w:pPr>
        <w:spacing w:after="0" w:line="207" w:lineRule="auto"/>
        <w:rPr>
          <w:sz w:val="20"/>
          <w:szCs w:val="20"/>
          <w:color w:val="auto"/>
        </w:rPr>
      </w:pPr>
      <w:r>
        <w:rPr>
          <w:rFonts w:ascii="Arial" w:cs="Arial" w:eastAsia="Arial" w:hAnsi="Arial"/>
          <w:sz w:val="17"/>
          <w:szCs w:val="17"/>
          <w:color w:val="auto"/>
        </w:rPr>
        <w:t>undersigned shall be required or shall be voluntarily made within 30 days after the date of the Prospectus, and after such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any filing under</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16(a) of the Exchange Act shall clearly indicate in the footnotes thereto that (A) the filing relates to the circumstances described in clause (i) or (ii), as the case may be, (B) no shares were sold by the reporting person and (C) in the case of clause (i), the shares received upon exercise of the option are subject to a lock-up agreement with the Underwriters of the Public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892" w:hanging="244"/>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sales of Shares pursuant to the terms of the Underwriting Agreement;</w:t>
      </w:r>
    </w:p>
    <w:p>
      <w:pPr>
        <w:spacing w:after="0" w:line="225" w:lineRule="exact"/>
        <w:rPr>
          <w:rFonts w:ascii="Arial" w:cs="Arial" w:eastAsia="Arial" w:hAnsi="Arial"/>
          <w:sz w:val="18"/>
          <w:szCs w:val="18"/>
          <w:color w:val="auto"/>
        </w:rPr>
      </w:pPr>
    </w:p>
    <w:p>
      <w:pPr>
        <w:ind w:left="-8" w:right="60" w:firstLine="656"/>
        <w:spacing w:after="0" w:line="287" w:lineRule="auto"/>
        <w:tabs>
          <w:tab w:leader="none" w:pos="865" w:val="left"/>
        </w:tabs>
        <w:numPr>
          <w:ilvl w:val="1"/>
          <w:numId w:val="48"/>
        </w:numPr>
        <w:rPr>
          <w:rFonts w:ascii="Arial" w:cs="Arial" w:eastAsia="Arial" w:hAnsi="Arial"/>
          <w:sz w:val="16"/>
          <w:szCs w:val="16"/>
          <w:color w:val="auto"/>
        </w:rPr>
      </w:pPr>
      <w:r>
        <w:rPr>
          <w:rFonts w:ascii="Arial" w:cs="Arial" w:eastAsia="Arial" w:hAnsi="Arial"/>
          <w:sz w:val="16"/>
          <w:szCs w:val="16"/>
          <w:color w:val="auto"/>
        </w:rPr>
        <w:t>(i) the transfer of shares of Common Stock pursuant to a written plan meeting the requirements of Rule 10b5-1 under the Exchange Act for the transfer of shares of Common Stock (each,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xml:space="preserve">”) in effect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required under Section 16(a) of the Exchange Act during the Restricted Period shall clearly indicate in the footnotes thereto that the filing relates to a transaction pursuant to a 10b5-1 Plan,</w:t>
      </w:r>
    </w:p>
    <w:p>
      <w:pPr>
        <w:spacing w:after="0" w:line="2" w:lineRule="exact"/>
        <w:rPr>
          <w:rFonts w:ascii="Arial" w:cs="Arial" w:eastAsia="Arial" w:hAnsi="Arial"/>
          <w:sz w:val="16"/>
          <w:szCs w:val="16"/>
          <w:color w:val="auto"/>
        </w:rPr>
      </w:pPr>
    </w:p>
    <w:p>
      <w:pPr>
        <w:ind w:left="-8" w:firstLine="8"/>
        <w:spacing w:after="0" w:line="251" w:lineRule="auto"/>
        <w:tabs>
          <w:tab w:leader="none" w:pos="2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plan does not provide for the transfer of Common Stock during the Restricted Period and (B) to the extent a public announcement or filing under the Exchange Act, if any, is required of or voluntarily made by or on behalf of the undersigned or the Company regarding the establishment of such plan during the Restricted Period, such announcement or filing shall include a statement to the effect that no transfer of Common Stock may be made under such plan during the Restricted Period and (iii) the transfer of shares of Common Stock to cover withholding tax obligations in connection with the vesting and settlement of restricted stock units granted under any equity incentive plan or stock purchase plan of the Company described in the Registration Statement or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decision to transfer such shares of Common Stock to cover such withholding obligations is made by the undersigned during the Restricted Period;</w:t>
      </w:r>
    </w:p>
    <w:p>
      <w:pPr>
        <w:spacing w:after="0" w:line="197" w:lineRule="exact"/>
        <w:rPr>
          <w:rFonts w:ascii="Arial" w:cs="Arial" w:eastAsia="Arial" w:hAnsi="Arial"/>
          <w:sz w:val="18"/>
          <w:szCs w:val="18"/>
          <w:color w:val="auto"/>
        </w:rPr>
      </w:pPr>
    </w:p>
    <w:p>
      <w:pPr>
        <w:ind w:left="-8" w:firstLine="656"/>
        <w:spacing w:after="0" w:line="296" w:lineRule="auto"/>
        <w:tabs>
          <w:tab w:leader="none" w:pos="8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transfer of shares of Common Stock or any security convertible into or exercisable or exchangeable for Common Stock that occurs by operation of law pursuant to a qualified domestic order or in connection with a divorce settlement or other court order,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transferee shall sign and deliver a lock-up agreement substantially in the form of this agreement, (ii) any filing required under Section 16(a) of the Exchange Act during the Restricted Period shall clearly indicate in the footnotes thereto that the filing relates to the circumstances described above and (iii) the undersigned does not otherwise voluntarily effect any other public filing or announcement regarding such transfers during the Restricted Period; or</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0" w:name="page41"/>
    <w:bookmarkEnd w:id="40"/>
    <w:p>
      <w:pPr>
        <w:ind w:right="40" w:firstLine="656"/>
        <w:spacing w:after="0" w:line="301" w:lineRule="auto"/>
        <w:tabs>
          <w:tab w:leader="none" w:pos="903"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Stock owned by the undersigned shall remain subject to the restrictions contained in this agreement.</w:t>
      </w:r>
    </w:p>
    <w:p>
      <w:pPr>
        <w:spacing w:after="0" w:line="1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used herein, (i) “immediate family member” means the spouse, domestic partner, lineal descendant, father, mother, brother, sister, or any other person with whom the undersigned has a relationship by blood, marriage or adoption not more remote than first cousin and (ii)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65% of the number of outstanding voting securities of the Company (or the surviving entity) and 65% of the voting control of the outstanding voting securities of the Company (or the surviving entity).</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undersigned agrees that, without the prior written consent of the Morgan Stanley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1" w:name="page42"/>
    <w:bookmarkEnd w:id="41"/>
    <w:p>
      <w:pPr>
        <w:ind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agreement shall automatically terminate and the undersigned will be released from all obligations hereunder upon the earliest to occur, if any, of (a) the Company, on the one hand, or Morgan Stanley, on the other hand, advising the other in writing that it has determined not to proceed with the Public Offering prior to the execution of the Underwriting Agreement, (b) the date the Registration Statement is withdrawn, if prior to the closing of the Public Offering, (c) the date the Underwriting Agreement is terminated, if prior to the closing of the Public Offering, and (d) July 5, 2021, if the Underwriting Agreement has not been executed by such date.</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2" w:name="page43"/>
    <w:bookmarkEnd w:id="42"/>
    <w:p>
      <w:pPr>
        <w:ind w:left="450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(Entity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 and 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-115570</wp:posOffset>
            </wp:positionV>
            <wp:extent cx="356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letter is being delivered to you in connection with the offering by MongoDB, Inc. (the “</w:t>
      </w:r>
      <w:r>
        <w:rPr>
          <w:rFonts w:ascii="Arial" w:cs="Arial" w:eastAsia="Arial" w:hAnsi="Arial"/>
          <w:sz w:val="17"/>
          <w:szCs w:val="17"/>
          <w:b w:val="1"/>
          <w:bCs w:val="1"/>
          <w:color w:val="auto"/>
        </w:rPr>
        <w:t>Company</w:t>
      </w:r>
      <w:r>
        <w:rPr>
          <w:rFonts w:ascii="Arial" w:cs="Arial" w:eastAsia="Arial" w:hAnsi="Arial"/>
          <w:sz w:val="17"/>
          <w:szCs w:val="17"/>
          <w:color w:val="auto"/>
        </w:rPr>
        <w:t>”) of _____ shares of Class A common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stock, $0.001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and the lock-up letter dated ____, 2021 (the “</w:t>
      </w:r>
      <w:r>
        <w:rPr>
          <w:rFonts w:ascii="Arial" w:cs="Arial" w:eastAsia="Arial" w:hAnsi="Arial"/>
          <w:sz w:val="17"/>
          <w:szCs w:val="17"/>
          <w:b w:val="1"/>
          <w:bCs w:val="1"/>
          <w:color w:val="auto"/>
        </w:rPr>
        <w:t>Lock-up Letter</w:t>
      </w:r>
      <w:r>
        <w:rPr>
          <w:rFonts w:ascii="Arial" w:cs="Arial" w:eastAsia="Arial" w:hAnsi="Arial"/>
          <w:sz w:val="17"/>
          <w:szCs w:val="17"/>
          <w:color w:val="auto"/>
        </w:rPr>
        <w:t>”), executed by you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such offering, and your request for a [waiver] [release] dated ____, 20__, with respect to ____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23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Morgan Stanley &amp; Co. LLC hereby agrees to [waive] [release] the transfer restrictions set forth in the Lock-up Letter, but only with respect to the Shares, effective _____, 20__.</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intentionally been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Acting severally on behalf of themselves and the several Underwriters named</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Nicole C. Brookshire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+1 617 937 2357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nbrookshire@cooley.com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1633 Broadway,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acted as counsel to MongoDB,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offering by the Company of 2,500,000 shares of the Company’s Class A common stock, par value $0.001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a Registration Statement on Form S-3 (Registration Statement No. 333-257514)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the base prospectus included in the Registration Statement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the prospectus supplement, dated June 29, 2021 relating to the Shares filed with the Commission pursuant to Rule 424(b) under the Act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Amended and Restated Certificate of Incorporation, as amended, and Amended and Restated Bylaws, each as currently in effect, and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in accordance with the Registration Statement and the Prospectus, will be validly issued,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500 Boylston Street Boston MA 02116 - 3736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(617) 937-2357 f: (617) 937-2400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Nicole C. Brookshire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Nicole C. Brookshire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500 Boylston Street Boston MA 02116 - 3736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(617) 937-2357 f: (617) 937-2400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Announces Pricing of Upsized Public Offering of Class A Common Stock</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NEW YORK—June 29, 2021—MongoDB, Inc. (“MongoDB”) (Nasdaq: MDB), the leading, modern general purpose database platform, today announced the pricing of an underwritten public offering of 2,500,000 shares of its Class A common stock at a price to the public of $365.00 per share. MongoDB estimates that the net proceeds from the sale of the shares will be approximately $889.0 million, after deducting underwriting discounts and commissions and estimated offering expenses payable by MongoDB. The offering is expected to close on July 2, 2021, subject to customary closing conditions.</w:t>
      </w:r>
    </w:p>
    <w:p>
      <w:pPr>
        <w:spacing w:after="0" w:line="1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Morgan Stanley and Goldman Sachs &amp; Co. LLC are acting as joint book-running managers for the offering. Drexel Hamilton, Guzman &amp; Company, Siebert Williams Shank and Tigress Financial Partners are acting as co-managers for the offering.</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public offering is being made pursuant to a shelf registration statement on Form S-3 that was filed by MongoDB with the U.S. Securities and Exchange Commission (the “SEC”) and automatically became effective upon filing. A preliminary prospectus supplement and accompanying prospectus relating to and describing the terms of the offering have been filed with the SEC, and a final prospectus supplement and accompanying prospectus relating to and describing the terms of the offering will be filed with the SEC and will be available on the SEC’s website at www.sec.gov. Copies of the final prospectus supplement and accompanying prospectus, when available, may be obtained from Morgan Stanley &amp; Co. LLC, Attention: Prospectus Department, 180 Varick Street, 2nd Floor, New York, NY 10014; or Goldman Sachs &amp; Co. LLC, Prospectus Department, 200 West Street, New York, NY 10282, telephone: 1-866-471-2526, facsimile: 212-902-9316 or by emailing Prospectus-ny@ny.email.gs.com.</w:t>
      </w:r>
    </w:p>
    <w:p>
      <w:pPr>
        <w:spacing w:after="0" w:line="17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MongoDB</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MongoDB is the leading modern, general purpose database platform, designed to unleash the power of software and data for developers and the applications they build. Headquartered in New York, MongoDB has more than 26,800 customers in over 100 countries. The MongoDB database platform has been downloaded over 175 million times and there have been more than 1.5 million registrations for MongoDB University courses.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Forward-looking statements contained in this press release include statements relating to MongoDB’s expectations regarding the size and anticipated completion of the offering and MongoDB’s expected net proceeds from the offering. These forward-looking statements are based on MongoDB’s expectations and assumptions as of the date of this press release. Actual results may differ materially from these forward-looking statements. Each of these forward-looking statements involves risks and uncertainties. These risks and uncertainties include, without limitation, risks and uncertainties related to market conditions and satisfaction of customary closing conditions related to the offering. There can be no assurance that MongoDB will be able to complete the offering on the anticipated terms, or at all. Other factors that may cause actual results to differ from those expressed or implied in the forward-looking statements in this press release are discussed in MongoDB’s filings with the SEC, including under the heading “Risk Factors” contained therein, as well as the risks identified in the registration statement and the preliminary prospectus supplement relating to the offering. Except as required by law, MongoDB assumes no obligation to update any forward-looking statements contained herein to reflect any change in expectations, even as new information becomes available.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for MongoDB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ir@mongodb.com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Trocchio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MongoDB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communications@mongodb.com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lowerLetter"/>
      <w:start w:val="4"/>
    </w:lvl>
  </w:abstractNum>
  <w:abstractNum w:abstractNumId="5">
    <w:nsid w:val="2CA88611"/>
    <w:multiLevelType w:val="hybridMultilevel"/>
    <w:lvl w:ilvl="0">
      <w:lvlJc w:val="left"/>
      <w:lvlText w:val="(%1)"/>
      <w:numFmt w:val="lowerLetter"/>
      <w:start w:val="6"/>
    </w:lvl>
  </w:abstractNum>
  <w:abstractNum w:abstractNumId="6">
    <w:nsid w:val="836C40E"/>
    <w:multiLevelType w:val="hybridMultilevel"/>
    <w:lvl w:ilvl="0">
      <w:lvlJc w:val="left"/>
      <w:lvlText w:val="(%1)"/>
      <w:numFmt w:val="lowerLetter"/>
      <w:start w:val="9"/>
    </w:lvl>
  </w:abstractNum>
  <w:abstractNum w:abstractNumId="7">
    <w:nsid w:val="2901D82"/>
    <w:multiLevelType w:val="hybridMultilevel"/>
    <w:lvl w:ilvl="0">
      <w:lvlJc w:val="left"/>
      <w:lvlText w:val="(%1)"/>
      <w:numFmt w:val="lowerLetter"/>
      <w:start w:val="15"/>
    </w:lvl>
  </w:abstractNum>
  <w:abstractNum w:abstractNumId="8">
    <w:nsid w:val="3A95F874"/>
    <w:multiLevelType w:val="hybridMultilevel"/>
    <w:lvl w:ilvl="0">
      <w:lvlJc w:val="left"/>
      <w:lvlText w:val="(%1)"/>
      <w:numFmt w:val="lowerLetter"/>
      <w:start w:val="19"/>
    </w:lvl>
  </w:abstractNum>
  <w:abstractNum w:abstractNumId="9">
    <w:nsid w:val="8138641"/>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0">
    <w:nsid w:val="1E7FF521"/>
    <w:multiLevelType w:val="hybridMultilevel"/>
    <w:lvl w:ilvl="0">
      <w:lvlJc w:val="left"/>
      <w:lvlText w:val="(%1)"/>
      <w:numFmt w:val="lowerLetter"/>
      <w:start w:val="24"/>
    </w:lvl>
  </w:abstractNum>
  <w:abstractNum w:abstractNumId="11">
    <w:nsid w:val="7C3DBD3D"/>
    <w:multiLevelType w:val="hybridMultilevel"/>
    <w:lvl w:ilvl="0">
      <w:lvlJc w:val="left"/>
      <w:lvlText w:val="(%1)"/>
      <w:numFmt w:val="lowerLetter"/>
      <w:start w:val="27"/>
    </w:lvl>
  </w:abstractNum>
  <w:abstractNum w:abstractNumId="12">
    <w:nsid w:val="737B8DDC"/>
    <w:multiLevelType w:val="hybridMultilevel"/>
    <w:lvl w:ilvl="0">
      <w:lvlJc w:val="left"/>
      <w:lvlText w:val="(%1)"/>
      <w:numFmt w:val="lowerLetter"/>
      <w:start w:val="28"/>
    </w:lvl>
  </w:abstractNum>
  <w:abstractNum w:abstractNumId="13">
    <w:nsid w:val="6CEAF087"/>
    <w:multiLevelType w:val="hybridMultilevel"/>
    <w:lvl w:ilvl="0">
      <w:lvlJc w:val="left"/>
      <w:lvlText w:val="(%1)"/>
      <w:numFmt w:val="lowerLetter"/>
      <w:start w:val="30"/>
    </w:lvl>
  </w:abstractNum>
  <w:abstractNum w:abstractNumId="14">
    <w:nsid w:val="22221A70"/>
    <w:multiLevelType w:val="hybridMultilevel"/>
    <w:lvl w:ilvl="0">
      <w:lvlJc w:val="left"/>
      <w:lvlText w:val="(%1)"/>
      <w:numFmt w:val="lowerLetter"/>
      <w:start w:val="34"/>
    </w:lvl>
  </w:abstractNum>
  <w:abstractNum w:abstractNumId="15">
    <w:nsid w:val="4516DDE9"/>
    <w:multiLevelType w:val="hybridMultilevel"/>
    <w:lvl w:ilvl="0">
      <w:lvlJc w:val="left"/>
      <w:lvlText w:val="%1"/>
      <w:numFmt w:val="lowerLetter"/>
      <w:start w:val="1"/>
    </w:lvl>
    <w:lvl w:ilvl="1">
      <w:lvlJc w:val="left"/>
      <w:lvlText w:val="(%2)"/>
      <w:numFmt w:val="lowerLetter"/>
      <w:start w:val="38"/>
    </w:lvl>
  </w:abstractNum>
  <w:abstractNum w:abstractNumId="16">
    <w:nsid w:val="3006C83E"/>
    <w:multiLevelType w:val="hybridMultilevel"/>
    <w:lvl w:ilvl="0">
      <w:lvlJc w:val="left"/>
      <w:lvlText w:val="(%1)"/>
      <w:numFmt w:val="lowerLetter"/>
      <w:start w:val="9"/>
    </w:lvl>
    <w:lvl w:ilvl="1">
      <w:lvlJc w:val="left"/>
      <w:lvlText w:val="(%2)"/>
      <w:numFmt w:val="lowerLetter"/>
      <w:start w:val="41"/>
    </w:lvl>
  </w:abstractNum>
  <w:abstractNum w:abstractNumId="17">
    <w:nsid w:val="614FD4A1"/>
    <w:multiLevelType w:val="hybridMultilevel"/>
    <w:lvl w:ilvl="0">
      <w:lvlJc w:val="left"/>
      <w:lvlText w:val="%1"/>
      <w:numFmt w:val="decimal"/>
      <w:start w:val="1"/>
    </w:lvl>
    <w:lvl w:ilvl="1">
      <w:lvlJc w:val="left"/>
      <w:lvlText w:val="(%2)"/>
      <w:numFmt w:val="lowerLetter"/>
      <w:start w:val="42"/>
    </w:lvl>
  </w:abstractNum>
  <w:abstractNum w:abstractNumId="18">
    <w:nsid w:val="419AC241"/>
    <w:multiLevelType w:val="hybridMultilevel"/>
    <w:lvl w:ilvl="0">
      <w:lvlJc w:val="left"/>
      <w:lvlText w:val="%1."/>
      <w:numFmt w:val="decimal"/>
      <w:start w:val="2"/>
    </w:lvl>
    <w:lvl w:ilvl="1">
      <w:lvlJc w:val="left"/>
      <w:lvlText w:val="%2"/>
      <w:numFmt w:val="lowerLetter"/>
      <w:start w:val="1"/>
    </w:lvl>
  </w:abstractNum>
  <w:abstractNum w:abstractNumId="19">
    <w:nsid w:val="5577F8E1"/>
    <w:multiLevelType w:val="hybridMultilevel"/>
    <w:lvl w:ilvl="0">
      <w:lvlJc w:val="left"/>
      <w:lvlText w:val="%1."/>
      <w:numFmt w:val="decimal"/>
      <w:start w:val="5"/>
    </w:lvl>
  </w:abstractNum>
  <w:abstractNum w:abstractNumId="20">
    <w:nsid w:val="440BADFC"/>
    <w:multiLevelType w:val="hybridMultilevel"/>
    <w:lvl w:ilvl="0">
      <w:lvlJc w:val="left"/>
      <w:lvlText w:val="(%1)"/>
      <w:numFmt w:val="lowerLetter"/>
      <w:start w:val="1"/>
    </w:lvl>
    <w:lvl w:ilvl="1">
      <w:lvlJc w:val="left"/>
      <w:lvlText w:val="(%2)"/>
      <w:numFmt w:val="lowerLetter"/>
      <w:start w:val="9"/>
    </w:lvl>
  </w:abstractNum>
  <w:abstractNum w:abstractNumId="21">
    <w:nsid w:val="5072367"/>
    <w:multiLevelType w:val="hybridMultilevel"/>
    <w:lvl w:ilvl="0">
      <w:lvlJc w:val="left"/>
      <w:lvlText w:val="%1"/>
      <w:numFmt w:val="lowerLetter"/>
      <w:start w:val="1"/>
    </w:lvl>
    <w:lvl w:ilvl="1">
      <w:lvlJc w:val="left"/>
      <w:lvlText w:val="(%2)"/>
      <w:numFmt w:val="lowerRoman"/>
      <w:start w:val="2"/>
    </w:lvl>
  </w:abstractNum>
  <w:abstractNum w:abstractNumId="22">
    <w:nsid w:val="3804823E"/>
    <w:multiLevelType w:val="hybridMultilevel"/>
    <w:lvl w:ilvl="0">
      <w:lvlJc w:val="left"/>
      <w:lvlText w:val="(%1)"/>
      <w:numFmt w:val="lowerLetter"/>
      <w:start w:val="2"/>
    </w:lvl>
    <w:lvl w:ilvl="1">
      <w:lvlJc w:val="left"/>
      <w:lvlText w:val="%2"/>
      <w:numFmt w:val="lowerRoman"/>
      <w:start w:val="1"/>
    </w:lvl>
  </w:abstractNum>
  <w:abstractNum w:abstractNumId="23">
    <w:nsid w:val="77465F01"/>
    <w:multiLevelType w:val="hybridMultilevel"/>
    <w:lvl w:ilvl="0">
      <w:lvlJc w:val="left"/>
      <w:lvlText w:val="(%1)"/>
      <w:numFmt w:val="lowerLetter"/>
      <w:start w:val="3"/>
    </w:lvl>
  </w:abstractNum>
  <w:abstractNum w:abstractNumId="24">
    <w:nsid w:val="7724C67E"/>
    <w:multiLevelType w:val="hybridMultilevel"/>
    <w:lvl w:ilvl="0">
      <w:lvlJc w:val="left"/>
      <w:lvlText w:val="%1"/>
      <w:numFmt w:val="decimal"/>
      <w:start w:val="1"/>
    </w:lvl>
    <w:lvl w:ilvl="1">
      <w:lvlJc w:val="left"/>
      <w:lvlText w:val="(%2)"/>
      <w:numFmt w:val="lowerLetter"/>
      <w:start w:val="5"/>
    </w:lvl>
  </w:abstractNum>
  <w:abstractNum w:abstractNumId="25">
    <w:nsid w:val="5C482A97"/>
    <w:multiLevelType w:val="hybridMultilevel"/>
    <w:lvl w:ilvl="0">
      <w:lvlJc w:val="left"/>
      <w:lvlText w:val="%1."/>
      <w:numFmt w:val="decimal"/>
      <w:start w:val="6"/>
    </w:lvl>
    <w:lvl w:ilvl="1">
      <w:lvlJc w:val="left"/>
      <w:lvlText w:val="(%2)"/>
      <w:numFmt w:val="lowerLetter"/>
      <w:start w:val="1"/>
    </w:lvl>
  </w:abstractNum>
  <w:abstractNum w:abstractNumId="26">
    <w:nsid w:val="2463B9EA"/>
    <w:multiLevelType w:val="hybridMultilevel"/>
    <w:lvl w:ilvl="0">
      <w:lvlJc w:val="left"/>
      <w:lvlText w:val="(%1)"/>
      <w:numFmt w:val="lowerLetter"/>
      <w:start w:val="3"/>
    </w:lvl>
  </w:abstractNum>
  <w:abstractNum w:abstractNumId="27">
    <w:nsid w:val="5E884ADC"/>
    <w:multiLevelType w:val="hybridMultilevel"/>
    <w:lvl w:ilvl="0">
      <w:lvlJc w:val="left"/>
      <w:lvlText w:val="%1"/>
      <w:numFmt w:val="decimal"/>
      <w:start w:val="1"/>
    </w:lvl>
    <w:lvl w:ilvl="1">
      <w:lvlJc w:val="left"/>
      <w:lvlText w:val="(%2)"/>
      <w:numFmt w:val="lowerLetter"/>
      <w:start w:val="7"/>
    </w:lvl>
  </w:abstractNum>
  <w:abstractNum w:abstractNumId="28">
    <w:nsid w:val="51EAD36B"/>
    <w:multiLevelType w:val="hybridMultilevel"/>
    <w:lvl w:ilvl="0">
      <w:lvlJc w:val="left"/>
      <w:lvlText w:val="(%1)"/>
      <w:numFmt w:val="decimal"/>
      <w:start w:val="1"/>
    </w:lvl>
    <w:lvl w:ilvl="1">
      <w:lvlJc w:val="left"/>
      <w:lvlText w:val="%2"/>
      <w:numFmt w:val="lowerLetter"/>
      <w:start w:val="1"/>
    </w:lvl>
  </w:abstractNum>
  <w:abstractNum w:abstractNumId="29">
    <w:nsid w:val="2D517796"/>
    <w:multiLevelType w:val="hybridMultilevel"/>
    <w:lvl w:ilvl="0">
      <w:lvlJc w:val="left"/>
      <w:lvlText w:val="(%1)"/>
      <w:numFmt w:val="lowerLetter"/>
      <w:start w:val="5"/>
    </w:lvl>
    <w:lvl w:ilvl="1">
      <w:lvlJc w:val="left"/>
      <w:lvlText w:val="(%2)"/>
      <w:numFmt w:val="lowerLetter"/>
      <w:start w:val="34"/>
    </w:lvl>
    <w:lvl w:ilvl="2">
      <w:lvlJc w:val="left"/>
      <w:lvlText w:val="(%3)"/>
      <w:numFmt w:val="lowerLetter"/>
      <w:start w:val="11"/>
    </w:lvl>
  </w:abstractNum>
  <w:abstractNum w:abstractNumId="30">
    <w:nsid w:val="580BD78F"/>
    <w:multiLevelType w:val="hybridMultilevel"/>
    <w:lvl w:ilvl="0">
      <w:lvlJc w:val="left"/>
      <w:lvlText w:val="%1"/>
      <w:numFmt w:val="lowerRoman"/>
      <w:start w:val="1"/>
    </w:lvl>
    <w:lvl w:ilvl="1">
      <w:lvlJc w:val="left"/>
      <w:lvlText w:val="%2."/>
      <w:numFmt w:val="decimal"/>
      <w:start w:val="7"/>
    </w:lvl>
  </w:abstractNum>
  <w:abstractNum w:abstractNumId="31">
    <w:nsid w:val="153EA438"/>
    <w:multiLevelType w:val="hybridMultilevel"/>
    <w:lvl w:ilvl="0">
      <w:lvlJc w:val="left"/>
      <w:lvlText w:val="(%1)"/>
      <w:numFmt w:val="lowerRoman"/>
      <w:start w:val="9"/>
    </w:lvl>
    <w:lvl w:ilvl="1">
      <w:lvlJc w:val="left"/>
      <w:lvlText w:val="%2"/>
      <w:numFmt w:val="decimal"/>
      <w:start w:val="1"/>
    </w:lvl>
  </w:abstractNum>
  <w:abstractNum w:abstractNumId="32">
    <w:nsid w:val="3855585C"/>
    <w:multiLevelType w:val="hybridMultilevel"/>
    <w:lvl w:ilvl="0">
      <w:lvlJc w:val="left"/>
      <w:lvlText w:val="%1."/>
      <w:numFmt w:val="decimal"/>
      <w:start w:val="8"/>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lowerLetter"/>
      <w:start w:val="3"/>
    </w:lvl>
  </w:abstractNum>
  <w:abstractNum w:abstractNumId="35">
    <w:nsid w:val="2A487CB0"/>
    <w:multiLevelType w:val="hybridMultilevel"/>
    <w:lvl w:ilvl="0">
      <w:lvlJc w:val="left"/>
      <w:lvlText w:val="(%1)"/>
      <w:numFmt w:val="lowerLetter"/>
      <w:start w:val="4"/>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decimal"/>
      <w:start w:val="12"/>
    </w:lvl>
    <w:lvl w:ilvl="1">
      <w:lvlJc w:val="left"/>
      <w:lvlText w:val="(%2)"/>
      <w:numFmt w:val="lowerLetter"/>
      <w:start w:val="2"/>
    </w:lvl>
  </w:abstractNum>
  <w:abstractNum w:abstractNumId="38">
    <w:nsid w:val="2CD89A32"/>
    <w:multiLevelType w:val="hybridMultilevel"/>
    <w:lvl w:ilvl="0">
      <w:lvlJc w:val="left"/>
      <w:lvlText w:val="%1."/>
      <w:numFmt w:val="decimal"/>
      <w:start w:val="14"/>
    </w:lvl>
    <w:lvl w:ilvl="1">
      <w:lvlJc w:val="left"/>
      <w:lvlText w:val="(%2)"/>
      <w:numFmt w:val="lowerLetter"/>
      <w:start w:val="2"/>
    </w:lvl>
  </w:abstractNum>
  <w:abstractNum w:abstractNumId="39">
    <w:nsid w:val="57E4CCAF"/>
    <w:multiLevelType w:val="hybridMultilevel"/>
    <w:lvl w:ilvl="0">
      <w:lvlJc w:val="left"/>
      <w:lvlText w:val="%1."/>
      <w:numFmt w:val="decimal"/>
      <w:start w:val="16"/>
    </w:lvl>
  </w:abstractNum>
  <w:abstractNum w:abstractNumId="40">
    <w:nsid w:val="7A6D8D3C"/>
    <w:multiLevelType w:val="hybridMultilevel"/>
    <w:lvl w:ilvl="0">
      <w:lvlJc w:val="left"/>
      <w:lvlText w:val="%1."/>
      <w:numFmt w:val="decimal"/>
      <w:start w:val="18"/>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3"/>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lvl w:ilvl="1">
      <w:lvlJc w:val="left"/>
      <w:lvlText w:val="(%2)"/>
      <w:numFmt w:val="lowerLetter"/>
      <w:start w:val="2"/>
    </w:lvl>
  </w:abstractNum>
  <w:abstractNum w:abstractNumId="45">
    <w:nsid w:val="7644A45C"/>
    <w:multiLevelType w:val="hybridMultilevel"/>
    <w:lvl w:ilvl="0">
      <w:lvlJc w:val="left"/>
      <w:lvlText w:val="(%1)"/>
      <w:numFmt w:val="lowerLetter"/>
      <w:start w:val="35"/>
    </w:lvl>
    <w:lvl w:ilvl="1">
      <w:lvlJc w:val="left"/>
      <w:lvlText w:val="(%2)"/>
      <w:numFmt w:val="lowerLetter"/>
      <w:start w:val="3"/>
    </w:lvl>
  </w:abstractNum>
  <w:abstractNum w:abstractNumId="46">
    <w:nsid w:val="32FFF902"/>
    <w:multiLevelType w:val="hybridMultilevel"/>
    <w:lvl w:ilvl="0">
      <w:lvlJc w:val="left"/>
      <w:lvlText w:val="(%1)"/>
      <w:numFmt w:val="lowerLetter"/>
      <w:start w:val="9"/>
    </w:lvl>
    <w:lvl w:ilvl="1">
      <w:lvlJc w:val="left"/>
      <w:lvlText w:val="%2"/>
      <w:numFmt w:val="lowerLetter"/>
      <w:start w:val="1"/>
    </w:lvl>
  </w:abstractNum>
  <w:abstractNum w:abstractNumId="47">
    <w:nsid w:val="684A481A"/>
    <w:multiLevelType w:val="hybridMultilevel"/>
    <w:lvl w:ilvl="0">
      <w:lvlJc w:val="left"/>
      <w:lvlText w:val="%1"/>
      <w:numFmt w:val="lowerLetter"/>
      <w:start w:val="1"/>
    </w:lvl>
    <w:lvl w:ilvl="1">
      <w:lvlJc w:val="left"/>
      <w:lvlText w:val="(%2)"/>
      <w:numFmt w:val="lowerLetter"/>
      <w:start w:val="5"/>
    </w:lvl>
  </w:abstractNum>
  <w:abstractNum w:abstractNumId="48">
    <w:nsid w:val="579478FE"/>
    <w:multiLevelType w:val="hybridMultilevel"/>
    <w:lvl w:ilvl="0">
      <w:lvlJc w:val="left"/>
      <w:lvlText w:val="(%1)"/>
      <w:numFmt w:val="lowerLetter"/>
      <w:start w:val="35"/>
    </w:lvl>
    <w:lvl w:ilvl="1">
      <w:lvlJc w:val="left"/>
      <w:lvlText w:val="(%2)"/>
      <w:numFmt w:val="lowerLetter"/>
      <w:start w:val="7"/>
    </w:lvl>
  </w:abstractNum>
  <w:abstractNum w:abstractNumId="49">
    <w:nsid w:val="749ABB4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2021-06-30T15:17:28Z</dcterms:created>
  <dcterms:modified xsi:type="dcterms:W3CDTF">2021-06-30T15:17:28Z</dcterms:modified>
</cp:coreProperties>
</file>