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7494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494270"/>
                    </a:xfrm>
                    <a:prstGeom prst="rect">
                      <a:avLst/>
                    </a:prstGeom>
                    <a:noFill/>
                  </pic:spPr>
                </pic:pic>
              </a:graphicData>
            </a:graphic>
          </wp:anchor>
        </w:drawing>
      </w:r>
    </w:p>
    <w:p>
      <w:pPr>
        <w:spacing w:after="0" w:line="39" w:lineRule="exact"/>
        <w:rPr>
          <w:sz w:val="24"/>
          <w:szCs w:val="24"/>
          <w:color w:val="auto"/>
        </w:rPr>
      </w:pPr>
    </w:p>
    <w:p>
      <w:pPr>
        <w:sectPr>
          <w:pgSz w:w="11900" w:h="16853" w:orient="portrait"/>
          <w:cols w:equalWidth="0" w:num="2">
            <w:col w:w="2340" w:space="340"/>
            <w:col w:w="884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RYAN KEVIN P</w:t>
              </w:r>
            </w:hyperlink>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20" w:type="dxa"/>
            <w:vAlign w:val="bottom"/>
            <w:gridSpan w:val="6"/>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MongoDB,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MDB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Borders>
              <w:bottom w:val="single" w:sz="8" w:color="0000EE"/>
            </w:tcBorders>
            <w:gridSpan w:val="3"/>
            <w:vMerge w:val="continue"/>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6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20" w:type="dxa"/>
            <w:vAlign w:val="bottom"/>
          </w:tcPr>
          <w:p>
            <w:pPr>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7"/>
            <w:vMerge w:val="continue"/>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C/O MONGODB, INC.</w:t>
            </w:r>
          </w:p>
        </w:tc>
        <w:tc>
          <w:tcPr>
            <w:tcW w:w="1120" w:type="dxa"/>
            <w:vAlign w:val="bottom"/>
          </w:tcPr>
          <w:p>
            <w:pPr>
              <w:spacing w:after="0"/>
              <w:rPr>
                <w:sz w:val="19"/>
                <w:szCs w:val="19"/>
                <w:color w:val="auto"/>
              </w:rPr>
            </w:pPr>
          </w:p>
        </w:tc>
        <w:tc>
          <w:tcPr>
            <w:tcW w:w="1640" w:type="dxa"/>
            <w:vAlign w:val="bottom"/>
            <w:gridSpan w:val="6"/>
          </w:tcPr>
          <w:p>
            <w:pPr>
              <w:ind w:left="300"/>
              <w:spacing w:after="0"/>
              <w:rPr>
                <w:sz w:val="20"/>
                <w:szCs w:val="20"/>
                <w:color w:val="auto"/>
              </w:rPr>
            </w:pPr>
            <w:r>
              <w:rPr>
                <w:rFonts w:ascii="Arial" w:cs="Arial" w:eastAsia="Arial" w:hAnsi="Arial"/>
                <w:sz w:val="17"/>
                <w:szCs w:val="17"/>
                <w:color w:val="0000FF"/>
              </w:rPr>
              <w:t>10/17/2018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w w:val="98"/>
              </w:rPr>
              <w:t>1633 BROADWAY, 38TH FLOOR</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8"/>
            <w:vMerge w:val="restart"/>
          </w:tcPr>
          <w:p>
            <w:pPr>
              <w:jc w:val="center"/>
              <w:ind w:right="148"/>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gridSpan w:val="8"/>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6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2"/>
          </w:tcPr>
          <w:p>
            <w:pPr>
              <w:spacing w:after="0"/>
              <w:rPr>
                <w:sz w:val="20"/>
                <w:szCs w:val="20"/>
                <w:color w:val="auto"/>
              </w:rPr>
            </w:pPr>
            <w:r>
              <w:rPr>
                <w:rFonts w:ascii="Arial" w:cs="Arial" w:eastAsia="Arial" w:hAnsi="Arial"/>
                <w:sz w:val="17"/>
                <w:szCs w:val="17"/>
                <w:color w:val="0000FF"/>
              </w:rPr>
              <w:t>NY</w:t>
            </w:r>
          </w:p>
        </w:tc>
        <w:tc>
          <w:tcPr>
            <w:tcW w:w="1120" w:type="dxa"/>
            <w:vAlign w:val="bottom"/>
          </w:tcPr>
          <w:p>
            <w:pPr>
              <w:spacing w:after="0"/>
              <w:rPr>
                <w:sz w:val="20"/>
                <w:szCs w:val="20"/>
                <w:color w:val="auto"/>
              </w:rPr>
            </w:pPr>
            <w:r>
              <w:rPr>
                <w:rFonts w:ascii="Arial" w:cs="Arial" w:eastAsia="Arial" w:hAnsi="Arial"/>
                <w:sz w:val="17"/>
                <w:szCs w:val="17"/>
                <w:color w:val="0000FF"/>
              </w:rPr>
              <w:t>10019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140"/>
              <w:spacing w:after="0" w:line="134"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20" w:type="dxa"/>
            <w:vAlign w:val="bottom"/>
          </w:tcPr>
          <w:p>
            <w:pPr>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gridSpan w:val="3"/>
          </w:tcPr>
          <w:p>
            <w:pPr>
              <w:spacing w:after="0"/>
              <w:rPr>
                <w:sz w:val="11"/>
                <w:szCs w:val="11"/>
                <w:color w:val="auto"/>
              </w:rPr>
            </w:pPr>
          </w:p>
        </w:tc>
        <w:tc>
          <w:tcPr>
            <w:tcW w:w="256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7"/>
          </w:tcPr>
          <w:p>
            <w:pPr>
              <w:ind w:left="8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68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5"/>
          </w:tcPr>
          <w:p>
            <w:pPr>
              <w:jc w:val="center"/>
              <w:ind w:left="585"/>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jc w:val="center"/>
              <w:ind w:right="48"/>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gridSpan w:val="5"/>
          </w:tcPr>
          <w:p>
            <w:pPr>
              <w:jc w:val="center"/>
              <w:ind w:left="585"/>
              <w:spacing w:after="0"/>
              <w:rPr>
                <w:sz w:val="20"/>
                <w:szCs w:val="20"/>
                <w:color w:val="auto"/>
              </w:rPr>
            </w:pPr>
            <w:r>
              <w:rPr>
                <w:rFonts w:ascii="Arial" w:cs="Arial" w:eastAsia="Arial" w:hAnsi="Arial"/>
                <w:sz w:val="17"/>
                <w:szCs w:val="17"/>
                <w:color w:val="0000FF"/>
                <w:w w:val="91"/>
              </w:rPr>
              <w:t>10/17/2018</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(1)(2)</w:t>
            </w:r>
          </w:p>
        </w:tc>
        <w:tc>
          <w:tcPr>
            <w:tcW w:w="74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2"/>
              </w:rPr>
              <w:t>16,000</w:t>
            </w:r>
          </w:p>
        </w:tc>
        <w:tc>
          <w:tcPr>
            <w:tcW w:w="70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gridSpan w:val="2"/>
          </w:tcPr>
          <w:p>
            <w:pPr>
              <w:jc w:val="center"/>
              <w:ind w:left="67"/>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(1)</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19,133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gridSpan w:val="5"/>
          </w:tcPr>
          <w:p>
            <w:pPr>
              <w:jc w:val="center"/>
              <w:ind w:left="585"/>
              <w:spacing w:after="0"/>
              <w:rPr>
                <w:sz w:val="20"/>
                <w:szCs w:val="20"/>
                <w:color w:val="auto"/>
              </w:rPr>
            </w:pPr>
            <w:r>
              <w:rPr>
                <w:rFonts w:ascii="Arial" w:cs="Arial" w:eastAsia="Arial" w:hAnsi="Arial"/>
                <w:sz w:val="17"/>
                <w:szCs w:val="17"/>
                <w:color w:val="0000FF"/>
                <w:w w:val="91"/>
              </w:rPr>
              <w:t>10/17/2018</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6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4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3"/>
              </w:rPr>
              <w:t>5,257</w:t>
            </w:r>
          </w:p>
        </w:tc>
        <w:tc>
          <w:tcPr>
            <w:tcW w:w="70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68.63</w:t>
            </w:r>
            <w:r>
              <w:rPr>
                <w:rFonts w:ascii="Arial" w:cs="Arial" w:eastAsia="Arial" w:hAnsi="Arial"/>
                <w:sz w:val="22"/>
                <w:szCs w:val="22"/>
                <w:color w:val="008000"/>
                <w:w w:val="88"/>
                <w:vertAlign w:val="superscript"/>
              </w:rPr>
              <w:t>(3)</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13,876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gridSpan w:val="5"/>
          </w:tcPr>
          <w:p>
            <w:pPr>
              <w:jc w:val="center"/>
              <w:ind w:left="585"/>
              <w:spacing w:after="0"/>
              <w:rPr>
                <w:sz w:val="20"/>
                <w:szCs w:val="20"/>
                <w:color w:val="auto"/>
              </w:rPr>
            </w:pPr>
            <w:r>
              <w:rPr>
                <w:rFonts w:ascii="Arial" w:cs="Arial" w:eastAsia="Arial" w:hAnsi="Arial"/>
                <w:sz w:val="17"/>
                <w:szCs w:val="17"/>
                <w:color w:val="0000FF"/>
                <w:w w:val="91"/>
              </w:rPr>
              <w:t>10/17/2018</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6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4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3"/>
              </w:rPr>
              <w:t>4,800</w:t>
            </w:r>
          </w:p>
        </w:tc>
        <w:tc>
          <w:tcPr>
            <w:tcW w:w="70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69.46</w:t>
            </w:r>
            <w:r>
              <w:rPr>
                <w:rFonts w:ascii="Arial" w:cs="Arial" w:eastAsia="Arial" w:hAnsi="Arial"/>
                <w:sz w:val="22"/>
                <w:szCs w:val="22"/>
                <w:color w:val="008000"/>
                <w:w w:val="88"/>
                <w:vertAlign w:val="superscript"/>
              </w:rPr>
              <w:t>(4)</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9,076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gridSpan w:val="5"/>
          </w:tcPr>
          <w:p>
            <w:pPr>
              <w:jc w:val="center"/>
              <w:ind w:left="585"/>
              <w:spacing w:after="0"/>
              <w:rPr>
                <w:sz w:val="20"/>
                <w:szCs w:val="20"/>
                <w:color w:val="auto"/>
              </w:rPr>
            </w:pPr>
            <w:r>
              <w:rPr>
                <w:rFonts w:ascii="Arial" w:cs="Arial" w:eastAsia="Arial" w:hAnsi="Arial"/>
                <w:sz w:val="17"/>
                <w:szCs w:val="17"/>
                <w:color w:val="0000FF"/>
                <w:w w:val="91"/>
              </w:rPr>
              <w:t>10/17/2018</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6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4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3"/>
              </w:rPr>
              <w:t>5,943</w:t>
            </w:r>
          </w:p>
        </w:tc>
        <w:tc>
          <w:tcPr>
            <w:tcW w:w="70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70.36</w:t>
            </w:r>
            <w:r>
              <w:rPr>
                <w:rFonts w:ascii="Arial" w:cs="Arial" w:eastAsia="Arial" w:hAnsi="Arial"/>
                <w:sz w:val="22"/>
                <w:szCs w:val="22"/>
                <w:color w:val="008000"/>
                <w:w w:val="88"/>
                <w:vertAlign w:val="superscript"/>
              </w:rPr>
              <w:t>(5)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3,133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gridSpan w:val="5"/>
            <w:vMerge w:val="restart"/>
          </w:tcPr>
          <w:p>
            <w:pPr>
              <w:jc w:val="center"/>
              <w:ind w:left="585"/>
              <w:spacing w:after="0"/>
              <w:rPr>
                <w:sz w:val="20"/>
                <w:szCs w:val="20"/>
                <w:color w:val="auto"/>
              </w:rPr>
            </w:pPr>
            <w:r>
              <w:rPr>
                <w:rFonts w:ascii="Arial" w:cs="Arial" w:eastAsia="Arial" w:hAnsi="Arial"/>
                <w:sz w:val="17"/>
                <w:szCs w:val="17"/>
                <w:color w:val="0000FF"/>
                <w:w w:val="91"/>
              </w:rPr>
              <w:t>10/17/2018</w:t>
            </w: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(1)(2)</w:t>
            </w:r>
          </w:p>
        </w:tc>
        <w:tc>
          <w:tcPr>
            <w:tcW w:w="740" w:type="dxa"/>
            <w:vAlign w:val="bottom"/>
            <w:vMerge w:val="restart"/>
          </w:tcPr>
          <w:p>
            <w:pPr>
              <w:jc w:val="center"/>
              <w:ind w:left="106"/>
              <w:spacing w:after="0"/>
              <w:rPr>
                <w:sz w:val="20"/>
                <w:szCs w:val="20"/>
                <w:color w:val="auto"/>
              </w:rPr>
            </w:pPr>
            <w:r>
              <w:rPr>
                <w:rFonts w:ascii="Arial" w:cs="Arial" w:eastAsia="Arial" w:hAnsi="Arial"/>
                <w:sz w:val="17"/>
                <w:szCs w:val="17"/>
                <w:color w:val="0000FF"/>
                <w:w w:val="93"/>
              </w:rPr>
              <w:t>8,000</w:t>
            </w:r>
          </w:p>
        </w:tc>
        <w:tc>
          <w:tcPr>
            <w:tcW w:w="700" w:type="dxa"/>
            <w:vAlign w:val="bottom"/>
            <w:vMerge w:val="restart"/>
          </w:tcPr>
          <w:p>
            <w:pPr>
              <w:jc w:val="center"/>
              <w:ind w:left="8"/>
              <w:spacing w:after="0"/>
              <w:rPr>
                <w:sz w:val="20"/>
                <w:szCs w:val="20"/>
                <w:color w:val="auto"/>
              </w:rPr>
            </w:pPr>
            <w:r>
              <w:rPr>
                <w:rFonts w:ascii="Arial" w:cs="Arial" w:eastAsia="Arial" w:hAnsi="Arial"/>
                <w:sz w:val="17"/>
                <w:szCs w:val="17"/>
                <w:color w:val="0000FF"/>
              </w:rPr>
              <w:t>A</w:t>
            </w:r>
          </w:p>
        </w:tc>
        <w:tc>
          <w:tcPr>
            <w:tcW w:w="500" w:type="dxa"/>
            <w:vAlign w:val="bottom"/>
            <w:gridSpan w:val="2"/>
            <w:vMerge w:val="restart"/>
          </w:tcPr>
          <w:p>
            <w:pPr>
              <w:jc w:val="center"/>
              <w:ind w:left="67"/>
              <w:spacing w:after="0"/>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8,000</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680" w:type="dxa"/>
            <w:vAlign w:val="bottom"/>
            <w:gridSpan w:val="5"/>
            <w:vMerge w:val="continue"/>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(6)</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gridSpan w:val="5"/>
            <w:vMerge w:val="restart"/>
          </w:tcPr>
          <w:p>
            <w:pPr>
              <w:jc w:val="center"/>
              <w:ind w:left="585"/>
              <w:spacing w:after="0"/>
              <w:rPr>
                <w:sz w:val="20"/>
                <w:szCs w:val="20"/>
                <w:color w:val="auto"/>
              </w:rPr>
            </w:pPr>
            <w:r>
              <w:rPr>
                <w:rFonts w:ascii="Arial" w:cs="Arial" w:eastAsia="Arial" w:hAnsi="Arial"/>
                <w:sz w:val="17"/>
                <w:szCs w:val="17"/>
                <w:color w:val="0000FF"/>
                <w:w w:val="91"/>
              </w:rPr>
              <w:t>10/17/2018</w:t>
            </w: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vMerge w:val="restart"/>
          </w:tcPr>
          <w:p>
            <w:pPr>
              <w:jc w:val="center"/>
              <w:ind w:right="26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40" w:type="dxa"/>
            <w:vAlign w:val="bottom"/>
            <w:vMerge w:val="restart"/>
          </w:tcPr>
          <w:p>
            <w:pPr>
              <w:jc w:val="center"/>
              <w:ind w:left="106"/>
              <w:spacing w:after="0"/>
              <w:rPr>
                <w:sz w:val="20"/>
                <w:szCs w:val="20"/>
                <w:color w:val="auto"/>
              </w:rPr>
            </w:pPr>
            <w:r>
              <w:rPr>
                <w:rFonts w:ascii="Arial" w:cs="Arial" w:eastAsia="Arial" w:hAnsi="Arial"/>
                <w:sz w:val="17"/>
                <w:szCs w:val="17"/>
                <w:color w:val="0000FF"/>
                <w:w w:val="93"/>
              </w:rPr>
              <w:t>2,800</w:t>
            </w:r>
          </w:p>
        </w:tc>
        <w:tc>
          <w:tcPr>
            <w:tcW w:w="700" w:type="dxa"/>
            <w:vAlign w:val="bottom"/>
            <w:vMerge w:val="restart"/>
          </w:tcPr>
          <w:p>
            <w:pPr>
              <w:jc w:val="center"/>
              <w:ind w:left="8"/>
              <w:spacing w:after="0"/>
              <w:rPr>
                <w:sz w:val="20"/>
                <w:szCs w:val="20"/>
                <w:color w:val="auto"/>
              </w:rPr>
            </w:pPr>
            <w:r>
              <w:rPr>
                <w:rFonts w:ascii="Arial" w:cs="Arial" w:eastAsia="Arial" w:hAnsi="Arial"/>
                <w:sz w:val="17"/>
                <w:szCs w:val="17"/>
                <w:color w:val="0000FF"/>
              </w:rPr>
              <w:t>D</w:t>
            </w:r>
          </w:p>
        </w:tc>
        <w:tc>
          <w:tcPr>
            <w:tcW w:w="70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68.64</w:t>
            </w:r>
            <w:r>
              <w:rPr>
                <w:rFonts w:ascii="Arial" w:cs="Arial" w:eastAsia="Arial" w:hAnsi="Arial"/>
                <w:sz w:val="22"/>
                <w:szCs w:val="22"/>
                <w:color w:val="008000"/>
                <w:w w:val="88"/>
                <w:vertAlign w:val="superscript"/>
              </w:rPr>
              <w:t>(7)</w:t>
            </w: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5,200</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680" w:type="dxa"/>
            <w:vAlign w:val="bottom"/>
            <w:gridSpan w:val="5"/>
            <w:vMerge w:val="continue"/>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(6)</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gridSpan w:val="5"/>
            <w:vMerge w:val="restart"/>
          </w:tcPr>
          <w:p>
            <w:pPr>
              <w:jc w:val="center"/>
              <w:ind w:left="585"/>
              <w:spacing w:after="0"/>
              <w:rPr>
                <w:sz w:val="20"/>
                <w:szCs w:val="20"/>
                <w:color w:val="auto"/>
              </w:rPr>
            </w:pPr>
            <w:r>
              <w:rPr>
                <w:rFonts w:ascii="Arial" w:cs="Arial" w:eastAsia="Arial" w:hAnsi="Arial"/>
                <w:sz w:val="17"/>
                <w:szCs w:val="17"/>
                <w:color w:val="0000FF"/>
                <w:w w:val="91"/>
              </w:rPr>
              <w:t>10/17/2018</w:t>
            </w: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vMerge w:val="restart"/>
          </w:tcPr>
          <w:p>
            <w:pPr>
              <w:jc w:val="center"/>
              <w:ind w:right="26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40" w:type="dxa"/>
            <w:vAlign w:val="bottom"/>
            <w:vMerge w:val="restart"/>
          </w:tcPr>
          <w:p>
            <w:pPr>
              <w:jc w:val="center"/>
              <w:ind w:left="106"/>
              <w:spacing w:after="0"/>
              <w:rPr>
                <w:sz w:val="20"/>
                <w:szCs w:val="20"/>
                <w:color w:val="auto"/>
              </w:rPr>
            </w:pPr>
            <w:r>
              <w:rPr>
                <w:rFonts w:ascii="Arial" w:cs="Arial" w:eastAsia="Arial" w:hAnsi="Arial"/>
                <w:sz w:val="17"/>
                <w:szCs w:val="17"/>
                <w:color w:val="0000FF"/>
                <w:w w:val="93"/>
              </w:rPr>
              <w:t>2,404</w:t>
            </w:r>
          </w:p>
        </w:tc>
        <w:tc>
          <w:tcPr>
            <w:tcW w:w="700" w:type="dxa"/>
            <w:vAlign w:val="bottom"/>
            <w:vMerge w:val="restart"/>
          </w:tcPr>
          <w:p>
            <w:pPr>
              <w:jc w:val="center"/>
              <w:ind w:left="8"/>
              <w:spacing w:after="0"/>
              <w:rPr>
                <w:sz w:val="20"/>
                <w:szCs w:val="20"/>
                <w:color w:val="auto"/>
              </w:rPr>
            </w:pPr>
            <w:r>
              <w:rPr>
                <w:rFonts w:ascii="Arial" w:cs="Arial" w:eastAsia="Arial" w:hAnsi="Arial"/>
                <w:sz w:val="17"/>
                <w:szCs w:val="17"/>
                <w:color w:val="0000FF"/>
              </w:rPr>
              <w:t>D</w:t>
            </w:r>
          </w:p>
        </w:tc>
        <w:tc>
          <w:tcPr>
            <w:tcW w:w="70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69.54</w:t>
            </w:r>
            <w:r>
              <w:rPr>
                <w:rFonts w:ascii="Arial" w:cs="Arial" w:eastAsia="Arial" w:hAnsi="Arial"/>
                <w:sz w:val="22"/>
                <w:szCs w:val="22"/>
                <w:color w:val="008000"/>
                <w:w w:val="88"/>
                <w:vertAlign w:val="superscript"/>
              </w:rPr>
              <w:t>(8)</w:t>
            </w: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2,796</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680" w:type="dxa"/>
            <w:vAlign w:val="bottom"/>
            <w:gridSpan w:val="5"/>
            <w:vMerge w:val="continue"/>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(6)</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gridSpan w:val="5"/>
            <w:vMerge w:val="restart"/>
          </w:tcPr>
          <w:p>
            <w:pPr>
              <w:jc w:val="center"/>
              <w:ind w:left="585"/>
              <w:spacing w:after="0"/>
              <w:rPr>
                <w:sz w:val="20"/>
                <w:szCs w:val="20"/>
                <w:color w:val="auto"/>
              </w:rPr>
            </w:pPr>
            <w:r>
              <w:rPr>
                <w:rFonts w:ascii="Arial" w:cs="Arial" w:eastAsia="Arial" w:hAnsi="Arial"/>
                <w:sz w:val="17"/>
                <w:szCs w:val="17"/>
                <w:color w:val="0000FF"/>
                <w:w w:val="91"/>
              </w:rPr>
              <w:t>10/17/2018</w:t>
            </w: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vMerge w:val="restart"/>
          </w:tcPr>
          <w:p>
            <w:pPr>
              <w:jc w:val="center"/>
              <w:ind w:right="26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40" w:type="dxa"/>
            <w:vAlign w:val="bottom"/>
            <w:vMerge w:val="restart"/>
          </w:tcPr>
          <w:p>
            <w:pPr>
              <w:jc w:val="center"/>
              <w:ind w:left="106"/>
              <w:spacing w:after="0"/>
              <w:rPr>
                <w:sz w:val="20"/>
                <w:szCs w:val="20"/>
                <w:color w:val="auto"/>
              </w:rPr>
            </w:pPr>
            <w:r>
              <w:rPr>
                <w:rFonts w:ascii="Arial" w:cs="Arial" w:eastAsia="Arial" w:hAnsi="Arial"/>
                <w:sz w:val="17"/>
                <w:szCs w:val="17"/>
                <w:color w:val="0000FF"/>
                <w:w w:val="93"/>
              </w:rPr>
              <w:t>2,796</w:t>
            </w:r>
          </w:p>
        </w:tc>
        <w:tc>
          <w:tcPr>
            <w:tcW w:w="700" w:type="dxa"/>
            <w:vAlign w:val="bottom"/>
            <w:vMerge w:val="restart"/>
          </w:tcPr>
          <w:p>
            <w:pPr>
              <w:jc w:val="center"/>
              <w:ind w:left="8"/>
              <w:spacing w:after="0"/>
              <w:rPr>
                <w:sz w:val="20"/>
                <w:szCs w:val="20"/>
                <w:color w:val="auto"/>
              </w:rPr>
            </w:pPr>
            <w:r>
              <w:rPr>
                <w:rFonts w:ascii="Arial" w:cs="Arial" w:eastAsia="Arial" w:hAnsi="Arial"/>
                <w:sz w:val="17"/>
                <w:szCs w:val="17"/>
                <w:color w:val="0000FF"/>
              </w:rPr>
              <w:t>D</w:t>
            </w:r>
          </w:p>
        </w:tc>
        <w:tc>
          <w:tcPr>
            <w:tcW w:w="70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70.38</w:t>
            </w:r>
            <w:r>
              <w:rPr>
                <w:rFonts w:ascii="Arial" w:cs="Arial" w:eastAsia="Arial" w:hAnsi="Arial"/>
                <w:sz w:val="22"/>
                <w:szCs w:val="22"/>
                <w:color w:val="008000"/>
                <w:w w:val="88"/>
                <w:vertAlign w:val="superscript"/>
              </w:rPr>
              <w:t>(9)</w:t>
            </w: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0</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680" w:type="dxa"/>
            <w:vAlign w:val="bottom"/>
            <w:gridSpan w:val="5"/>
            <w:vMerge w:val="continue"/>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54"/>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500" w:type="dxa"/>
            <w:vAlign w:val="bottom"/>
            <w:gridSpan w:val="17"/>
          </w:tcPr>
          <w:p>
            <w:pPr>
              <w:jc w:val="center"/>
              <w:ind w:left="81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0" w:type="dxa"/>
            <w:vAlign w:val="bottom"/>
            <w:gridSpan w:val="13"/>
          </w:tcPr>
          <w:p>
            <w:pPr>
              <w:jc w:val="center"/>
              <w:ind w:left="54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gridSpan w:val="4"/>
            <w:vMerge w:val="restart"/>
          </w:tcPr>
          <w:p>
            <w:pPr>
              <w:ind w:left="8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(1)(2)</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700" w:type="dxa"/>
            <w:vAlign w:val="bottom"/>
          </w:tcPr>
          <w:p>
            <w:pPr>
              <w:jc w:val="center"/>
              <w:ind w:right="8"/>
              <w:spacing w:after="0"/>
              <w:rPr>
                <w:sz w:val="20"/>
                <w:szCs w:val="20"/>
                <w:color w:val="auto"/>
              </w:rPr>
            </w:pPr>
            <w:r>
              <w:rPr>
                <w:rFonts w:ascii="Arial" w:cs="Arial" w:eastAsia="Arial" w:hAnsi="Arial"/>
                <w:sz w:val="13"/>
                <w:szCs w:val="13"/>
                <w:color w:val="0000FF"/>
                <w:w w:val="93"/>
              </w:rPr>
              <w:t>Class A</w:t>
            </w:r>
          </w:p>
        </w:tc>
        <w:tc>
          <w:tcPr>
            <w:tcW w:w="500" w:type="dxa"/>
            <w:vAlign w:val="bottom"/>
            <w:gridSpan w:val="2"/>
            <w:vMerge w:val="restart"/>
          </w:tcPr>
          <w:p>
            <w:pPr>
              <w:jc w:val="right"/>
              <w:spacing w:after="0"/>
              <w:rPr>
                <w:sz w:val="20"/>
                <w:szCs w:val="20"/>
                <w:color w:val="auto"/>
              </w:rPr>
            </w:pPr>
            <w:r>
              <w:rPr>
                <w:rFonts w:ascii="Arial" w:cs="Arial" w:eastAsia="Arial" w:hAnsi="Arial"/>
                <w:sz w:val="17"/>
                <w:szCs w:val="17"/>
                <w:color w:val="0000FF"/>
                <w:w w:val="88"/>
              </w:rPr>
              <w:t>16,000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190"/>
              <w:spacing w:after="0" w:line="148" w:lineRule="exact"/>
              <w:rPr>
                <w:sz w:val="20"/>
                <w:szCs w:val="20"/>
                <w:color w:val="auto"/>
              </w:rPr>
            </w:pPr>
            <w:r>
              <w:rPr>
                <w:rFonts w:ascii="Arial" w:cs="Arial" w:eastAsia="Arial" w:hAnsi="Arial"/>
                <w:sz w:val="13"/>
                <w:szCs w:val="13"/>
                <w:color w:val="0000FF"/>
              </w:rPr>
              <w:t>10/17/2018</w:t>
            </w:r>
          </w:p>
        </w:tc>
        <w:tc>
          <w:tcPr>
            <w:tcW w:w="1120" w:type="dxa"/>
            <w:vAlign w:val="bottom"/>
          </w:tcPr>
          <w:p>
            <w:pPr>
              <w:spacing w:after="0"/>
              <w:rPr>
                <w:sz w:val="12"/>
                <w:szCs w:val="12"/>
                <w:color w:val="auto"/>
              </w:rPr>
            </w:pPr>
          </w:p>
        </w:tc>
        <w:tc>
          <w:tcPr>
            <w:tcW w:w="56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0000FF"/>
              </w:rPr>
              <w:t>16,000</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tcPr>
          <w:p>
            <w:pPr>
              <w:jc w:val="center"/>
              <w:ind w:right="8"/>
              <w:spacing w:after="0" w:line="148" w:lineRule="exact"/>
              <w:rPr>
                <w:sz w:val="20"/>
                <w:szCs w:val="20"/>
                <w:color w:val="auto"/>
              </w:rPr>
            </w:pPr>
            <w:r>
              <w:rPr>
                <w:rFonts w:ascii="Arial" w:cs="Arial" w:eastAsia="Arial" w:hAnsi="Arial"/>
                <w:sz w:val="13"/>
                <w:szCs w:val="13"/>
                <w:color w:val="0000FF"/>
                <w:w w:val="94"/>
              </w:rPr>
              <w:t>Common</w:t>
            </w:r>
          </w:p>
        </w:tc>
        <w:tc>
          <w:tcPr>
            <w:tcW w:w="5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90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0000FF"/>
              </w:rPr>
              <w:t>1,885,739</w:t>
            </w: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jc w:val="center"/>
              <w:ind w:right="8"/>
              <w:spacing w:after="0"/>
              <w:rPr>
                <w:sz w:val="20"/>
                <w:szCs w:val="20"/>
                <w:color w:val="auto"/>
              </w:rPr>
            </w:pPr>
            <w:r>
              <w:rPr>
                <w:rFonts w:ascii="Arial" w:cs="Arial" w:eastAsia="Arial" w:hAnsi="Arial"/>
                <w:sz w:val="13"/>
                <w:szCs w:val="13"/>
                <w:color w:val="0000FF"/>
                <w:w w:val="92"/>
              </w:rPr>
              <w:t>Stock</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gridSpan w:val="4"/>
            <w:vMerge w:val="restart"/>
          </w:tcPr>
          <w:p>
            <w:pPr>
              <w:ind w:left="8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(1)(2)</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700" w:type="dxa"/>
            <w:vAlign w:val="bottom"/>
          </w:tcPr>
          <w:p>
            <w:pPr>
              <w:jc w:val="center"/>
              <w:ind w:right="8"/>
              <w:spacing w:after="0"/>
              <w:rPr>
                <w:sz w:val="20"/>
                <w:szCs w:val="20"/>
                <w:color w:val="auto"/>
              </w:rPr>
            </w:pPr>
            <w:r>
              <w:rPr>
                <w:rFonts w:ascii="Arial" w:cs="Arial" w:eastAsia="Arial" w:hAnsi="Arial"/>
                <w:sz w:val="13"/>
                <w:szCs w:val="13"/>
                <w:color w:val="0000FF"/>
                <w:w w:val="93"/>
              </w:rPr>
              <w:t>Class A</w:t>
            </w:r>
          </w:p>
        </w:tc>
        <w:tc>
          <w:tcPr>
            <w:tcW w:w="500" w:type="dxa"/>
            <w:vAlign w:val="bottom"/>
            <w:gridSpan w:val="2"/>
            <w:vMerge w:val="restart"/>
          </w:tcPr>
          <w:p>
            <w:pPr>
              <w:jc w:val="right"/>
              <w:spacing w:after="0"/>
              <w:rPr>
                <w:sz w:val="20"/>
                <w:szCs w:val="20"/>
                <w:color w:val="auto"/>
              </w:rPr>
            </w:pPr>
            <w:r>
              <w:rPr>
                <w:rFonts w:ascii="Arial" w:cs="Arial" w:eastAsia="Arial" w:hAnsi="Arial"/>
                <w:sz w:val="17"/>
                <w:szCs w:val="17"/>
                <w:color w:val="0000FF"/>
                <w:w w:val="98"/>
              </w:rPr>
              <w:t>8,000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gridSpan w:val="3"/>
            <w:vMerge w:val="restart"/>
          </w:tcPr>
          <w:p>
            <w:pPr>
              <w:ind w:left="140"/>
              <w:spacing w:after="0"/>
              <w:rPr>
                <w:sz w:val="20"/>
                <w:szCs w:val="20"/>
                <w:color w:val="auto"/>
              </w:rPr>
            </w:pPr>
            <w:r>
              <w:rPr>
                <w:rFonts w:ascii="Arial" w:cs="Arial" w:eastAsia="Arial" w:hAnsi="Arial"/>
                <w:sz w:val="13"/>
                <w:szCs w:val="13"/>
                <w:color w:val="0000FF"/>
              </w:rPr>
              <w:t>By Trust</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190"/>
              <w:spacing w:after="0" w:line="148" w:lineRule="exact"/>
              <w:rPr>
                <w:sz w:val="20"/>
                <w:szCs w:val="20"/>
                <w:color w:val="auto"/>
              </w:rPr>
            </w:pPr>
            <w:r>
              <w:rPr>
                <w:rFonts w:ascii="Arial" w:cs="Arial" w:eastAsia="Arial" w:hAnsi="Arial"/>
                <w:sz w:val="13"/>
                <w:szCs w:val="13"/>
                <w:color w:val="0000FF"/>
              </w:rPr>
              <w:t>10/17/2018</w:t>
            </w:r>
          </w:p>
        </w:tc>
        <w:tc>
          <w:tcPr>
            <w:tcW w:w="1120" w:type="dxa"/>
            <w:vAlign w:val="bottom"/>
          </w:tcPr>
          <w:p>
            <w:pPr>
              <w:spacing w:after="0"/>
              <w:rPr>
                <w:sz w:val="12"/>
                <w:szCs w:val="12"/>
                <w:color w:val="auto"/>
              </w:rPr>
            </w:pPr>
          </w:p>
        </w:tc>
        <w:tc>
          <w:tcPr>
            <w:tcW w:w="56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0000FF"/>
              </w:rPr>
              <w:t>8,000</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tcPr>
          <w:p>
            <w:pPr>
              <w:jc w:val="center"/>
              <w:ind w:right="8"/>
              <w:spacing w:after="0" w:line="148" w:lineRule="exact"/>
              <w:rPr>
                <w:sz w:val="20"/>
                <w:szCs w:val="20"/>
                <w:color w:val="auto"/>
              </w:rPr>
            </w:pPr>
            <w:r>
              <w:rPr>
                <w:rFonts w:ascii="Arial" w:cs="Arial" w:eastAsia="Arial" w:hAnsi="Arial"/>
                <w:sz w:val="13"/>
                <w:szCs w:val="13"/>
                <w:color w:val="0000FF"/>
                <w:w w:val="94"/>
              </w:rPr>
              <w:t>Common</w:t>
            </w:r>
          </w:p>
        </w:tc>
        <w:tc>
          <w:tcPr>
            <w:tcW w:w="5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9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0000FF"/>
              </w:rPr>
              <w:t>978,166</w:t>
            </w:r>
          </w:p>
        </w:tc>
        <w:tc>
          <w:tcPr>
            <w:tcW w:w="700" w:type="dxa"/>
            <w:vAlign w:val="bottom"/>
          </w:tcPr>
          <w:p>
            <w:pPr>
              <w:ind w:left="360"/>
              <w:spacing w:after="0" w:line="148" w:lineRule="exact"/>
              <w:rPr>
                <w:sz w:val="20"/>
                <w:szCs w:val="20"/>
                <w:color w:val="auto"/>
              </w:rPr>
            </w:pPr>
            <w:r>
              <w:rPr>
                <w:rFonts w:ascii="Arial" w:cs="Arial" w:eastAsia="Arial" w:hAnsi="Arial"/>
                <w:sz w:val="13"/>
                <w:szCs w:val="13"/>
                <w:color w:val="0000FF"/>
              </w:rPr>
              <w:t>I</w:t>
            </w: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jc w:val="center"/>
              <w:ind w:right="8"/>
              <w:spacing w:after="0"/>
              <w:rPr>
                <w:sz w:val="20"/>
                <w:szCs w:val="20"/>
                <w:color w:val="auto"/>
              </w:rPr>
            </w:pPr>
            <w:r>
              <w:rPr>
                <w:rFonts w:ascii="Arial" w:cs="Arial" w:eastAsia="Arial" w:hAnsi="Arial"/>
                <w:sz w:val="13"/>
                <w:szCs w:val="13"/>
                <w:color w:val="0000FF"/>
                <w:w w:val="92"/>
              </w:rPr>
              <w:t>Stock</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440" w:firstLine="7"/>
        <w:spacing w:after="0" w:line="284"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any time at the option of the reporting person into one share of Class A Common Stock and has no expiration date. The Class B Common Stock will convert automatically into Class A Common Stock on the same basis upon the earlier of: (i) any transfer, whether or not for value, except for certain "Permitted Transfers" as defined in the Issuer's restated certificate of incorporation, and (ii) at such time as the outstanding shares of Class B common stock represent less than 10% of the aggregate number of shares of the Issuer's capital stock outstanding.</w:t>
      </w:r>
    </w:p>
    <w:p>
      <w:pPr>
        <w:spacing w:after="0" w:line="4" w:lineRule="exact"/>
        <w:rPr>
          <w:rFonts w:ascii="Arial" w:cs="Arial" w:eastAsia="Arial" w:hAnsi="Arial"/>
          <w:sz w:val="12"/>
          <w:szCs w:val="12"/>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transactions were pursuant to a Rule 10b5-1 trading plan adopted by the reporting person.</w:t>
      </w:r>
    </w:p>
    <w:p>
      <w:pPr>
        <w:spacing w:after="0" w:line="50" w:lineRule="exact"/>
        <w:rPr>
          <w:rFonts w:ascii="Arial" w:cs="Arial" w:eastAsia="Arial" w:hAnsi="Arial"/>
          <w:sz w:val="13"/>
          <w:szCs w:val="13"/>
          <w:color w:val="008000"/>
        </w:rPr>
      </w:pPr>
    </w:p>
    <w:p>
      <w:pPr>
        <w:ind w:left="40" w:right="360" w:firstLine="7"/>
        <w:spacing w:after="0" w:line="253"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 shares were sold in multiple transactions at prices ranging from $68.07 to $69.00,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1" w:lineRule="exact"/>
        <w:rPr>
          <w:rFonts w:ascii="Arial" w:cs="Arial" w:eastAsia="Arial" w:hAnsi="Arial"/>
          <w:sz w:val="13"/>
          <w:szCs w:val="13"/>
          <w:color w:val="008000"/>
        </w:rPr>
      </w:pPr>
    </w:p>
    <w:p>
      <w:pPr>
        <w:ind w:left="40" w:right="360" w:firstLine="7"/>
        <w:spacing w:after="0" w:line="253"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 shares were sold in multiple transactions at prices ranging from $69.08 to $70.04,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1" w:lineRule="exact"/>
        <w:rPr>
          <w:rFonts w:ascii="Arial" w:cs="Arial" w:eastAsia="Arial" w:hAnsi="Arial"/>
          <w:sz w:val="13"/>
          <w:szCs w:val="13"/>
          <w:color w:val="008000"/>
        </w:rPr>
      </w:pPr>
    </w:p>
    <w:p>
      <w:pPr>
        <w:ind w:left="40" w:right="360" w:firstLine="7"/>
        <w:spacing w:after="0" w:line="253"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 shares were sold in multiple transactions at prices ranging from $70.09 to $70.74,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1" w:lineRule="exact"/>
        <w:rPr>
          <w:rFonts w:ascii="Arial" w:cs="Arial" w:eastAsia="Arial" w:hAnsi="Arial"/>
          <w:sz w:val="13"/>
          <w:szCs w:val="13"/>
          <w:color w:val="008000"/>
        </w:rPr>
      </w:pPr>
    </w:p>
    <w:p>
      <w:pPr>
        <w:ind w:left="40" w:right="28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by The Kevin P. Ryan 2012 Trust (the "Trust") for the benefit of the reporting person's children.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prices ranging from $68.07 to $69.02, inclusive. The reporting person undertakes to provide to the Issuer, any</w:t>
      </w:r>
    </w:p>
    <w:p>
      <w:pPr>
        <w:sectPr>
          <w:pgSz w:w="11900" w:h="16853" w:orient="portrait"/>
          <w:cols w:equalWidth="0" w:num="1">
            <w:col w:w="11520"/>
          </w:cols>
          <w:pgMar w:left="240" w:top="225" w:right="139" w:bottom="0" w:gutter="0" w:footer="0" w:header="0"/>
          <w:type w:val="continuous"/>
        </w:sectPr>
      </w:pPr>
    </w:p>
    <w:bookmarkStart w:id="1" w:name="page2"/>
    <w:bookmarkEnd w:id="1"/>
    <w:p>
      <w:pPr>
        <w:ind w:right="240"/>
        <w:spacing w:after="0" w:line="270" w:lineRule="auto"/>
        <w:rPr>
          <w:sz w:val="20"/>
          <w:szCs w:val="20"/>
          <w:color w:val="auto"/>
        </w:rPr>
      </w:pPr>
      <w:r>
        <w:rPr>
          <w:rFonts w:ascii="Arial" w:cs="Arial" w:eastAsia="Arial" w:hAnsi="Arial"/>
          <w:sz w:val="13"/>
          <w:szCs w:val="13"/>
          <w:color w:val="008000"/>
        </w:rPr>
        <w:t>security holder of the Issuer or the staff of the Securities Exchange Commission, upon request, full information regarding the number of shares sold at each separate price within the ranges set forth in this footnote.</w:t>
      </w:r>
    </w:p>
    <w:p>
      <w:pPr>
        <w:spacing w:after="0" w:line="11" w:lineRule="exact"/>
        <w:rPr>
          <w:sz w:val="20"/>
          <w:szCs w:val="20"/>
          <w:color w:val="auto"/>
        </w:rPr>
      </w:pPr>
    </w:p>
    <w:p>
      <w:pPr>
        <w:ind w:firstLine="7"/>
        <w:spacing w:after="0" w:line="253" w:lineRule="auto"/>
        <w:tabs>
          <w:tab w:leader="none" w:pos="13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 shares were sold in multiple transactions at prices ranging from $69.14 to $70.13,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1" w:lineRule="exact"/>
        <w:rPr>
          <w:rFonts w:ascii="Arial" w:cs="Arial" w:eastAsia="Arial" w:hAnsi="Arial"/>
          <w:sz w:val="13"/>
          <w:szCs w:val="13"/>
          <w:color w:val="008000"/>
        </w:rPr>
      </w:pPr>
    </w:p>
    <w:p>
      <w:pPr>
        <w:ind w:firstLine="7"/>
        <w:spacing w:after="0" w:line="253" w:lineRule="auto"/>
        <w:tabs>
          <w:tab w:leader="none" w:pos="13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 shares were sold in multiple transactions at prices ranging from $70.17 to $70.65,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Sarah Ward, Attorney-in-</w:t>
            </w:r>
          </w:p>
        </w:tc>
        <w:tc>
          <w:tcPr>
            <w:tcW w:w="30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10/18/2018</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340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20"/>
      </w:cols>
      <w:pgMar w:left="280" w:top="12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7861" TargetMode="External"/><Relationship Id="rId13"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2019-12-24T07:33:11Z</dcterms:created>
  <dcterms:modified xsi:type="dcterms:W3CDTF">2019-12-24T07:33:11Z</dcterms:modified>
</cp:coreProperties>
</file>