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602615</wp:posOffset>
            </wp:positionH>
            <wp:positionV relativeFrom="page">
              <wp:posOffset>706120</wp:posOffset>
            </wp:positionV>
            <wp:extent cx="66522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732155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9" w:lineRule="exact"/>
        <w:rPr>
          <w:rFonts w:ascii="MS PGothic" w:cs="MS PGothic" w:eastAsia="MS PGothic" w:hAnsi="MS PGothic"/>
          <w:sz w:val="22"/>
          <w:szCs w:val="22"/>
          <w:color w:val="auto"/>
        </w:rPr>
      </w:pPr>
    </w:p>
    <w:p>
      <w:pPr>
        <w:ind w:left="390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July 31, 2024</w:t>
      </w:r>
    </w:p>
    <w:p>
      <w:pPr>
        <w:spacing w:after="0" w:line="63" w:lineRule="exact"/>
        <w:rPr>
          <w:rFonts w:ascii="MS PGothic" w:cs="MS PGothic" w:eastAsia="MS PGothic" w:hAnsi="MS PGothic"/>
          <w:sz w:val="22"/>
          <w:szCs w:val="22"/>
          <w:color w:val="auto"/>
        </w:rPr>
      </w:pPr>
    </w:p>
    <w:p>
      <w:pPr>
        <w:ind w:left="548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8"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4018915</wp:posOffset>
            </wp:positionH>
            <wp:positionV relativeFrom="paragraph">
              <wp:posOffset>-12700</wp:posOffset>
            </wp:positionV>
            <wp:extent cx="60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001-38240</w:t>
      </w:r>
    </w:p>
    <w:p>
      <w:pPr>
        <w:spacing w:after="0" w:line="6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7" w:lineRule="exact"/>
        <w:rPr>
          <w:sz w:val="24"/>
          <w:szCs w:val="24"/>
          <w:color w:val="auto"/>
        </w:rPr>
      </w:pPr>
    </w:p>
    <w:tbl>
      <w:tblPr>
        <w:tblLayout w:type="fixed"/>
        <w:tblInd w:w="2080" w:type="dxa"/>
        <w:tblCellMar>
          <w:top w:w="0" w:type="dxa"/>
          <w:left w:w="0" w:type="dxa"/>
          <w:bottom w:w="0" w:type="dxa"/>
          <w:right w:w="0" w:type="dxa"/>
        </w:tblCellMar>
      </w:tblPr>
      <w:tr>
        <w:trPr>
          <w:trHeight w:val="227"/>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26-1463205</w:t>
            </w:r>
          </w:p>
        </w:tc>
      </w:tr>
      <w:tr>
        <w:trPr>
          <w:trHeight w:val="146"/>
        </w:trPr>
        <w:tc>
          <w:tcPr>
            <w:tcW w:w="3880" w:type="dxa"/>
            <w:vAlign w:val="bottom"/>
          </w:tcPr>
          <w:p>
            <w:pPr>
              <w:jc w:val="center"/>
              <w:ind w:right="13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60" w:type="dxa"/>
            <w:vAlign w:val="bottom"/>
          </w:tcPr>
          <w:p>
            <w:pPr>
              <w:jc w:val="center"/>
              <w:ind w:left="132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1633 Broadway, 38th Floor</w:t>
            </w:r>
          </w:p>
        </w:tc>
        <w:tc>
          <w:tcPr>
            <w:tcW w:w="2560" w:type="dxa"/>
            <w:vAlign w:val="bottom"/>
          </w:tcPr>
          <w:p>
            <w:pPr>
              <w:spacing w:after="0"/>
              <w:rPr>
                <w:sz w:val="24"/>
                <w:szCs w:val="24"/>
                <w:color w:val="auto"/>
              </w:rPr>
            </w:pPr>
          </w:p>
        </w:tc>
      </w:tr>
      <w:tr>
        <w:trPr>
          <w:trHeight w:val="286"/>
        </w:trPr>
        <w:tc>
          <w:tcPr>
            <w:tcW w:w="38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56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190"/>
        </w:trPr>
        <w:tc>
          <w:tcPr>
            <w:tcW w:w="388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6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646-727-4092</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69"/>
        </w:trPr>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Common Stock, par value $0.001 per</w:t>
            </w:r>
          </w:p>
        </w:tc>
        <w:tc>
          <w:tcPr>
            <w:tcW w:w="140" w:type="dxa"/>
            <w:vAlign w:val="bottom"/>
          </w:tcPr>
          <w:p>
            <w:pPr>
              <w:spacing w:after="0"/>
              <w:rPr>
                <w:sz w:val="14"/>
                <w:szCs w:val="14"/>
                <w:color w:val="auto"/>
              </w:rPr>
            </w:pPr>
          </w:p>
        </w:tc>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MDB</w:t>
            </w:r>
          </w:p>
        </w:tc>
        <w:tc>
          <w:tcPr>
            <w:tcW w:w="140" w:type="dxa"/>
            <w:vAlign w:val="bottom"/>
          </w:tcPr>
          <w:p>
            <w:pPr>
              <w:spacing w:after="0"/>
              <w:rPr>
                <w:sz w:val="14"/>
                <w:szCs w:val="14"/>
                <w:color w:val="auto"/>
              </w:rPr>
            </w:pPr>
          </w:p>
        </w:tc>
        <w:tc>
          <w:tcPr>
            <w:tcW w:w="3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27" w:lineRule="exact"/>
        <w:rPr>
          <w:sz w:val="24"/>
          <w:szCs w:val="24"/>
          <w:color w:val="auto"/>
        </w:rPr>
      </w:pPr>
    </w:p>
    <w:p>
      <w:pPr>
        <w:ind w:firstLine="44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42" w:lineRule="exact"/>
        <w:tabs>
          <w:tab w:leader="none" w:pos="2140" w:val="left"/>
        </w:tabs>
        <w:rPr>
          <w:sz w:val="20"/>
          <w:szCs w:val="20"/>
          <w:color w:val="auto"/>
        </w:rPr>
      </w:pPr>
      <w:r>
        <w:rPr>
          <w:rFonts w:ascii="Times New Roman" w:cs="Times New Roman" w:eastAsia="Times New Roman" w:hAnsi="Times New Roman"/>
          <w:sz w:val="17"/>
          <w:szCs w:val="17"/>
          <w:color w:val="auto"/>
        </w:rPr>
        <w:t xml:space="preserve">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1"/>
          <w:szCs w:val="21"/>
          <w:color w:val="auto"/>
        </w:rPr>
        <w:t>☐</w:t>
      </w:r>
    </w:p>
    <w:p>
      <w:pPr>
        <w:spacing w:after="0" w:line="61" w:lineRule="exact"/>
        <w:rPr>
          <w:sz w:val="24"/>
          <w:szCs w:val="24"/>
          <w:color w:val="auto"/>
        </w:rPr>
      </w:pPr>
    </w:p>
    <w:p>
      <w:pPr>
        <w:ind w:right="20" w:firstLine="445"/>
        <w:spacing w:after="0" w:line="24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220" w:firstLine="445"/>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4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0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16" w:lineRule="exact"/>
        <w:rPr>
          <w:sz w:val="24"/>
          <w:szCs w:val="24"/>
          <w:color w:val="auto"/>
        </w:rPr>
      </w:pPr>
    </w:p>
    <w:p>
      <w:pPr>
        <w:ind w:right="20" w:firstLine="445"/>
        <w:spacing w:after="0" w:line="26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left="460" w:right="1740"/>
        <w:spacing w:after="0" w:line="26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August 28, 2024, there were 73,869,454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95885</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121285</wp:posOffset>
            </wp:positionV>
            <wp:extent cx="6652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ectPr>
          <w:pgSz w:w="11900" w:h="16838" w:orient="portrait"/>
          <w:cols w:equalWidth="0" w:num="1">
            <w:col w:w="11160"/>
          </w:cols>
          <w:pgMar w:left="320" w:top="1235" w:right="419" w:bottom="1440" w:gutter="0" w:footer="0" w:header="0"/>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ectPr>
          <w:pgSz w:w="11900" w:h="16838" w:orient="portrait"/>
          <w:cols w:equalWidth="0" w:num="1">
            <w:col w:w="10840"/>
          </w:cols>
          <w:pgMar w:left="540" w:top="12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0"/>
        <w:spacing w:after="0" w:line="380" w:lineRule="auto"/>
        <w:rPr>
          <w:sz w:val="20"/>
          <w:szCs w:val="20"/>
          <w:color w:val="auto"/>
        </w:rPr>
      </w:pPr>
      <w:r>
        <w:rPr>
          <w:rFonts w:ascii="Times New Roman" w:cs="Times New Roman" w:eastAsia="Times New Roman" w:hAnsi="Times New Roman"/>
          <w:sz w:val="18"/>
          <w:szCs w:val="18"/>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360" w:type="dxa"/>
            <w:vAlign w:val="bottom"/>
            <w:gridSpan w:val="6"/>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60" w:type="dxa"/>
            <w:vAlign w:val="bottom"/>
            <w:tcBorders>
              <w:bottom w:val="single" w:sz="8" w:color="0000FF"/>
            </w:tcBorders>
            <w:gridSpan w:val="5"/>
            <w:vMerge w:val="continue"/>
          </w:tcPr>
          <w:p>
            <w:pPr>
              <w:spacing w:after="0"/>
              <w:rPr>
                <w:sz w:val="14"/>
                <w:szCs w:val="14"/>
                <w:color w:val="auto"/>
              </w:rPr>
            </w:pPr>
          </w:p>
        </w:tc>
        <w:tc>
          <w:tcPr>
            <w:tcW w:w="336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July 31, 2024 and January 31, 2024</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8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six months ended July 31, 2024 and 2023</w:t>
            </w:r>
          </w:p>
        </w:tc>
        <w:tc>
          <w:tcPr>
            <w:tcW w:w="44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0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and six months ended July 31, 2024 and</w:t>
            </w:r>
          </w:p>
        </w:tc>
        <w:tc>
          <w:tcPr>
            <w:tcW w:w="120" w:type="dxa"/>
            <w:vAlign w:val="bottom"/>
          </w:tcPr>
          <w:p>
            <w:pPr>
              <w:spacing w:after="0"/>
              <w:rPr>
                <w:sz w:val="18"/>
                <w:szCs w:val="18"/>
                <w:color w:val="auto"/>
              </w:rPr>
            </w:pPr>
          </w:p>
        </w:tc>
        <w:tc>
          <w:tcPr>
            <w:tcW w:w="5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75"/>
        </w:trPr>
        <w:tc>
          <w:tcPr>
            <w:tcW w:w="480" w:type="dxa"/>
            <w:vAlign w:val="bottom"/>
            <w:gridSpan w:val="2"/>
            <w:vMerge w:val="restart"/>
          </w:tcPr>
          <w:p>
            <w:pPr>
              <w:spacing w:after="0"/>
              <w:rPr>
                <w:sz w:val="6"/>
                <w:szCs w:val="6"/>
                <w:color w:val="auto"/>
              </w:rPr>
            </w:pPr>
          </w:p>
        </w:tc>
        <w:tc>
          <w:tcPr>
            <w:tcW w:w="360" w:type="dxa"/>
            <w:vAlign w:val="bottom"/>
            <w:gridSpan w:val="2"/>
            <w:vMerge w:val="restart"/>
          </w:tcPr>
          <w:p>
            <w:pPr>
              <w:jc w:val="right"/>
              <w:spacing w:after="0" w:line="169" w:lineRule="exact"/>
              <w:rPr>
                <w:sz w:val="20"/>
                <w:szCs w:val="20"/>
                <w:color w:val="auto"/>
              </w:rPr>
            </w:pPr>
            <w:r>
              <w:rPr>
                <w:rFonts w:ascii="Times New Roman" w:cs="Times New Roman" w:eastAsia="Times New Roman" w:hAnsi="Times New Roman"/>
                <w:sz w:val="18"/>
                <w:szCs w:val="18"/>
                <w:color w:val="0000FF"/>
                <w:w w:val="94"/>
              </w:rPr>
              <w:t>2023</w:t>
            </w: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80" w:type="dxa"/>
            <w:vAlign w:val="bottom"/>
            <w:gridSpan w:val="2"/>
            <w:vMerge w:val="continue"/>
          </w:tcPr>
          <w:p>
            <w:pPr>
              <w:spacing w:after="0"/>
              <w:rPr>
                <w:sz w:val="6"/>
                <w:szCs w:val="6"/>
                <w:color w:val="auto"/>
              </w:rPr>
            </w:pPr>
          </w:p>
        </w:tc>
        <w:tc>
          <w:tcPr>
            <w:tcW w:w="360" w:type="dxa"/>
            <w:vAlign w:val="bottom"/>
            <w:tcBorders>
              <w:bottom w:val="single" w:sz="8" w:color="0000FF"/>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and six months ended July 31, 2024 and</w:t>
            </w:r>
          </w:p>
        </w:tc>
        <w:tc>
          <w:tcPr>
            <w:tcW w:w="5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75"/>
        </w:trPr>
        <w:tc>
          <w:tcPr>
            <w:tcW w:w="160" w:type="dxa"/>
            <w:vAlign w:val="bottom"/>
            <w:vMerge w:val="restart"/>
          </w:tcPr>
          <w:p>
            <w:pPr>
              <w:spacing w:after="0"/>
              <w:rPr>
                <w:sz w:val="6"/>
                <w:szCs w:val="6"/>
                <w:color w:val="auto"/>
              </w:rPr>
            </w:pPr>
          </w:p>
        </w:tc>
        <w:tc>
          <w:tcPr>
            <w:tcW w:w="320" w:type="dxa"/>
            <w:vAlign w:val="bottom"/>
            <w:tcBorders>
              <w:top w:val="single" w:sz="8" w:color="0000FF"/>
            </w:tcBorders>
            <w:vMerge w:val="restart"/>
          </w:tcPr>
          <w:p>
            <w:pPr>
              <w:spacing w:after="0"/>
              <w:rPr>
                <w:sz w:val="6"/>
                <w:szCs w:val="6"/>
                <w:color w:val="auto"/>
              </w:rPr>
            </w:pPr>
          </w:p>
        </w:tc>
        <w:tc>
          <w:tcPr>
            <w:tcW w:w="360" w:type="dxa"/>
            <w:vAlign w:val="bottom"/>
            <w:tcBorders>
              <w:top w:val="single" w:sz="8" w:color="0000FF"/>
            </w:tcBorders>
            <w:gridSpan w:val="2"/>
            <w:vMerge w:val="restart"/>
          </w:tcPr>
          <w:p>
            <w:pPr>
              <w:jc w:val="right"/>
              <w:spacing w:after="0" w:line="169" w:lineRule="exact"/>
              <w:rPr>
                <w:sz w:val="20"/>
                <w:szCs w:val="20"/>
                <w:color w:val="auto"/>
              </w:rPr>
            </w:pPr>
            <w:r>
              <w:rPr>
                <w:rFonts w:ascii="Times New Roman" w:cs="Times New Roman" w:eastAsia="Times New Roman" w:hAnsi="Times New Roman"/>
                <w:sz w:val="18"/>
                <w:szCs w:val="18"/>
                <w:color w:val="0000FF"/>
                <w:w w:val="94"/>
              </w:rPr>
              <w:t>2023</w:t>
            </w:r>
          </w:p>
        </w:tc>
        <w:tc>
          <w:tcPr>
            <w:tcW w:w="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5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300" w:type="dxa"/>
            <w:vAlign w:val="bottom"/>
            <w:tcBorders>
              <w:top w:val="single" w:sz="8" w:color="0000FF"/>
            </w:tcBorders>
          </w:tcPr>
          <w:p>
            <w:pPr>
              <w:spacing w:after="0"/>
              <w:rPr>
                <w:sz w:val="6"/>
                <w:szCs w:val="6"/>
                <w:color w:val="auto"/>
              </w:rPr>
            </w:pPr>
          </w:p>
        </w:tc>
        <w:tc>
          <w:tcPr>
            <w:tcW w:w="680" w:type="dxa"/>
            <w:vAlign w:val="bottom"/>
            <w:tcBorders>
              <w:top w:val="single" w:sz="8" w:color="0000FF"/>
            </w:tcBorders>
          </w:tcPr>
          <w:p>
            <w:pPr>
              <w:spacing w:after="0"/>
              <w:rPr>
                <w:sz w:val="6"/>
                <w:szCs w:val="6"/>
                <w:color w:val="auto"/>
              </w:rPr>
            </w:pPr>
          </w:p>
        </w:tc>
        <w:tc>
          <w:tcPr>
            <w:tcW w:w="780" w:type="dxa"/>
            <w:vAlign w:val="bottom"/>
            <w:tcBorders>
              <w:top w:val="single" w:sz="8" w:color="0000FF"/>
            </w:tcBorders>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3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0" w:type="dxa"/>
            <w:vAlign w:val="bottom"/>
            <w:vMerge w:val="continue"/>
          </w:tcPr>
          <w:p>
            <w:pPr>
              <w:spacing w:after="0"/>
              <w:rPr>
                <w:sz w:val="6"/>
                <w:szCs w:val="6"/>
                <w:color w:val="auto"/>
              </w:rPr>
            </w:pPr>
          </w:p>
        </w:tc>
        <w:tc>
          <w:tcPr>
            <w:tcW w:w="320" w:type="dxa"/>
            <w:vAlign w:val="bottom"/>
            <w:tcBorders>
              <w:top w:val="single" w:sz="8" w:color="0000FF"/>
            </w:tcBorders>
            <w:vMerge w:val="continue"/>
          </w:tcPr>
          <w:p>
            <w:pPr>
              <w:spacing w:after="0"/>
              <w:rPr>
                <w:sz w:val="6"/>
                <w:szCs w:val="6"/>
                <w:color w:val="auto"/>
              </w:rPr>
            </w:pPr>
          </w:p>
        </w:tc>
        <w:tc>
          <w:tcPr>
            <w:tcW w:w="360" w:type="dxa"/>
            <w:vAlign w:val="bottom"/>
            <w:tcBorders>
              <w:top w:val="single" w:sz="8" w:color="0000FF"/>
              <w:bottom w:val="single" w:sz="8" w:color="0000FF"/>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July 31, 2024 and 2023</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100" w:type="dxa"/>
            <w:vAlign w:val="bottom"/>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4"/>
          </w:tcPr>
          <w:p>
            <w:pPr>
              <w:spacing w:after="0"/>
              <w:rPr>
                <w:sz w:val="24"/>
                <w:szCs w:val="24"/>
                <w:color w:val="auto"/>
              </w:rPr>
            </w:pP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9"/>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0"/>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1720" w:type="dxa"/>
            <w:vAlign w:val="bottom"/>
            <w:gridSpan w:val="5"/>
          </w:tcPr>
          <w:p>
            <w:pPr>
              <w:spacing w:after="0"/>
              <w:rPr>
                <w:sz w:val="24"/>
                <w:szCs w:val="24"/>
                <w:color w:val="auto"/>
              </w:rPr>
            </w:pPr>
          </w:p>
        </w:tc>
        <w:tc>
          <w:tcPr>
            <w:tcW w:w="2760" w:type="dxa"/>
            <w:vAlign w:val="bottom"/>
            <w:tcBorders>
              <w:top w:val="single" w:sz="8" w:color="0000FF"/>
            </w:tcBorders>
            <w:gridSpan w:val="3"/>
          </w:tcPr>
          <w:p>
            <w:pPr>
              <w:spacing w:after="0"/>
              <w:rPr>
                <w:sz w:val="24"/>
                <w:szCs w:val="24"/>
                <w:color w:val="auto"/>
              </w:rPr>
            </w:pPr>
          </w:p>
        </w:tc>
        <w:tc>
          <w:tcPr>
            <w:tcW w:w="3520" w:type="dxa"/>
            <w:vAlign w:val="bottom"/>
            <w:gridSpan w:val="7"/>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0" w:type="dxa"/>
            <w:vAlign w:val="bottom"/>
            <w:gridSpan w:val="1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9"/>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12"/>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4"/>
                <w:szCs w:val="24"/>
                <w:color w:val="auto"/>
              </w:rPr>
            </w:pPr>
          </w:p>
        </w:tc>
        <w:tc>
          <w:tcPr>
            <w:tcW w:w="7560" w:type="dxa"/>
            <w:vAlign w:val="bottom"/>
            <w:gridSpan w:val="13"/>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-3839845</wp:posOffset>
            </wp:positionV>
            <wp:extent cx="689229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-3462655</wp:posOffset>
            </wp:positionV>
            <wp:extent cx="689229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-3051175</wp:posOffset>
            </wp:positionV>
            <wp:extent cx="68922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26543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-2639695</wp:posOffset>
            </wp:positionV>
            <wp:extent cx="689229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-2287905</wp:posOffset>
            </wp:positionV>
            <wp:extent cx="68922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-1876425</wp:posOffset>
            </wp:positionV>
            <wp:extent cx="68922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16319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-1567815</wp:posOffset>
            </wp:positionV>
            <wp:extent cx="68922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-1156335</wp:posOffset>
            </wp:positionV>
            <wp:extent cx="68922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-744855</wp:posOffset>
            </wp:positionV>
            <wp:extent cx="68922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-333375</wp:posOffset>
            </wp:positionV>
            <wp:extent cx="689229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2290" cy="205740"/>
                    </a:xfrm>
                    <a:prstGeom prst="rect">
                      <a:avLst/>
                    </a:prstGeom>
                    <a:noFill/>
                  </pic:spPr>
                </pic:pic>
              </a:graphicData>
            </a:graphic>
          </wp:anchor>
        </w:drawing>
      </w:r>
    </w:p>
    <w:p>
      <w:pPr>
        <w:sectPr>
          <w:pgSz w:w="11900" w:h="16838" w:orient="portrait"/>
          <w:cols w:equalWidth="0" w:num="2">
            <w:col w:w="760" w:space="220"/>
            <w:col w:w="9860"/>
          </w:cols>
          <w:pgMar w:left="540" w:top="1256" w:right="5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112"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FINANCIAL STATEMENTS.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9" w:lineRule="exact"/>
        <w:rPr>
          <w:sz w:val="20"/>
          <w:szCs w:val="20"/>
          <w:color w:val="auto"/>
        </w:rPr>
      </w:pPr>
    </w:p>
    <w:p>
      <w:pPr>
        <w:jc w:val="right"/>
        <w:ind w:right="20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July 31, 2024</w:t>
      </w:r>
      <w:r>
        <w:rPr>
          <w:sz w:val="20"/>
          <w:szCs w:val="20"/>
          <w:color w:val="auto"/>
        </w:rPr>
        <w:tab/>
      </w:r>
      <w:r>
        <w:rPr>
          <w:rFonts w:ascii="Times New Roman" w:cs="Times New Roman" w:eastAsia="Times New Roman" w:hAnsi="Times New Roman"/>
          <w:sz w:val="14"/>
          <w:szCs w:val="14"/>
          <w:b w:val="1"/>
          <w:bCs w:val="1"/>
          <w:color w:val="auto"/>
        </w:rPr>
        <w:t>January 31, 2024</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8220" w:val="left"/>
        </w:tabs>
        <w:rPr>
          <w:sz w:val="20"/>
          <w:szCs w:val="20"/>
          <w:color w:val="auto"/>
        </w:rPr>
      </w:pPr>
      <w:r>
        <w:rPr>
          <w:rFonts w:ascii="Times New Roman" w:cs="Times New Roman" w:eastAsia="Times New Roman" w:hAnsi="Times New Roman"/>
          <w:sz w:val="14"/>
          <w:szCs w:val="14"/>
          <w:color w:val="auto"/>
        </w:rPr>
        <w:t>Cash and cash equivalents</w:t>
      </w:r>
      <w:r>
        <w:rPr>
          <w:sz w:val="20"/>
          <w:szCs w:val="20"/>
          <w:color w:val="auto"/>
        </w:rPr>
        <w:tab/>
      </w:r>
      <w:r>
        <w:rPr>
          <w:rFonts w:ascii="Times New Roman" w:cs="Times New Roman" w:eastAsia="Times New Roman" w:hAnsi="Times New Roman"/>
          <w:sz w:val="12"/>
          <w:szCs w:val="12"/>
          <w:color w:val="auto"/>
        </w:rPr>
        <w:t>$</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$7,879 and $8,054 as of July 31, 2024 and January 31, 2024,</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respectively</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Goodwill</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Acquired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180"/>
        <w:spacing w:after="0"/>
        <w:tabs>
          <w:tab w:leader="none" w:pos="8220" w:val="left"/>
        </w:tabs>
        <w:rPr>
          <w:sz w:val="20"/>
          <w:szCs w:val="20"/>
          <w:color w:val="auto"/>
        </w:rPr>
      </w:pPr>
      <w:r>
        <w:rPr>
          <w:rFonts w:ascii="Times New Roman" w:cs="Times New Roman" w:eastAsia="Times New Roman" w:hAnsi="Times New Roman"/>
          <w:sz w:val="14"/>
          <w:szCs w:val="14"/>
          <w:color w:val="auto"/>
        </w:rPr>
        <w:t>Total assets</w:t>
      </w:r>
      <w:r>
        <w:rPr>
          <w:sz w:val="20"/>
          <w:szCs w:val="20"/>
          <w:color w:val="auto"/>
        </w:rPr>
        <w:tab/>
      </w:r>
      <w:r>
        <w:rPr>
          <w:rFonts w:ascii="Times New Roman" w:cs="Times New Roman" w:eastAsia="Times New Roman" w:hAnsi="Times New Roman"/>
          <w:sz w:val="12"/>
          <w:szCs w:val="12"/>
          <w:color w:val="auto"/>
        </w:rPr>
        <w:t>$</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8220" w:val="left"/>
        </w:tabs>
        <w:rPr>
          <w:sz w:val="20"/>
          <w:szCs w:val="20"/>
          <w:color w:val="auto"/>
        </w:rPr>
      </w:pPr>
      <w:r>
        <w:rPr>
          <w:rFonts w:ascii="Times New Roman" w:cs="Times New Roman" w:eastAsia="Times New Roman" w:hAnsi="Times New Roman"/>
          <w:sz w:val="14"/>
          <w:szCs w:val="14"/>
          <w:color w:val="auto"/>
        </w:rPr>
        <w:t>Accounts payable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Accrued compensation and benefits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Other accrued liabilities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Convertible senior notes, net</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7)</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right="140" w:hanging="80"/>
        <w:spacing w:after="0" w:line="271" w:lineRule="auto"/>
        <w:rPr>
          <w:sz w:val="20"/>
          <w:szCs w:val="20"/>
          <w:color w:val="auto"/>
        </w:rPr>
      </w:pPr>
      <w:r>
        <w:rPr>
          <w:rFonts w:ascii="Times New Roman" w:cs="Times New Roman" w:eastAsia="Times New Roman" w:hAnsi="Times New Roman"/>
          <w:sz w:val="14"/>
          <w:szCs w:val="14"/>
          <w:color w:val="auto"/>
        </w:rPr>
        <w:t>Common stock, par value of $0.001 per share; 1,000,000,000 shares authorized as of July 31, 2024 and January 31, 2024; 73,963,083 shares issued and 73,863,712 shares outstanding as of July 31, 2024; 72,840,692 shares issued and 72,741,321 shares outstanding as of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Treasury stock, 99,371 shares (repurchased at an average of $13.27 per share) as of July 31, 2024 and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96" w:lineRule="exact"/>
        <w:rPr>
          <w:sz w:val="20"/>
          <w:szCs w:val="20"/>
          <w:color w:val="auto"/>
        </w:rPr>
      </w:pPr>
    </w:p>
    <w:p>
      <w:pPr>
        <w:ind w:left="180"/>
        <w:spacing w:after="0"/>
        <w:tabs>
          <w:tab w:leader="none" w:pos="8220" w:val="left"/>
        </w:tabs>
        <w:rPr>
          <w:sz w:val="20"/>
          <w:szCs w:val="20"/>
          <w:color w:val="auto"/>
        </w:rPr>
      </w:pPr>
      <w:r>
        <w:rPr>
          <w:rFonts w:ascii="Times New Roman" w:cs="Times New Roman" w:eastAsia="Times New Roman" w:hAnsi="Times New Roman"/>
          <w:sz w:val="14"/>
          <w:szCs w:val="14"/>
          <w:color w:val="auto"/>
        </w:rPr>
        <w:t>Total liabilities and stockholders’ equity</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8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1,290,901</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802,959</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973,933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1,212,448</w:t>
            </w:r>
          </w:p>
        </w:tc>
        <w:tc>
          <w:tcPr>
            <w:tcW w:w="0" w:type="dxa"/>
            <w:vAlign w:val="bottom"/>
          </w:tcPr>
          <w:p>
            <w:pPr>
              <w:spacing w:after="0"/>
              <w:rPr>
                <w:sz w:val="1"/>
                <w:szCs w:val="1"/>
                <w:color w:val="auto"/>
              </w:rPr>
            </w:pPr>
          </w:p>
        </w:tc>
      </w:tr>
      <w:tr>
        <w:trPr>
          <w:trHeight w:val="405"/>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311,166</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325,610</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97,644</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92,512</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48,403</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50,107</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2,722,047</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2,483,636</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48,389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53,042</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36,873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37,365</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69,679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69,679</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1,133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4,765</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248,344</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217,847</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3,131,230</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2,869,642</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10,135</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9,905</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112,063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112,579</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11,048</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9,797</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100,795</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74,831</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307,114</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357,108</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541,155</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564,220</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1,061</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28,877</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30,918</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15,612</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20,296</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1,144,977</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1,143,273</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36,501</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41,661</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1,768,183</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1,800,653</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-7620</wp:posOffset>
            </wp:positionV>
            <wp:extent cx="9258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-2056765</wp:posOffset>
            </wp:positionV>
            <wp:extent cx="9258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-3256915</wp:posOffset>
            </wp:positionV>
            <wp:extent cx="9258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73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30"/>
        </w:trPr>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9"/>
              </w:rPr>
              <w:t>3,210,146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2,777,322</w:t>
            </w:r>
          </w:p>
        </w:tc>
      </w:tr>
      <w:tr>
        <w:trPr>
          <w:trHeight w:val="230"/>
        </w:trPr>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(1,319)</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r>
    </w:tbl>
    <w:p>
      <w:pPr>
        <w:spacing w:after="0" w:line="41" w:lineRule="exact"/>
        <w:rPr>
          <w:sz w:val="20"/>
          <w:szCs w:val="20"/>
          <w:color w:val="auto"/>
        </w:rPr>
      </w:pPr>
    </w:p>
    <w:p>
      <w:pPr>
        <w:ind w:left="1880" w:hanging="1465"/>
        <w:spacing w:after="0"/>
        <w:tabs>
          <w:tab w:leader="none" w:pos="1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4,545</w:t>
      </w:r>
    </w:p>
    <w:p>
      <w:pPr>
        <w:spacing w:after="0" w:line="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(1,846,754)(1,711,632)</w:t>
      </w:r>
    </w:p>
    <w:p>
      <w:pPr>
        <w:spacing w:after="0" w:line="95" w:lineRule="exact"/>
        <w:rPr>
          <w:rFonts w:ascii="Times New Roman" w:cs="Times New Roman" w:eastAsia="Times New Roman" w:hAnsi="Times New Roman"/>
          <w:sz w:val="14"/>
          <w:szCs w:val="14"/>
          <w:color w:val="auto"/>
        </w:rPr>
      </w:pPr>
    </w:p>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1,363,0471,068,989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32385</wp:posOffset>
            </wp:positionV>
            <wp:extent cx="1920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49" w:lineRule="exact"/>
        <w:rPr>
          <w:sz w:val="20"/>
          <w:szCs w:val="20"/>
          <w:color w:val="auto"/>
        </w:rPr>
      </w:pPr>
    </w:p>
    <w:p>
      <w:pPr>
        <w:ind w:left="60"/>
        <w:spacing w:after="0"/>
        <w:tabs>
          <w:tab w:leader="none" w:pos="800" w:val="left"/>
          <w:tab w:leader="none" w:pos="1600" w:val="left"/>
        </w:tabs>
        <w:rPr>
          <w:sz w:val="20"/>
          <w:szCs w:val="20"/>
          <w:color w:val="auto"/>
        </w:rPr>
      </w:pPr>
      <w:r>
        <w:rPr>
          <w:rFonts w:ascii="Times New Roman" w:cs="Times New Roman" w:eastAsia="Times New Roman" w:hAnsi="Times New Roman"/>
          <w:sz w:val="14"/>
          <w:szCs w:val="14"/>
          <w:color w:val="auto"/>
        </w:rPr>
        <w:t>3,131,230</w:t>
        <w:tab/>
        <w:t>$</w:t>
      </w:r>
      <w:r>
        <w:rPr>
          <w:sz w:val="20"/>
          <w:szCs w:val="20"/>
          <w:color w:val="auto"/>
        </w:rPr>
        <w:tab/>
      </w:r>
      <w:r>
        <w:rPr>
          <w:rFonts w:ascii="Times New Roman" w:cs="Times New Roman" w:eastAsia="Times New Roman" w:hAnsi="Times New Roman"/>
          <w:sz w:val="14"/>
          <w:szCs w:val="14"/>
          <w:color w:val="auto"/>
        </w:rPr>
        <w:t>2,869,642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32385</wp:posOffset>
            </wp:positionV>
            <wp:extent cx="192024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2024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680"/>
            <w:col w:w="2260"/>
          </w:cols>
          <w:pgMar w:left="320" w:top="130"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40" w:type="dxa"/>
            <w:vAlign w:val="bottom"/>
          </w:tcPr>
          <w:p>
            <w:pPr>
              <w:spacing w:after="0"/>
              <w:rPr>
                <w:sz w:val="16"/>
                <w:szCs w:val="16"/>
                <w:color w:val="auto"/>
              </w:rPr>
            </w:pPr>
          </w:p>
        </w:tc>
        <w:tc>
          <w:tcPr>
            <w:tcW w:w="238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37"/>
        </w:trPr>
        <w:tc>
          <w:tcPr>
            <w:tcW w:w="59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463,805</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409,334</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900,701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764,048</w:t>
            </w:r>
          </w:p>
        </w:tc>
        <w:tc>
          <w:tcPr>
            <w:tcW w:w="0" w:type="dxa"/>
            <w:vAlign w:val="bottom"/>
          </w:tcPr>
          <w:p>
            <w:pPr>
              <w:spacing w:after="0"/>
              <w:rPr>
                <w:sz w:val="1"/>
                <w:szCs w:val="1"/>
                <w:color w:val="auto"/>
              </w:rPr>
            </w:pPr>
          </w:p>
        </w:tc>
      </w:tr>
      <w:tr>
        <w:trPr>
          <w:trHeight w:val="28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478,109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928,670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792,071</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162,995</w:t>
            </w:r>
          </w:p>
        </w:tc>
        <w:tc>
          <w:tcPr>
            <w:tcW w:w="0" w:type="dxa"/>
            <w:vAlign w:val="bottom"/>
          </w:tcPr>
          <w:p>
            <w:pPr>
              <w:spacing w:after="0"/>
              <w:rPr>
                <w:sz w:val="1"/>
                <w:szCs w:val="1"/>
                <w:color w:val="auto"/>
              </w:rPr>
            </w:pPr>
          </w:p>
        </w:tc>
      </w:tr>
      <w:tr>
        <w:trPr>
          <w:trHeight w:val="284"/>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39,791</w:t>
            </w: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128,253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202,786</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589,285</w:t>
            </w:r>
          </w:p>
        </w:tc>
        <w:tc>
          <w:tcPr>
            <w:tcW w:w="0" w:type="dxa"/>
            <w:vAlign w:val="bottom"/>
          </w:tcPr>
          <w:p>
            <w:pPr>
              <w:spacing w:after="0"/>
              <w:rPr>
                <w:sz w:val="1"/>
                <w:szCs w:val="1"/>
                <w:color w:val="auto"/>
              </w:rPr>
            </w:pPr>
          </w:p>
        </w:tc>
      </w:tr>
      <w:tr>
        <w:trPr>
          <w:trHeight w:val="229"/>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378,667</w:t>
            </w:r>
          </w:p>
        </w:tc>
        <w:tc>
          <w:tcPr>
            <w:tcW w:w="0" w:type="dxa"/>
            <w:vAlign w:val="bottom"/>
          </w:tcPr>
          <w:p>
            <w:pPr>
              <w:spacing w:after="0"/>
              <w:rPr>
                <w:sz w:val="1"/>
                <w:szCs w:val="1"/>
                <w:color w:val="auto"/>
              </w:rPr>
            </w:pPr>
          </w:p>
        </w:tc>
      </w:tr>
      <w:tr>
        <w:trPr>
          <w:trHeight w:val="27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242,237</w:t>
            </w:r>
          </w:p>
        </w:tc>
        <w:tc>
          <w:tcPr>
            <w:tcW w:w="0" w:type="dxa"/>
            <w:vAlign w:val="bottom"/>
          </w:tcPr>
          <w:p>
            <w:pPr>
              <w:spacing w:after="0"/>
              <w:rPr>
                <w:sz w:val="1"/>
                <w:szCs w:val="1"/>
                <w:color w:val="auto"/>
              </w:rPr>
            </w:pPr>
          </w:p>
        </w:tc>
      </w:tr>
      <w:tr>
        <w:trPr>
          <w:trHeight w:val="28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85,931</w:t>
            </w:r>
          </w:p>
        </w:tc>
        <w:tc>
          <w:tcPr>
            <w:tcW w:w="0" w:type="dxa"/>
            <w:vAlign w:val="bottom"/>
          </w:tcPr>
          <w:p>
            <w:pPr>
              <w:spacing w:after="0"/>
              <w:rPr>
                <w:sz w:val="1"/>
                <w:szCs w:val="1"/>
                <w:color w:val="auto"/>
              </w:rPr>
            </w:pPr>
          </w:p>
        </w:tc>
      </w:tr>
      <w:tr>
        <w:trPr>
          <w:trHeight w:val="264"/>
        </w:trPr>
        <w:tc>
          <w:tcPr>
            <w:tcW w:w="5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421,296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367,457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847,346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706,835</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(117,550)</w:t>
            </w:r>
          </w:p>
        </w:tc>
        <w:tc>
          <w:tcPr>
            <w:tcW w:w="0" w:type="dxa"/>
            <w:vAlign w:val="bottom"/>
          </w:tcPr>
          <w:p>
            <w:pPr>
              <w:spacing w:after="0"/>
              <w:rPr>
                <w:sz w:val="1"/>
                <w:szCs w:val="1"/>
                <w:color w:val="auto"/>
              </w:rPr>
            </w:pPr>
          </w:p>
        </w:tc>
      </w:tr>
      <w:tr>
        <w:trPr>
          <w:trHeight w:val="229"/>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37,507</w:t>
            </w:r>
          </w:p>
        </w:tc>
        <w:tc>
          <w:tcPr>
            <w:tcW w:w="0" w:type="dxa"/>
            <w:vAlign w:val="bottom"/>
          </w:tcPr>
          <w:p>
            <w:pPr>
              <w:spacing w:after="0"/>
              <w:rPr>
                <w:sz w:val="1"/>
                <w:szCs w:val="1"/>
                <w:color w:val="auto"/>
              </w:rPr>
            </w:pPr>
          </w:p>
        </w:tc>
      </w:tr>
      <w:tr>
        <w:trPr>
          <w:trHeight w:val="284"/>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8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50"/>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(85,768)</w:t>
            </w:r>
          </w:p>
        </w:tc>
        <w:tc>
          <w:tcPr>
            <w:tcW w:w="0" w:type="dxa"/>
            <w:vAlign w:val="bottom"/>
          </w:tcPr>
          <w:p>
            <w:pPr>
              <w:spacing w:after="0"/>
              <w:rPr>
                <w:sz w:val="1"/>
                <w:szCs w:val="1"/>
                <w:color w:val="auto"/>
              </w:rPr>
            </w:pPr>
          </w:p>
        </w:tc>
      </w:tr>
      <w:tr>
        <w:trPr>
          <w:trHeight w:val="283"/>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0" w:type="dxa"/>
            <w:vAlign w:val="bottom"/>
          </w:tcPr>
          <w:p>
            <w:pPr>
              <w:spacing w:after="0"/>
              <w:rPr>
                <w:sz w:val="1"/>
                <w:szCs w:val="1"/>
                <w:color w:val="auto"/>
              </w:rPr>
            </w:pPr>
          </w:p>
        </w:tc>
      </w:tr>
      <w:tr>
        <w:trPr>
          <w:trHeight w:val="264"/>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(135,122)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73,543,427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70,874,117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73,269,824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70,531,581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tcPr>
          <w:p>
            <w:pPr>
              <w:spacing w:after="0"/>
              <w:rPr>
                <w:sz w:val="16"/>
                <w:szCs w:val="16"/>
                <w:color w:val="auto"/>
              </w:rPr>
            </w:pPr>
          </w:p>
        </w:tc>
        <w:tc>
          <w:tcPr>
            <w:tcW w:w="246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(91,843)</w:t>
            </w:r>
          </w:p>
        </w:tc>
      </w:tr>
      <w:tr>
        <w:trPr>
          <w:trHeight w:val="229"/>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income (loss) on available-for-sale securities</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r>
      <w:tr>
        <w:trPr>
          <w:trHeight w:val="283"/>
        </w:trPr>
        <w:tc>
          <w:tcPr>
            <w:tcW w:w="5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64"/>
        </w:trPr>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63"/>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(138,766)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(94,980)</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1800" w:type="dxa"/>
            <w:vAlign w:val="bottom"/>
            <w:gridSpan w:val="4"/>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3"/>
            <w:vMerge w:val="restart"/>
          </w:tcPr>
          <w:p>
            <w:pPr>
              <w:jc w:val="center"/>
              <w:ind w:right="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4"/>
                <w:szCs w:val="4"/>
                <w:color w:val="auto"/>
              </w:rPr>
            </w:pPr>
          </w:p>
        </w:tc>
        <w:tc>
          <w:tcPr>
            <w:tcW w:w="112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48"/>
        </w:trPr>
        <w:tc>
          <w:tcPr>
            <w:tcW w:w="3400" w:type="dxa"/>
            <w:vAlign w:val="bottom"/>
          </w:tcPr>
          <w:p>
            <w:pPr>
              <w:spacing w:after="0"/>
              <w:rPr>
                <w:sz w:val="4"/>
                <w:szCs w:val="4"/>
                <w:color w:val="auto"/>
              </w:rPr>
            </w:pPr>
          </w:p>
        </w:tc>
        <w:tc>
          <w:tcPr>
            <w:tcW w:w="9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4"/>
                <w:szCs w:val="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4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36"/>
        </w:trPr>
        <w:tc>
          <w:tcPr>
            <w:tcW w:w="34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as of January 31, 2024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72,741,321</w:t>
            </w: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57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2,777,322</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(1,711,632)</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1,068,989</w:t>
            </w:r>
          </w:p>
        </w:tc>
        <w:tc>
          <w:tcPr>
            <w:tcW w:w="0" w:type="dxa"/>
            <w:vAlign w:val="bottom"/>
          </w:tcPr>
          <w:p>
            <w:pPr>
              <w:spacing w:after="0"/>
              <w:rPr>
                <w:sz w:val="1"/>
                <w:szCs w:val="1"/>
                <w:color w:val="auto"/>
              </w:rPr>
            </w:pPr>
          </w:p>
        </w:tc>
      </w:tr>
      <w:tr>
        <w:trPr>
          <w:trHeight w:val="18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132,617</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399,213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performance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77,444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120,763</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6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 of derivative related to the Capped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Call associated with the 2024 Notes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169,692</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(80,593)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(80,593)</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April 30,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73,350,595</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3,068,730</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(1,792,225)</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1,269,256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41,954</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122,423</w:t>
            </w:r>
          </w:p>
        </w:tc>
        <w:tc>
          <w:tcPr>
            <w:tcW w:w="0" w:type="dxa"/>
            <w:vAlign w:val="bottom"/>
          </w:tcPr>
          <w:p>
            <w:pPr>
              <w:spacing w:after="0"/>
              <w:rPr>
                <w:sz w:val="1"/>
                <w:szCs w:val="1"/>
                <w:color w:val="auto"/>
              </w:rPr>
            </w:pPr>
          </w:p>
        </w:tc>
      </w:tr>
      <w:tr>
        <w:trPr>
          <w:trHeight w:val="16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18,640</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(54,529)</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July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73,863,712</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3,210,146</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(1,846,754)</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1,363,047</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400" w:type="dxa"/>
            <w:vAlign w:val="bottom"/>
          </w:tcPr>
          <w:p>
            <w:pPr>
              <w:spacing w:after="0"/>
              <w:rPr>
                <w:sz w:val="24"/>
                <w:szCs w:val="24"/>
                <w:color w:val="auto"/>
              </w:rPr>
            </w:pPr>
          </w:p>
        </w:tc>
        <w:tc>
          <w:tcPr>
            <w:tcW w:w="1800" w:type="dxa"/>
            <w:vAlign w:val="bottom"/>
            <w:gridSpan w:val="4"/>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24"/>
                <w:szCs w:val="24"/>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jc w:val="center"/>
              <w:ind w:right="89"/>
              <w:spacing w:after="0" w:line="81"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69,906,586</w:t>
            </w: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70</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2,276,694</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(1,535,032)</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739,508</w:t>
            </w:r>
          </w:p>
        </w:tc>
        <w:tc>
          <w:tcPr>
            <w:tcW w:w="0" w:type="dxa"/>
            <w:vAlign w:val="bottom"/>
          </w:tcPr>
          <w:p>
            <w:pPr>
              <w:spacing w:after="0"/>
              <w:rPr>
                <w:sz w:val="1"/>
                <w:szCs w:val="1"/>
                <w:color w:val="auto"/>
              </w:rPr>
            </w:pPr>
          </w:p>
        </w:tc>
      </w:tr>
      <w:tr>
        <w:trPr>
          <w:trHeight w:val="186"/>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1,472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388,017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performance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103,955</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103,955</w:t>
            </w: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April 30, 2023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70,531,307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71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2,382,121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(1,589,278)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792,429</w:t>
            </w:r>
          </w:p>
        </w:tc>
        <w:tc>
          <w:tcPr>
            <w:tcW w:w="0" w:type="dxa"/>
            <w:vAlign w:val="bottom"/>
          </w:tcPr>
          <w:p>
            <w:pPr>
              <w:spacing w:after="0"/>
              <w:rPr>
                <w:sz w:val="1"/>
                <w:szCs w:val="1"/>
                <w:color w:val="auto"/>
              </w:rPr>
            </w:pPr>
          </w:p>
        </w:tc>
      </w:tr>
      <w:tr>
        <w:trPr>
          <w:trHeight w:val="186"/>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265,477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2,035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432,093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113,312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113,312</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0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Plan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114,508</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19,781</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19,781</w:t>
            </w: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219"/>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(37,597)</w:t>
            </w:r>
          </w:p>
        </w:tc>
        <w:tc>
          <w:tcPr>
            <w:tcW w:w="0" w:type="dxa"/>
            <w:vAlign w:val="bottom"/>
          </w:tcPr>
          <w:p>
            <w:pPr>
              <w:spacing w:after="0"/>
              <w:rPr>
                <w:sz w:val="1"/>
                <w:szCs w:val="1"/>
                <w:color w:val="auto"/>
              </w:rPr>
            </w:pPr>
          </w:p>
        </w:tc>
      </w:tr>
      <w:tr>
        <w:trPr>
          <w:trHeight w:val="24"/>
        </w:trPr>
        <w:tc>
          <w:tcPr>
            <w:tcW w:w="3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July 31, 2023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71,343,385</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72</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2,517,249</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(1,626,875)</w:t>
            </w: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885,085</w:t>
            </w:r>
          </w:p>
        </w:tc>
        <w:tc>
          <w:tcPr>
            <w:tcW w:w="0" w:type="dxa"/>
            <w:vAlign w:val="bottom"/>
          </w:tcPr>
          <w:p>
            <w:pPr>
              <w:spacing w:after="0"/>
              <w:rPr>
                <w:sz w:val="1"/>
                <w:szCs w:val="1"/>
                <w:color w:val="auto"/>
              </w:rPr>
            </w:pPr>
          </w:p>
        </w:tc>
      </w:tr>
      <w:tr>
        <w:trPr>
          <w:trHeight w:val="20"/>
        </w:trPr>
        <w:tc>
          <w:tcPr>
            <w:tcW w:w="34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2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(135,122)</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(91,843)</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8,546</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243,186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217,267</w:t>
            </w:r>
          </w:p>
        </w:tc>
        <w:tc>
          <w:tcPr>
            <w:tcW w:w="0" w:type="dxa"/>
            <w:vAlign w:val="bottom"/>
          </w:tcPr>
          <w:p>
            <w:pPr>
              <w:spacing w:after="0"/>
              <w:rPr>
                <w:sz w:val="1"/>
                <w:szCs w:val="1"/>
                <w:color w:val="auto"/>
              </w:rPr>
            </w:pPr>
          </w:p>
        </w:tc>
      </w:tr>
      <w:tr>
        <w:trPr>
          <w:trHeight w:val="206"/>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Amortization of finance right-of-use assets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income taxes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premium and accretion of discount on short-term investments, net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(25,509)</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Realized and unrealized gain on financial instruments, net</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Unrealized foreign exchange loss</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12,158</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Deferred commissions</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long-term assets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Accrued liabilities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29,213</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w:t>
            </w:r>
          </w:p>
        </w:tc>
        <w:tc>
          <w:tcPr>
            <w:tcW w:w="0" w:type="dxa"/>
            <w:vAlign w:val="bottom"/>
          </w:tcPr>
          <w:p>
            <w:pPr>
              <w:spacing w:after="0"/>
              <w:rPr>
                <w:sz w:val="1"/>
                <w:szCs w:val="1"/>
                <w:color w:val="auto"/>
              </w:rPr>
            </w:pPr>
          </w:p>
        </w:tc>
      </w:tr>
      <w:tr>
        <w:trPr>
          <w:trHeight w:val="220"/>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(91,350)</w:t>
            </w:r>
          </w:p>
        </w:tc>
        <w:tc>
          <w:tcPr>
            <w:tcW w:w="0" w:type="dxa"/>
            <w:vAlign w:val="bottom"/>
          </w:tcPr>
          <w:p>
            <w:pPr>
              <w:spacing w:after="0"/>
              <w:rPr>
                <w:sz w:val="1"/>
                <w:szCs w:val="1"/>
                <w:color w:val="auto"/>
              </w:rPr>
            </w:pPr>
          </w:p>
        </w:tc>
      </w:tr>
      <w:tr>
        <w:trPr>
          <w:trHeight w:val="220"/>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62,215</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28,428</w:t>
            </w:r>
          </w:p>
        </w:tc>
        <w:tc>
          <w:tcPr>
            <w:tcW w:w="0" w:type="dxa"/>
            <w:vAlign w:val="bottom"/>
          </w:tcPr>
          <w:p>
            <w:pPr>
              <w:spacing w:after="0"/>
              <w:rPr>
                <w:sz w:val="1"/>
                <w:szCs w:val="1"/>
                <w:color w:val="auto"/>
              </w:rPr>
            </w:pPr>
          </w:p>
        </w:tc>
      </w:tr>
      <w:tr>
        <w:trPr>
          <w:trHeight w:val="17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206"/>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Investments in non-marketable securities</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435,000</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755,000</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(185,633)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(650,599)</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242,277</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101,087</w:t>
            </w:r>
          </w:p>
        </w:tc>
        <w:tc>
          <w:tcPr>
            <w:tcW w:w="0" w:type="dxa"/>
            <w:vAlign w:val="bottom"/>
          </w:tcPr>
          <w:p>
            <w:pPr>
              <w:spacing w:after="0"/>
              <w:rPr>
                <w:sz w:val="1"/>
                <w:szCs w:val="1"/>
                <w:color w:val="auto"/>
              </w:rPr>
            </w:pPr>
          </w:p>
        </w:tc>
      </w:tr>
      <w:tr>
        <w:trPr>
          <w:trHeight w:val="17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settlement of capped calls</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170,589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the issuance of common stock under the Employee Stock Purchase Plan</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19,781</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Principal payments of finance leases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186,896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20,587</w:t>
            </w:r>
          </w:p>
        </w:tc>
        <w:tc>
          <w:tcPr>
            <w:tcW w:w="0" w:type="dxa"/>
            <w:vAlign w:val="bottom"/>
          </w:tcPr>
          <w:p>
            <w:pPr>
              <w:spacing w:after="0"/>
              <w:rPr>
                <w:sz w:val="1"/>
                <w:szCs w:val="1"/>
                <w:color w:val="auto"/>
              </w:rPr>
            </w:pPr>
          </w:p>
        </w:tc>
      </w:tr>
      <w:tr>
        <w:trPr>
          <w:trHeight w:val="200"/>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0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488,837</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151,517</w:t>
            </w:r>
          </w:p>
        </w:tc>
        <w:tc>
          <w:tcPr>
            <w:tcW w:w="0" w:type="dxa"/>
            <w:vAlign w:val="bottom"/>
          </w:tcPr>
          <w:p>
            <w:pPr>
              <w:spacing w:after="0"/>
              <w:rPr>
                <w:sz w:val="1"/>
                <w:szCs w:val="1"/>
                <w:color w:val="auto"/>
              </w:rPr>
            </w:pPr>
          </w:p>
        </w:tc>
      </w:tr>
      <w:tr>
        <w:trPr>
          <w:trHeight w:val="220"/>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803,643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456,339</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1,292,480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607,856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00" w:type="dxa"/>
            <w:vAlign w:val="bottom"/>
          </w:tcPr>
          <w:p>
            <w:pPr>
              <w:spacing w:after="0"/>
              <w:rPr>
                <w:sz w:val="19"/>
                <w:szCs w:val="19"/>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5,654</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135"/>
        </w:trPr>
        <w:tc>
          <w:tcPr>
            <w:tcW w:w="778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end of period,</w:t>
            </w: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 the amounts shown in the statements of cash flows above:</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1,290,901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607,175</w:t>
            </w:r>
          </w:p>
        </w:tc>
        <w:tc>
          <w:tcPr>
            <w:tcW w:w="0" w:type="dxa"/>
            <w:vAlign w:val="bottom"/>
          </w:tcPr>
          <w:p>
            <w:pPr>
              <w:spacing w:after="0"/>
              <w:rPr>
                <w:sz w:val="1"/>
                <w:szCs w:val="1"/>
                <w:color w:val="auto"/>
              </w:rPr>
            </w:pPr>
          </w:p>
        </w:tc>
      </w:tr>
      <w:tr>
        <w:trPr>
          <w:trHeight w:val="233"/>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4"/>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1,292,480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607,856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Basis of Presentation</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to fairly state the Company’s financial position and results of operations as of and for the periods presented. All intercompany transactions and accounts have been eliminated. The results of operations for the interim periods should not be considered indicative of results for the full year or for any other future year or interim period.</w:t>
      </w:r>
    </w:p>
    <w:p>
      <w:pPr>
        <w:spacing w:after="0" w:line="1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2024 (the “2024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Use of Estimates</w:t>
      </w:r>
    </w:p>
    <w:p>
      <w:pPr>
        <w:spacing w:after="0" w:line="17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acquired intangible assets and property and equipment, fair value of financial instruments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3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global macroeconomic conditions, including slower economic growth, persistent inflation and a high interest rate environment, continue to impact demand and supply for a broad variety of goods and services, including demand from the Company’s customers.</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Significant Accounting Policies</w:t>
      </w:r>
    </w:p>
    <w:p>
      <w:pPr>
        <w:spacing w:after="0" w:line="173" w:lineRule="exact"/>
        <w:rPr>
          <w:sz w:val="20"/>
          <w:szCs w:val="20"/>
          <w:color w:val="auto"/>
        </w:rPr>
      </w:pPr>
    </w:p>
    <w:p>
      <w:pPr>
        <w:ind w:right="1600" w:firstLine="486"/>
        <w:spacing w:after="0" w:line="437" w:lineRule="auto"/>
        <w:rPr>
          <w:sz w:val="20"/>
          <w:szCs w:val="20"/>
          <w:color w:val="auto"/>
        </w:rPr>
      </w:pPr>
      <w:r>
        <w:rPr>
          <w:rFonts w:ascii="Times New Roman" w:cs="Times New Roman" w:eastAsia="Times New Roman" w:hAnsi="Times New Roman"/>
          <w:sz w:val="18"/>
          <w:szCs w:val="18"/>
          <w:color w:val="auto"/>
        </w:rPr>
        <w:t xml:space="preserve">There have been no changes to the Company’s significant accounting policies as described in the Company’s 2024 Form 10-K. </w:t>
      </w:r>
      <w:r>
        <w:rPr>
          <w:rFonts w:ascii="Times New Roman" w:cs="Times New Roman" w:eastAsia="Times New Roman" w:hAnsi="Times New Roman"/>
          <w:sz w:val="18"/>
          <w:szCs w:val="18"/>
          <w:i w:val="1"/>
          <w:iCs w:val="1"/>
          <w:color w:val="auto"/>
        </w:rPr>
        <w:t>Recently Issued Accounting Pronouncements</w:t>
      </w: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In November 2023, the FASB issued ASU 2023-07,</w:t>
      </w:r>
      <w:r>
        <w:rPr>
          <w:rFonts w:ascii="Times New Roman" w:cs="Times New Roman" w:eastAsia="Times New Roman" w:hAnsi="Times New Roman"/>
          <w:sz w:val="18"/>
          <w:szCs w:val="18"/>
          <w:i w:val="1"/>
          <w:iCs w:val="1"/>
          <w:color w:val="auto"/>
        </w:rPr>
        <w:t xml:space="preserve"> Segment Reporting </w:t>
      </w:r>
      <w:r>
        <w:rPr>
          <w:rFonts w:ascii="Times New Roman" w:cs="Times New Roman" w:eastAsia="Times New Roman" w:hAnsi="Times New Roman"/>
          <w:sz w:val="18"/>
          <w:szCs w:val="18"/>
          <w:color w:val="auto"/>
        </w:rPr>
        <w:t>(Topic 280):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to Reportable Segment Disclosures, which requires companies to provide disclosures of significant segment expenses and other segment items. The guidance requires companies to provide in interim periods all disclosures about a reportable segment’s profit or loss and assets that are currently required annually. The guidance is applied retrospectively and is effective for the Company for fiscal year ending January 31, 2025, and for interim periods beginning February 1, 2025. The Company is currently evaluating the impact of ASU 2023-07 on its consolidated financial statements.</w:t>
      </w:r>
    </w:p>
    <w:p>
      <w:pPr>
        <w:spacing w:after="0" w:line="1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Income Taxes </w:t>
      </w:r>
      <w:r>
        <w:rPr>
          <w:rFonts w:ascii="Times New Roman" w:cs="Times New Roman" w:eastAsia="Times New Roman" w:hAnsi="Times New Roman"/>
          <w:sz w:val="18"/>
          <w:szCs w:val="18"/>
          <w:color w:val="auto"/>
        </w:rPr>
        <w:t>(Topic 740): Improvements to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Disclosures, which requires companies 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(national), state and foreign taxes and to disaggregate the information by jurisdiction based on a quantitative threshold. The guidance is effective for the Company for the fiscal year ending January 31, 2026, and early adoption is permitted. The Company is currently evaluating the impact of ASU 2023-09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 and January 31, 2024 and indicate the fair value hierarchy of the valuation inputs utilized to determine such fair value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 as of July 31, 2024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9"/>
        </w:trPr>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51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790,418</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790,418</w:t>
            </w:r>
          </w:p>
        </w:tc>
      </w:tr>
      <w:tr>
        <w:trPr>
          <w:trHeight w:val="230"/>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973,933</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973,933</w:t>
            </w:r>
          </w:p>
        </w:tc>
      </w:tr>
      <w:tr>
        <w:trPr>
          <w:trHeight w:val="26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1,764,351</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1,764,351</w:t>
            </w: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4"/>
        </w:trPr>
        <w:tc>
          <w:tcPr>
            <w:tcW w:w="5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Fair Value Measurement as of January 31, 2024</w:t>
            </w:r>
          </w:p>
        </w:tc>
        <w:tc>
          <w:tcPr>
            <w:tcW w:w="1120" w:type="dxa"/>
            <w:vAlign w:val="bottom"/>
            <w:tcBorders>
              <w:bottom w:val="single" w:sz="8" w:color="auto"/>
            </w:tcBorders>
          </w:tcPr>
          <w:p>
            <w:pPr>
              <w:spacing w:after="0"/>
              <w:rPr>
                <w:sz w:val="24"/>
                <w:szCs w:val="24"/>
                <w:color w:val="auto"/>
              </w:rPr>
            </w:pPr>
          </w:p>
        </w:tc>
      </w:tr>
      <w:tr>
        <w:trPr>
          <w:trHeight w:val="219"/>
        </w:trPr>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512,456</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512,456</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1,212,448</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1,212,448</w:t>
            </w:r>
          </w:p>
        </w:tc>
      </w:tr>
      <w:tr>
        <w:trPr>
          <w:trHeight w:val="26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1,724,904</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1,724,904</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utilized the market approach and Level 1 valuation inputs to value its money market mutual funds and U.S. government treasury securities because published net asset values were readily available.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the Company’s short-term investments by remaining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 and January 31, 2024 (in thousands):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July 31, 2024</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January 31, 2024</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4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485,188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483,956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520,006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519,463</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Due after one year and within three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489,977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692,985</w:t>
            </w:r>
          </w:p>
        </w:tc>
        <w:tc>
          <w:tcPr>
            <w:tcW w:w="0" w:type="dxa"/>
            <w:vAlign w:val="bottom"/>
          </w:tcPr>
          <w:p>
            <w:pPr>
              <w:spacing w:after="0"/>
              <w:rPr>
                <w:sz w:val="1"/>
                <w:szCs w:val="1"/>
                <w:color w:val="auto"/>
              </w:rPr>
            </w:pPr>
          </w:p>
        </w:tc>
      </w:tr>
      <w:tr>
        <w:trPr>
          <w:trHeight w:val="223"/>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973,933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1,210,217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1,212,448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As of July 31, 2024, unrealized net losses on the Company’s U.S. government treasury securities were approximately $0.3 million. As of January 31, 2024, unrealized gains on the Company’s U.S. government treasury securities were approximately $2.2 million. These unrealized gains and losses were caused by fluctuations in interest rates, which results in changes to the market value of these securities. Because the decline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July 31, 2024. Gross realized gains and losses were not material for each of the three and six months ended July 31, 2024 and 2023. There were no material short-term investments in a continuous loss position for greater than twelve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Convertible Senior Notes and Capped Calls</w:t>
      </w:r>
    </w:p>
    <w:p>
      <w:pPr>
        <w:spacing w:after="0" w:line="173"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outstanding convertible senior notes on a quarterly basis for disclosure purposes. The Company considers the fair value of its convertible senior notes as of July 31, 2024 to be a Level 2 measurement due to limited trading activity of the convertible senior notes.</w:t>
      </w:r>
    </w:p>
    <w:p>
      <w:pPr>
        <w:spacing w:after="0" w:line="12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fair value measurements for the derivative asset related to the Capped Calls associated with the 2024 Notes (as defined herein) are determined using the Black-Scholes option-pricing model with Level 1 and Level 2 inputs. The derivative asset recognized during the three months ended April 30, 2024 was cash settled in June 2024.</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for further details on the convertible senior notes and Capped Calls.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Non-marketable Securities</w:t>
      </w:r>
    </w:p>
    <w:p>
      <w:pPr>
        <w:spacing w:after="0" w:line="173" w:lineRule="exact"/>
        <w:rPr>
          <w:sz w:val="20"/>
          <w:szCs w:val="20"/>
          <w:color w:val="auto"/>
        </w:rPr>
      </w:pPr>
    </w:p>
    <w:p>
      <w:pPr>
        <w:ind w:right="160" w:firstLine="486"/>
        <w:spacing w:after="0" w:line="276" w:lineRule="auto"/>
        <w:rPr>
          <w:sz w:val="20"/>
          <w:szCs w:val="20"/>
          <w:color w:val="auto"/>
        </w:rPr>
      </w:pPr>
      <w:r>
        <w:rPr>
          <w:rFonts w:ascii="Times New Roman" w:cs="Times New Roman" w:eastAsia="Times New Roman" w:hAnsi="Times New Roman"/>
          <w:sz w:val="17"/>
          <w:szCs w:val="17"/>
          <w:color w:val="auto"/>
        </w:rPr>
        <w:t>As of July 31, 2024 and January 31, 2024, the total amount of non-marketable equity and debt securities included in other assets on the Company’s condensed consolidated balance sheets was $18.4 million and $12.9 million, respectively. The Company invested an additional $5.5 million and</w:t>
      </w:r>
    </w:p>
    <w:p>
      <w:pPr>
        <w:spacing w:after="0" w:line="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 xml:space="preserve">$2.1 million of its cash in non-marketable equity securities during the six months ended July 31, 2024 and 2023, respectively. The Company recognized immaterial net unrealized losses on certain of these non-marketable securities during the three and six months ended July 31, 2024. During the three months ended July 31, 2023 the Company recognized a net unrealized loss of $0.9 million and a net unrealized gain of $1.3 million during the six months ended July 31, 2023. Refer to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in the Notes to Consolidated Financial Statements included in Part II, Item 8 of the Company’s 2024 Form 10-K for further information. The Company considers these assets as Level 3 within the fair value hierarchy when an impairment or observable price changes in orderly transactions are recognized on these non-marketable securities during the period.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during the periods presented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January 31, 2024</w:t>
            </w:r>
          </w:p>
        </w:tc>
      </w:tr>
      <w:tr>
        <w:trPr>
          <w:trHeight w:val="22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40" w:type="dxa"/>
            <w:vAlign w:val="bottom"/>
            <w:shd w:val="clear" w:color="auto" w:fill="CCEEFF"/>
          </w:tcPr>
          <w:p>
            <w:pPr>
              <w:jc w:val="right"/>
              <w:ind w:right="18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57,779</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goodwill related to business combinations</w:t>
            </w:r>
          </w:p>
        </w:tc>
        <w:tc>
          <w:tcPr>
            <w:tcW w:w="20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40" w:type="dxa"/>
            <w:vAlign w:val="bottom"/>
            <w:tcBorders>
              <w:top w:val="single" w:sz="8" w:color="auto"/>
              <w:bottom w:val="single" w:sz="8" w:color="auto"/>
            </w:tcBorders>
            <w:shd w:val="clear" w:color="auto" w:fill="CCEEFF"/>
          </w:tcPr>
          <w:p>
            <w:pPr>
              <w:jc w:val="right"/>
              <w:ind w:right="18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 administrative expenses in the condensed consolidated statements of operations. The business combination did not have a material impact on the Company’s condensed consolidated financial statements.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the Company’s intangible assets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0" w:type="dxa"/>
            <w:vAlign w:val="bottom"/>
          </w:tcPr>
          <w:p>
            <w:pPr>
              <w:spacing w:after="0"/>
              <w:rPr>
                <w:sz w:val="11"/>
                <w:szCs w:val="11"/>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1"/>
                <w:szCs w:val="11"/>
                <w:color w:val="auto"/>
              </w:rPr>
            </w:pP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3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0" w:type="dxa"/>
            <w:vAlign w:val="bottom"/>
          </w:tcPr>
          <w:p>
            <w:pPr>
              <w:spacing w:after="0"/>
              <w:rPr>
                <w:sz w:val="11"/>
                <w:szCs w:val="11"/>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1"/>
                <w:szCs w:val="11"/>
                <w:color w:val="auto"/>
              </w:rPr>
            </w:pP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Acquired intangible assets are amortized on a straight-line basis. Amortization expense of intangible assets was $0.1 million and $2.8 million for the three and six months ended July 31, 2024, respectively, and $2.3 million and $4.6 million for the three and six months ended July 31, 2023, respectively. Amortization expense for developed technology was included as research and development expense in the Company’s interim condensed consolidated statements of operations. Amortization expense for customer relationships was included as sales and marketing expense in the Company’s interim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July 31, 2024, future amortization expense related to the intangible assets is as follows (in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January 31,</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0"/>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Convertible Senior Notes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amounts of the Company’s 2026 Notes (as defined herein) were as follows for the periods presented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40" w:type="dxa"/>
            <w:vAlign w:val="bottom"/>
          </w:tcPr>
          <w:p>
            <w:pPr>
              <w:spacing w:after="0"/>
              <w:rPr>
                <w:sz w:val="16"/>
                <w:szCs w:val="16"/>
                <w:color w:val="auto"/>
              </w:rPr>
            </w:pP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3"/>
        </w:trPr>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1,149,972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1,149,972</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48"/>
        </w:trPr>
        <w:tc>
          <w:tcPr>
            <w:tcW w:w="7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1,144,977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1,143,273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of July 31, 2024, the estimated fair value (Level 2) of the outstanding 2026 Notes, which is utilized solely for disclosure purposes, was approximately $1.5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spacing w:after="0" w:line="12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 billion.</w:t>
      </w:r>
    </w:p>
    <w:p>
      <w:pPr>
        <w:spacing w:after="0" w:line="131"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2024 Form 10-K for further information on the 2026 Notes.</w:t>
      </w:r>
    </w:p>
    <w:p>
      <w:pPr>
        <w:spacing w:after="0" w:line="106"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July 31, 2024, the conditional conversion feature of the 2026 Notes was not triggered as the last reported sale price of the Company's common stock was not more than or equal to 130% of the conversion price for at least 20 trading days in the period of 30 consecutive trading days and therefore the 2026 Notes are not convertible, in whole or in part, from August 1, 2024 through October 31, 2024. Whether the 2026 Notes will be convertible following such period will depend on the satisfaction of this condition or another conversion condition in the future.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issuance of the Company’s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April 2024, the Company elected cash settlement for the Capped Calls associated with the 2024 Notes. The settlement period of the Capped Calls associated with the 2024 Notes ranges between April 2024 and June 2024 with cash receipt in June 2024. Upon the cash settlement election, the instrument, initially indexed to the Company’s own stock, no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longer met the criteria for equity classification and was reclassified from stockholder’s equity to assets on the Company’s condensed consolidated balance sheet. The reclassification resulted in the recognition of a derivative asset, with an estimated fair value at cash settlement election date of $169.7 million, with a corresponding increase in additional paid in capital, which is reflected as a noncash financing activity for the three months ended April 30, 2024. The derivative asset was included in prepaid expenses and other current assets on the Company’s condensed consolidated balance sheet. The fair value of the derivative instrument as of April 30, 2024, was $170.2 million and as a result the Company recognized an unrealized gain of $0.5 million, which was recorded in other income (expense), net, on the Company’s interim condensed consolidated statement of operations. The fair values of the derivative asset related to the Capped Calls associated with the 2024 Notes were determined using the Black-Scholes option-pricing model with significant inputs being the Company’s share price and the risk free rate, based on the Secured Overnight Offering Rate, at each valuation date. The impact of volatility was not significant on the fair value measurements. In June 2024, the derivative asset was settled and the Company received $170.6 million in cash and recognized a realized gain of $0.9 million for the three and six months ended July 31, 2024, which was recorded in other income (expense), net, on the Company’s interim condensed consolidated statement of operations.</w:t>
      </w:r>
    </w:p>
    <w:p>
      <w:pPr>
        <w:spacing w:after="0" w:line="13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these Capped Calls through July 31, 2024.</w:t>
      </w:r>
    </w:p>
    <w:p>
      <w:pPr>
        <w:spacing w:after="0" w:line="120" w:lineRule="exact"/>
        <w:rPr>
          <w:sz w:val="20"/>
          <w:szCs w:val="20"/>
          <w:color w:val="auto"/>
        </w:rPr>
      </w:pPr>
    </w:p>
    <w:p>
      <w:pPr>
        <w:ind w:right="38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2024 Form 10-K for further information on the Capped Calls and the 2024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Lease Costs</w:t>
      </w:r>
    </w:p>
    <w:p>
      <w:pPr>
        <w:spacing w:after="0" w:line="173"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the Company’s lease costs included in its interim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6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5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5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11,669</w:t>
            </w:r>
          </w:p>
        </w:tc>
      </w:tr>
      <w:tr>
        <w:trPr>
          <w:trHeight w:val="20"/>
        </w:trPr>
        <w:tc>
          <w:tcPr>
            <w:tcW w:w="4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Balance Sheet Components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of the Company’s finance and operating leases were recorded on the condensed consolidated balance sheets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7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3"/>
        </w:trPr>
        <w:tc>
          <w:tcPr>
            <w:tcW w:w="6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80" w:type="dxa"/>
            <w:vAlign w:val="bottom"/>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 current</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37,511</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80" w:type="dxa"/>
            <w:vAlign w:val="bottom"/>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37,365</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r>
      <w:tr>
        <w:trPr>
          <w:trHeight w:val="234"/>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7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Maturities of Lease Liabilities</w:t>
      </w:r>
    </w:p>
    <w:p>
      <w:pPr>
        <w:spacing w:after="0" w:line="17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finance and operating leases on an annual undiscounted cash flow basis as of July 31,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40" w:type="dxa"/>
            <w:vAlign w:val="bottom"/>
          </w:tcPr>
          <w:p>
            <w:pPr>
              <w:spacing w:after="0"/>
              <w:rPr>
                <w:sz w:val="16"/>
                <w:szCs w:val="16"/>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7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Remainder of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0" w:type="dxa"/>
            <w:vAlign w:val="bottom"/>
          </w:tcPr>
          <w:p>
            <w:pPr>
              <w:spacing w:after="0"/>
              <w:rPr>
                <w:sz w:val="1"/>
                <w:szCs w:val="1"/>
                <w:color w:val="auto"/>
              </w:rPr>
            </w:pPr>
          </w:p>
        </w:tc>
      </w:tr>
      <w:tr>
        <w:trPr>
          <w:trHeight w:val="230"/>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0" w:type="dxa"/>
            <w:vAlign w:val="bottom"/>
          </w:tcPr>
          <w:p>
            <w:pPr>
              <w:spacing w:after="0"/>
              <w:rPr>
                <w:sz w:val="1"/>
                <w:szCs w:val="1"/>
                <w:color w:val="auto"/>
              </w:rPr>
            </w:pPr>
          </w:p>
        </w:tc>
      </w:tr>
      <w:tr>
        <w:trPr>
          <w:trHeight w:val="229"/>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84"/>
        </w:trPr>
        <w:tc>
          <w:tcPr>
            <w:tcW w:w="75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0" w:type="dxa"/>
            <w:vAlign w:val="bottom"/>
          </w:tcPr>
          <w:p>
            <w:pPr>
              <w:spacing w:after="0"/>
              <w:rPr>
                <w:sz w:val="1"/>
                <w:szCs w:val="1"/>
                <w:color w:val="auto"/>
              </w:rPr>
            </w:pPr>
          </w:p>
        </w:tc>
      </w:tr>
      <w:tr>
        <w:trPr>
          <w:trHeight w:val="67"/>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Non-cancelable Material Commitments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During the six months ended July 31, 2024, other than certain non-cancelable operating leases described in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w:t>
      </w:r>
    </w:p>
    <w:p>
      <w:pPr>
        <w:spacing w:after="0" w:line="18"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material changes outside the ordinary course of business to the Company’s contractual obligations and commitments from those disclosed in the 2024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Legal Matters</w:t>
      </w:r>
    </w:p>
    <w:p>
      <w:pPr>
        <w:spacing w:after="0" w:line="173"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Baxter v. MongoDB, Inc., et al., was filed in the United States District Court for the Southern District of New York against MongoDB, CEO Dev Ittycheria, and CFO Michael Gordon. The lawsuit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August 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2023 and May 30, 2024. It seeks unspecified monetary damages, costs and attorneys’ fees, and other unspecified relief. The Company intends to vigorously defend themself in this matter.</w:t>
      </w:r>
    </w:p>
    <w:p>
      <w:pPr>
        <w:spacing w:after="0" w:line="10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Although claims and litigation are inherently unpredictable, as of July 31, 2024,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Indemnification</w:t>
      </w:r>
    </w:p>
    <w:p>
      <w:pPr>
        <w:spacing w:after="0" w:line="173"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3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Disaggregation of Revenue</w:t>
      </w:r>
    </w:p>
    <w:p>
      <w:pPr>
        <w:spacing w:after="0" w:line="17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Based on the information provided to and reviewed by the Company’s Chief Executive Officer,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129" w:lineRule="exact"/>
        <w:rPr>
          <w:sz w:val="20"/>
          <w:szCs w:val="20"/>
          <w:color w:val="auto"/>
        </w:rPr>
      </w:pPr>
    </w:p>
    <w:p>
      <w:pPr>
        <w:ind w:right="14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primary geographical markets, subscription product categories and services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340" w:type="dxa"/>
            <w:vAlign w:val="bottom"/>
          </w:tcPr>
          <w:p>
            <w:pPr>
              <w:spacing w:after="0"/>
              <w:rPr>
                <w:sz w:val="18"/>
                <w:szCs w:val="18"/>
                <w:color w:val="auto"/>
              </w:rPr>
            </w:pPr>
          </w:p>
        </w:tc>
        <w:tc>
          <w:tcPr>
            <w:tcW w:w="268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211"/>
        </w:trPr>
        <w:tc>
          <w:tcPr>
            <w:tcW w:w="50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2"/>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284,789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253,485</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556,882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475,831</w:t>
            </w: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260,120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218,569</w:t>
            </w:r>
          </w:p>
        </w:tc>
      </w:tr>
      <w:tr>
        <w:trPr>
          <w:trHeight w:val="283"/>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97,671</w:t>
            </w:r>
          </w:p>
        </w:tc>
      </w:tr>
      <w:tr>
        <w:trPr>
          <w:trHeight w:val="288"/>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423,791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product categories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MongoDB Atlas-related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339,683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267,258</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653,538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505,014</w:t>
            </w: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subscription</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259,034</w:t>
            </w:r>
          </w:p>
        </w:tc>
      </w:tr>
      <w:tr>
        <w:trPr>
          <w:trHeight w:val="283"/>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28,023</w:t>
            </w:r>
          </w:p>
        </w:tc>
      </w:tr>
      <w:tr>
        <w:trPr>
          <w:trHeight w:val="289"/>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423,791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60" w:firstLine="486"/>
        <w:spacing w:after="0" w:line="282" w:lineRule="auto"/>
        <w:rPr>
          <w:sz w:val="20"/>
          <w:szCs w:val="20"/>
          <w:color w:val="auto"/>
        </w:rPr>
      </w:pPr>
      <w:r>
        <w:rPr>
          <w:rFonts w:ascii="Times New Roman" w:cs="Times New Roman" w:eastAsia="Times New Roman" w:hAnsi="Times New Roman"/>
          <w:sz w:val="18"/>
          <w:szCs w:val="18"/>
          <w:color w:val="auto"/>
        </w:rPr>
        <w:t>Customers located in the United States accounted for 53% of total revenue for both the three and six months ended July 31, 2024, and 53% and 54% three and six months ended July 31, 2023, respectively. No other country accounted for 10% or more of revenue for the periods presented.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Contract Liabilities</w:t>
      </w:r>
    </w:p>
    <w:p>
      <w:pPr>
        <w:spacing w:after="0" w:line="17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Company’s contract liabilities are recorded as deferred revenue in the Company’s condensed consolidated balance sheets and consist of customer invoices issued or payments received in advance of revenues being recognized from the Company’s subscription and services contracts. Deferred revenue, including current and non-current balances, as of July 31, 2024 and January 31, 2024 was $322.7 million and $377.4 million, respectively. Approximately 27% and 37% of the total revenue recognized for the six months ended July 31, 2024 and 2023, respectively, was from deferred revenue at the beginning of each respective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Remaining Performance Obligations</w:t>
      </w:r>
    </w:p>
    <w:p>
      <w:pPr>
        <w:spacing w:after="0" w:line="17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July 31, 2024, the aggregate transaction price allocated to remaining performance obligations was $694.0 million. Approximately 58%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Unbilled Receivables</w:t>
      </w:r>
    </w:p>
    <w:p>
      <w:pPr>
        <w:spacing w:after="0" w:line="173"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July 31, 2024 and January 31, 2024, unbilled receivables were $17.7 million and $22.7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Allowance for Doubtful Accounts</w:t>
      </w:r>
    </w:p>
    <w:p>
      <w:pPr>
        <w:spacing w:after="0" w:line="17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r>
      <w:tr>
        <w:trPr>
          <w:trHeight w:val="23"/>
        </w:trPr>
        <w:tc>
          <w:tcPr>
            <w:tcW w:w="7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shd w:val="clear" w:color="auto" w:fill="CCEEFF"/>
          </w:tcPr>
          <w:p>
            <w:pPr>
              <w:jc w:val="center"/>
              <w:ind w:left="2734"/>
              <w:spacing w:after="0"/>
              <w:rPr>
                <w:sz w:val="20"/>
                <w:szCs w:val="20"/>
                <w:color w:val="auto"/>
              </w:rPr>
            </w:pPr>
            <w:r>
              <w:rPr>
                <w:rFonts w:ascii="Times New Roman" w:cs="Times New Roman" w:eastAsia="Times New Roman" w:hAnsi="Times New Roman"/>
                <w:sz w:val="18"/>
                <w:szCs w:val="18"/>
                <w:color w:val="auto"/>
                <w:w w:val="98"/>
              </w:rPr>
              <w:t>8,054</w:t>
            </w: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Pr>
          <w:p>
            <w:pPr>
              <w:spacing w:after="0"/>
              <w:rPr>
                <w:sz w:val="19"/>
                <w:szCs w:val="19"/>
                <w:color w:val="auto"/>
              </w:rPr>
            </w:pPr>
          </w:p>
        </w:tc>
        <w:tc>
          <w:tcPr>
            <w:tcW w:w="3380" w:type="dxa"/>
            <w:vAlign w:val="bottom"/>
          </w:tcPr>
          <w:p>
            <w:pPr>
              <w:jc w:val="center"/>
              <w:ind w:left="2734"/>
              <w:spacing w:after="0"/>
              <w:rPr>
                <w:sz w:val="20"/>
                <w:szCs w:val="20"/>
                <w:color w:val="auto"/>
              </w:rPr>
            </w:pPr>
            <w:r>
              <w:rPr>
                <w:rFonts w:ascii="Times New Roman" w:cs="Times New Roman" w:eastAsia="Times New Roman" w:hAnsi="Times New Roman"/>
                <w:sz w:val="18"/>
                <w:szCs w:val="18"/>
                <w:color w:val="auto"/>
                <w:w w:val="98"/>
              </w:rPr>
              <w:t>3,853</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Recoveries/write-offs</w:t>
            </w:r>
          </w:p>
        </w:tc>
        <w:tc>
          <w:tcPr>
            <w:tcW w:w="52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center"/>
              <w:ind w:left="2714"/>
              <w:spacing w:after="0"/>
              <w:rPr>
                <w:sz w:val="20"/>
                <w:szCs w:val="20"/>
                <w:color w:val="auto"/>
              </w:rPr>
            </w:pPr>
            <w:r>
              <w:rPr>
                <w:rFonts w:ascii="Times New Roman" w:cs="Times New Roman" w:eastAsia="Times New Roman" w:hAnsi="Times New Roman"/>
                <w:sz w:val="18"/>
                <w:szCs w:val="18"/>
                <w:color w:val="auto"/>
              </w:rPr>
              <w:t>(4,028)</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tcBorders>
              <w:bottom w:val="single" w:sz="8" w:color="auto"/>
            </w:tcBorders>
          </w:tcPr>
          <w:p>
            <w:pPr>
              <w:jc w:val="center"/>
              <w:ind w:left="2734"/>
              <w:spacing w:after="0"/>
              <w:rPr>
                <w:sz w:val="20"/>
                <w:szCs w:val="20"/>
                <w:color w:val="auto"/>
              </w:rPr>
            </w:pPr>
            <w:r>
              <w:rPr>
                <w:rFonts w:ascii="Times New Roman" w:cs="Times New Roman" w:eastAsia="Times New Roman" w:hAnsi="Times New Roman"/>
                <w:sz w:val="18"/>
                <w:szCs w:val="18"/>
                <w:color w:val="auto"/>
                <w:w w:val="98"/>
              </w:rPr>
              <w:t>7,879</w:t>
            </w:r>
          </w:p>
        </w:tc>
      </w:tr>
      <w:tr>
        <w:trPr>
          <w:trHeight w:val="20"/>
        </w:trPr>
        <w:tc>
          <w:tcPr>
            <w:tcW w:w="7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in allowance for doubtful accounts as of July 31, 2024 was primarily driven by the increased collections during the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Costs Capitalized to Obtain Contracts with Customers</w:t>
      </w:r>
    </w:p>
    <w:p>
      <w:pPr>
        <w:spacing w:after="0" w:line="173"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Deferred commissions were $314.2 million and $294.2 million as of July 31, 2024 and January 31, 2024, respectively, of which $216.6 million and $201.7 million comprised the non-current portion and was included in other assets on the Company’s consolidated balance sheets as of July 31, 2024 and January 31, 2024, respectively. Amortization expense with respect to deferred commissions, which is included in sales and marketing expense in the Company’s interim condensed consolidated statements of operations, was $27.2 million and $53.6 million for the three and six months ended July 31, 2024, respectively, and $24.0 million and $47.6 million for the three and six months ended July 31, 2023, respectively. There was no impairment loss in relation to the costs capitalized for the periods presented.</w:t>
      </w:r>
    </w:p>
    <w:p>
      <w:pPr>
        <w:spacing w:after="0" w:line="210" w:lineRule="exact"/>
        <w:rPr>
          <w:sz w:val="20"/>
          <w:szCs w:val="20"/>
          <w:color w:val="auto"/>
        </w:rPr>
      </w:pPr>
    </w:p>
    <w:p>
      <w:pPr>
        <w:ind w:right="6560" w:firstLine="8"/>
        <w:spacing w:after="0" w:line="44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Incentive Plans and Employee Stock Purchase Plan </w:t>
      </w:r>
      <w:r>
        <w:rPr>
          <w:rFonts w:ascii="Times New Roman" w:cs="Times New Roman" w:eastAsia="Times New Roman" w:hAnsi="Times New Roman"/>
          <w:sz w:val="18"/>
          <w:szCs w:val="18"/>
          <w:b w:val="1"/>
          <w:bCs w:val="1"/>
          <w:color w:val="2C2C2C"/>
        </w:rPr>
        <w:t>Equity Incentive Plan</w:t>
      </w:r>
    </w:p>
    <w:p>
      <w:pPr>
        <w:spacing w:after="0" w:line="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and other stock-based awards. With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Stock Options</w:t>
      </w:r>
    </w:p>
    <w:p>
      <w:pPr>
        <w:spacing w:after="0" w:line="17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incentive stock options to eligible employees and non-statutory stock options to eligible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six months ended July 31, 2024.</w:t>
      </w:r>
    </w:p>
    <w:p>
      <w:pPr>
        <w:spacing w:after="0" w:line="126"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July 31, 2024 (in thousands, except share and per share data and years):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64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Balance - January 31, 2024</w:t>
            </w: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835,623</w:t>
            </w:r>
          </w:p>
        </w:tc>
        <w:tc>
          <w:tcPr>
            <w:tcW w:w="152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327,884</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(174,571)</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 forfeited and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 July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661,052</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Vested and exercisable - January 31, 2024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835,623</w:t>
            </w:r>
          </w:p>
        </w:tc>
        <w:tc>
          <w:tcPr>
            <w:tcW w:w="1520" w:type="dxa"/>
            <w:vAlign w:val="bottom"/>
            <w:gridSpan w:val="2"/>
          </w:tcPr>
          <w:p>
            <w:pPr>
              <w:jc w:val="right"/>
              <w:ind w:right="122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327,884</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and exercisable - July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661,052</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Restricted Stock Units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RSUs to eligible employees, directors and consultants. RSUs granted to new employees generally vest over a period of four years with 25% vesting on the one-year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for the six months ended July 31,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3"/>
        </w:trPr>
        <w:tc>
          <w:tcPr>
            <w:tcW w:w="75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0" w:type="dxa"/>
            <w:vAlign w:val="bottom"/>
          </w:tcPr>
          <w:p>
            <w:pPr>
              <w:spacing w:after="0"/>
              <w:rPr>
                <w:sz w:val="1"/>
                <w:szCs w:val="1"/>
                <w:color w:val="auto"/>
              </w:rPr>
            </w:pPr>
          </w:p>
        </w:tc>
      </w:tr>
      <w:tr>
        <w:trPr>
          <w:trHeight w:val="37"/>
        </w:trPr>
        <w:tc>
          <w:tcPr>
            <w:tcW w:w="7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Unvested - January 31, 2024</w:t>
            </w: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40" w:type="dxa"/>
            <w:vAlign w:val="bottom"/>
            <w:vMerge w:val="continue"/>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3,566,406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0" w:type="dxa"/>
            <w:vAlign w:val="bottom"/>
          </w:tcPr>
          <w:p>
            <w:pPr>
              <w:spacing w:after="0"/>
              <w:rPr>
                <w:sz w:val="1"/>
                <w:szCs w:val="1"/>
                <w:color w:val="auto"/>
              </w:rPr>
            </w:pPr>
          </w:p>
        </w:tc>
      </w:tr>
      <w:tr>
        <w:trPr>
          <w:trHeight w:val="27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forfeited and canceled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294.86</w:t>
            </w:r>
          </w:p>
        </w:tc>
        <w:tc>
          <w:tcPr>
            <w:tcW w:w="0" w:type="dxa"/>
            <w:vAlign w:val="bottom"/>
          </w:tcPr>
          <w:p>
            <w:pPr>
              <w:spacing w:after="0"/>
              <w:rPr>
                <w:sz w:val="1"/>
                <w:szCs w:val="1"/>
                <w:color w:val="auto"/>
              </w:rPr>
            </w:pPr>
          </w:p>
        </w:tc>
      </w:tr>
      <w:tr>
        <w:trPr>
          <w:trHeight w:val="223"/>
        </w:trPr>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 July 31, 2024</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3,710,345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302.98</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2017 Employee Stock Purchase Plan</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In June 2024, the Company issued 96,603 shares of its common stock under the 2017 ESPP. The Company’s current offering period began on June 17, 2024 and is expected to end December 16,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Stock-Based Compensation Expense</w:t>
      </w:r>
    </w:p>
    <w:p>
      <w:pPr>
        <w:spacing w:after="0" w:line="17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Company’s interim condensed consolidated statements of operations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tcPr>
          <w:p>
            <w:pPr>
              <w:spacing w:after="0"/>
              <w:rPr>
                <w:sz w:val="16"/>
                <w:szCs w:val="16"/>
                <w:color w:val="auto"/>
              </w:rPr>
            </w:pPr>
          </w:p>
        </w:tc>
        <w:tc>
          <w:tcPr>
            <w:tcW w:w="25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revenue—subscription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revenue—services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r>
      <w:tr>
        <w:trPr>
          <w:trHeight w:val="270"/>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77,982</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92,479</w:t>
            </w:r>
          </w:p>
        </w:tc>
      </w:tr>
      <w:tr>
        <w:trPr>
          <w:trHeight w:val="283"/>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r>
      <w:tr>
        <w:trPr>
          <w:trHeight w:val="263"/>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122,423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113,312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217,267</w:t>
            </w:r>
          </w:p>
        </w:tc>
      </w:tr>
      <w:tr>
        <w:trPr>
          <w:trHeight w:val="21"/>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25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3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(37,597)</w:t>
            </w:r>
          </w:p>
        </w:tc>
        <w:tc>
          <w:tcPr>
            <w:tcW w:w="12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(135,122)</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(91,843)</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73,543,427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70,874,117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73,269,824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70,531,581</w:t>
            </w:r>
          </w:p>
        </w:tc>
        <w:tc>
          <w:tcPr>
            <w:tcW w:w="0" w:type="dxa"/>
            <w:vAlign w:val="bottom"/>
          </w:tcPr>
          <w:p>
            <w:pPr>
              <w:spacing w:after="0"/>
              <w:rPr>
                <w:sz w:val="1"/>
                <w:szCs w:val="1"/>
                <w:color w:val="auto"/>
              </w:rPr>
            </w:pPr>
          </w:p>
        </w:tc>
      </w:tr>
      <w:tr>
        <w:trPr>
          <w:trHeight w:val="67"/>
        </w:trPr>
        <w:tc>
          <w:tcPr>
            <w:tcW w:w="53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1"/>
                <w:szCs w:val="21"/>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67"/>
        </w:trPr>
        <w:tc>
          <w:tcPr>
            <w:tcW w:w="53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In June 2024 the related derivative was settled and the Capped Calls associated with the 2024 Notes were successfully unwound, 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88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2016 Equity Incentive Plan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323,985</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448,447</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337,310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476,450</w:t>
            </w:r>
          </w:p>
        </w:tc>
      </w:tr>
      <w:tr>
        <w:trPr>
          <w:trHeight w:val="270"/>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2008 Stock Incentive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362,121</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988,792</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378,588</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1,070,891</w:t>
            </w:r>
          </w:p>
        </w:tc>
      </w:tr>
      <w:tr>
        <w:trPr>
          <w:trHeight w:val="270"/>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3,985,680</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4,498,170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3,909,360</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4,276,548</w:t>
            </w:r>
          </w:p>
        </w:tc>
      </w:tr>
      <w:tr>
        <w:trPr>
          <w:trHeight w:val="270"/>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Unvested executive PSUs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173,085</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254,321</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187,271</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254,321</w:t>
            </w:r>
          </w:p>
        </w:tc>
      </w:tr>
      <w:tr>
        <w:trPr>
          <w:trHeight w:val="270"/>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underlying the conversion option of the 2026 Notes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5,445,002</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5,445,002</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5,445,002</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5,445,002</w:t>
            </w:r>
          </w:p>
        </w:tc>
      </w:tr>
      <w:tr>
        <w:trPr>
          <w:trHeight w:val="223"/>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10,289,873</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11,634,732</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10,257,531</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11,523,212</w:t>
            </w:r>
          </w:p>
        </w:tc>
      </w:tr>
      <w:tr>
        <w:trPr>
          <w:trHeight w:val="20"/>
        </w:trPr>
        <w:tc>
          <w:tcPr>
            <w:tcW w:w="5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recorded a provision for income taxes of $3.9 million and $6.5 million for the three and six months ended July 31, 2024, respectively, and $3.6 million and $6.1 million for the three and six months ended July 31, 2023, respectively. The provisions recorded during each of the three and six months ended July 31, 2024 and 2023 were driven by the increase in global income and the associated foreign taxes as the Company continues its global expansion. The calculation of income taxes was based upon the estimated annual effective tax rates for the year applied to the jurisdictional mix of current period loss before tax plus the tax effect of any significant unusual items, discrete events or changes in tax law.</w:t>
      </w:r>
    </w:p>
    <w:p>
      <w:pPr>
        <w:spacing w:after="0" w:line="129" w:lineRule="exact"/>
        <w:rPr>
          <w:sz w:val="20"/>
          <w:szCs w:val="20"/>
          <w:color w:val="auto"/>
        </w:rPr>
      </w:pPr>
    </w:p>
    <w:p>
      <w:pPr>
        <w:ind w:right="400" w:firstLine="486"/>
        <w:spacing w:after="0" w:line="258"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spacing w:after="0" w:line="127" w:lineRule="exact"/>
        <w:rPr>
          <w:sz w:val="20"/>
          <w:szCs w:val="20"/>
          <w:color w:val="auto"/>
        </w:rPr>
      </w:pPr>
    </w:p>
    <w:p>
      <w:pPr>
        <w:ind w:right="3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assesses uncertain tax positions in accordance with ASC 740-10, </w:t>
      </w:r>
      <w:r>
        <w:rPr>
          <w:rFonts w:ascii="Times New Roman" w:cs="Times New Roman" w:eastAsia="Times New Roman" w:hAnsi="Times New Roman"/>
          <w:sz w:val="18"/>
          <w:szCs w:val="18"/>
          <w:i w:val="1"/>
          <w:iCs w:val="1"/>
          <w:color w:val="auto"/>
        </w:rPr>
        <w:t>Accounting for Uncertainties in Tax</w:t>
      </w:r>
      <w:r>
        <w:rPr>
          <w:rFonts w:ascii="Times New Roman" w:cs="Times New Roman" w:eastAsia="Times New Roman" w:hAnsi="Times New Roman"/>
          <w:sz w:val="18"/>
          <w:szCs w:val="18"/>
          <w:color w:val="auto"/>
        </w:rPr>
        <w:t>. As of January 31, 2024, the Company’s net unrecognized tax benefits totaled $81.6 million, $0.7 million of which would have an impact on the Company’s effective tax rate if recognized.</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published Pillar Two Model Rules defining a global minimum tax, which calls for the taxation of large corporations at a minimum rate of 15%. The OECD has since issued administrative guidance providing transition and safe harbor rules around the implementation of the Pillar Two global minimum tax. In the first quarter of the Company’s fiscal year ending January 31, 2025, enacted Pillar Two legislation of a number of countries became effective. Pillar Two did not have a significant impact on the Company’s condensed consolidated financial statements for the six months ended July 31, 2024. While the Company is monitoring developments and evaluating the potential impact on future periods, the Company does not expect Pillar Two to have a significant impact on its consolidated financial statements for the fiscal year ending January 31, 2025.</w:t>
      </w:r>
    </w:p>
    <w:p>
      <w:pPr>
        <w:spacing w:after="0" w:line="135"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900" w:right="640" w:hanging="850"/>
        <w:spacing w:after="0" w:line="275"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95"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2024 (the “2024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1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34"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corporate website is located at </w:t>
      </w:r>
      <w:r>
        <w:rPr>
          <w:rFonts w:ascii="Times New Roman" w:cs="Times New Roman" w:eastAsia="Times New Roman" w:hAnsi="Times New Roman"/>
          <w:sz w:val="18"/>
          <w:szCs w:val="18"/>
          <w:i w:val="1"/>
          <w:iCs w:val="1"/>
          <w:color w:val="auto"/>
        </w:rPr>
        <w:t>www.mongodb.com</w:t>
      </w:r>
      <w:r>
        <w:rPr>
          <w:rFonts w:ascii="Times New Roman" w:cs="Times New Roman" w:eastAsia="Times New Roman" w:hAnsi="Times New Roman"/>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and application-driven analytics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5,360 as of July 31, 2024, from 4,626 as of July 31, 2023.</w:t>
      </w:r>
    </w:p>
    <w:p>
      <w:pPr>
        <w:spacing w:after="0" w:line="13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sales of subscriptions, which accounted for 97% of our total revenue for the three and six months ended July 31, 2024 and 97% and 96% for the three and six months ended July 31, 2023,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MongoDB Atlas is our hosted multi-cloud database-as-a-service (“DBaaS”) offering, which we run and manage in the cloud, and includes comprehensive infrastructure and management, as well as a host of additional features, such as MongoDB Atlas Search, vector search, time series and application-driven analytics. During the three and six months ended July 31, 2024, MongoDB Atlas revenue represented 71% and 70%, respectively, as compared to 63% and 64% of our total revenue during the three and six months ended July 31, 2023, respectively, reflecting the continued growth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spacing w:after="0" w:line="134"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MongoDB Enterprise Advanced is our proprietary commercial database server offering for enterprise customers that can run in the cloud, on-premises or in a hybrid environment. MongoDB Enterprise Advanced revenue represented 24% of our subscription revenue for both the three and six months ended July 31, 2024 and 26% for both the three and six months ended July 31, 2023.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1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500 million times since February 2009.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38"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also generate revenue from services, which consist primarily of fees associated with consulting and training services. Revenue from services accounted for 3% of our total revenue for both the three and six months ended July 31, 2024 and 3% and 4% for the three and six months ended July 31, 2023,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2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believe the market for our offerings is large and growing. According to IDC, the worldwide database software market, which it refers to as the Database Management Software market, was $93 billion in 2023 growing to approximately $170 billion in 2028. This represents a 13% compound annual growth rate.</w:t>
      </w:r>
    </w:p>
    <w:p>
      <w:pPr>
        <w:spacing w:after="0" w:line="122"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and Other Factors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operational and financial performance is subject to risks including those caused by the adverse macroeconomic environment and the geopolitical landscape.</w:t>
      </w:r>
    </w:p>
    <w:p>
      <w:pPr>
        <w:spacing w:after="0" w:line="94" w:lineRule="exact"/>
        <w:rPr>
          <w:sz w:val="20"/>
          <w:szCs w:val="20"/>
          <w:color w:val="auto"/>
        </w:rPr>
      </w:pPr>
    </w:p>
    <w:p>
      <w:pPr>
        <w:ind w:right="160" w:firstLine="486"/>
        <w:spacing w:after="0" w:line="239" w:lineRule="auto"/>
        <w:rPr>
          <w:sz w:val="20"/>
          <w:szCs w:val="20"/>
          <w:color w:val="auto"/>
        </w:rPr>
      </w:pPr>
      <w:r>
        <w:rPr>
          <w:rFonts w:ascii="Times New Roman" w:cs="Times New Roman" w:eastAsia="Times New Roman" w:hAnsi="Times New Roman"/>
          <w:sz w:val="18"/>
          <w:szCs w:val="18"/>
          <w:color w:val="auto"/>
        </w:rPr>
        <w:t>Adverse macroeconomic conditions include slower or negative economic growth, higher inflation and higher interest rates. During the six months ended July 31, 2024, the macroeconomic environment negatively impacted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and other factors on our business, operating results, and financial condition, see the section titled “Risk Factors” included in Part II, Item 1A of this Quarterly Report on Form 10-Q.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Growing Our Customer Base and Expanding Our Global Reach</w:t>
      </w:r>
    </w:p>
    <w:p>
      <w:pPr>
        <w:spacing w:after="0" w:line="17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are intensely focused on continuing to grow our customer base. We have invested, and expect to continue to invest, in our sales and marketing efforts and developer community outreach, which are critical to driving customer acquisition. As of July 31, 2024, we had over 50,700 customers across a wide range of industries and in over 100 countries, compared to over 45,000 customers as of July 31, 2023. All affiliated entities are counted as a single customer and our definition of “customer” excludes users of our free offerings.</w:t>
      </w:r>
    </w:p>
    <w:p>
      <w:pPr>
        <w:spacing w:after="0" w:line="12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July 31, 2024, we had over 7,300 customers that were sold through our direct sales force and channel partners, as compared to over 6,800 such customers as of July 31, 2023. These customers, which we refer to as our Direct Sales Customers, accounted for 87% of our subscription revenue for both the three and six months ended July 31, 2024 and 88% of our subscription revenue for both the three and six months ended July 31, 2023. We plan to continue to invest in acquiring new customers and additional workloads from existing customers across all of our channels. We had over 49,200 MongoDB Atlas customers as of July 31, 2024 compared to over 43,500 as of July 31, 2023. The growth in MongoDB Atlas customers included new customers to MongoDB and existing MongoDB Enterprise Advanced customers adding incremental MongoDB Atlas workloads.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Retaining and Expanding Revenue from Existing Customers</w:t>
      </w:r>
    </w:p>
    <w:p>
      <w:pPr>
        <w:spacing w:after="0" w:line="17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six months ended July 31, 2024, we believe we experienced a negative impact from the macroeconomic environment on the growth of existing Atlas applications, which affected our revenue growth. We expect the macroeconomic environment to continue to negatively impact our revenue growth for the remainder of the year.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3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2,189 and 1,855 as of July 31, 2024 and 2023,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As of July 31, 2024, our net ARR expansion rate was approximately 119%, as compared to historically being over 120%. The decline versus historical periods is attributable to a smaller contribution from expanding customers. Our net ARR expansion rate may fluctuate in future periods due to a variety of factors, including the volume and type of workloads that we onboard, growth rate of historical workloads on our platform and changes in the macroeconomic environment.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Revenue</w:t>
      </w:r>
    </w:p>
    <w:p>
      <w:pPr>
        <w:spacing w:after="0" w:line="171"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comprised of term licenses and hosted as-a-service solutions. Revenue from our MongoDB Atlas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128"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is comprised of consulting and training services and is recognized over the period of delivery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 recognize revenue from services agreements as services are delivered.</w:t>
      </w:r>
    </w:p>
    <w:p>
      <w:pPr>
        <w:spacing w:after="0" w:line="10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 of Revenue</w:t>
      </w:r>
    </w:p>
    <w:p>
      <w:pPr>
        <w:spacing w:after="0" w:line="158"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primarily includes third-party cloud infrastructure expenses for our hosted as-a-service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182" w:lineRule="exact"/>
        <w:rPr>
          <w:sz w:val="20"/>
          <w:szCs w:val="20"/>
          <w:color w:val="auto"/>
        </w:rPr>
      </w:pPr>
    </w:p>
    <w:p>
      <w:pPr>
        <w:ind w:right="360" w:firstLine="486"/>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Cost of Services Revenue. </w:t>
      </w:r>
      <w:r>
        <w:rPr>
          <w:rFonts w:ascii="Times New Roman" w:cs="Times New Roman" w:eastAsia="Times New Roman" w:hAnsi="Times New Roman"/>
          <w:sz w:val="18"/>
          <w:szCs w:val="18"/>
          <w:color w:val="auto"/>
        </w:rPr>
        <w:t>Cost of services revenue primarily includes personnel costs, including salaries, bonuses and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represents revenue less cost of revenue.</w:t>
      </w:r>
    </w:p>
    <w:p>
      <w:pPr>
        <w:spacing w:after="0" w:line="17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Expenses</w:t>
      </w:r>
    </w:p>
    <w:p>
      <w:pPr>
        <w:spacing w:after="0" w:line="17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each category of operating expenses. Operating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include travel and related costs and allocated overhead costs for facilities, information technology and employee benefit costs.</w:t>
      </w:r>
    </w:p>
    <w:p>
      <w:pPr>
        <w:spacing w:after="0" w:line="169" w:lineRule="exact"/>
        <w:rPr>
          <w:sz w:val="20"/>
          <w:szCs w:val="20"/>
          <w:color w:val="auto"/>
        </w:rPr>
      </w:pPr>
    </w:p>
    <w:p>
      <w:pPr>
        <w:ind w:right="10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personnel costs, including salaries, sales commission and benefits,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and developer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42" w:lineRule="exact"/>
        <w:rPr>
          <w:sz w:val="20"/>
          <w:szCs w:val="20"/>
          <w:color w:val="auto"/>
        </w:rPr>
      </w:pPr>
    </w:p>
    <w:p>
      <w:pPr>
        <w:ind w:right="140" w:firstLine="486"/>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142" w:lineRule="exact"/>
        <w:rPr>
          <w:sz w:val="20"/>
          <w:szCs w:val="20"/>
          <w:color w:val="auto"/>
        </w:rPr>
      </w:pPr>
    </w:p>
    <w:p>
      <w:pPr>
        <w:ind w:right="80" w:firstLine="486"/>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interest expense, gains and losses on financial instruments, net and gains and losses from foreign currency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Provision for Income Taxes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Provision for income taxes consists primarily of state income taxes in the United States and income taxes in certain foreign jurisdictions in which we conduct business.</w:t>
      </w:r>
    </w:p>
    <w:p>
      <w:pPr>
        <w:spacing w:after="0" w:line="10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2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July 31, 2024 Summary</w:t>
      </w:r>
    </w:p>
    <w:p>
      <w:pPr>
        <w:spacing w:after="0" w:line="17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July 31, 2024, our total revenue increased to $478.1 million as compared to $423.8 million for the three months ended July 31, 2023, primarily driven by an increase in subscription revenue from our Direct Sales Customers. Our net loss increased to $54.5 million for the three months ended July 31, 2024 as compared to $37.6 million for the three months ended July 31, 2023, primarily driven by higher sales and marketing spend and research and development costs during the three months ended July 31, 2024, partially offset by the increase in revenue.</w:t>
      </w:r>
    </w:p>
    <w:p>
      <w:pPr>
        <w:spacing w:after="0" w:line="12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For the six months ended July 31, 2024, our total revenue increased to $928.7 million as compared to $792.1 million for the six months ended July 31, 2023, primarily driven by an increase in subscription revenue from our Direct Sales Customers. Our net loss increased to $135.1 million for the six months ended July 31, 2024 as compared to $91.8 million for the six months ended July 31, 2023, primarily driven by higher sales and marketing spend and research and development costs during the six months ended July 31, 2024, partially offset by the increase in revenue.</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cash flow was $62.2 million and $28.4 million for the six months ended July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tcPr>
          <w:p>
            <w:pPr>
              <w:spacing w:after="0"/>
              <w:rPr>
                <w:sz w:val="16"/>
                <w:szCs w:val="16"/>
                <w:color w:val="auto"/>
              </w:rPr>
            </w:pPr>
          </w:p>
        </w:tc>
        <w:tc>
          <w:tcPr>
            <w:tcW w:w="24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764,048</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28,023</w:t>
            </w:r>
          </w:p>
        </w:tc>
      </w:tr>
      <w:tr>
        <w:trPr>
          <w:trHeight w:val="250"/>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928,670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792,071</w:t>
            </w:r>
          </w:p>
        </w:tc>
      </w:tr>
      <w:tr>
        <w:trPr>
          <w:trHeight w:val="24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162,995</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39,791</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250,950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202,786</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589,285</w:t>
            </w:r>
          </w:p>
        </w:tc>
      </w:tr>
      <w:tr>
        <w:trPr>
          <w:trHeight w:val="23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378,667</w:t>
            </w: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295,027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242,237</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85,931</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421,296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847,346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706,835</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(117,550)</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31,782</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(85,768)</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6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(135,122)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(91,843)</w:t>
            </w:r>
          </w:p>
        </w:tc>
      </w:tr>
      <w:tr>
        <w:trPr>
          <w:trHeight w:val="20"/>
        </w:trPr>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36" w:lineRule="exact"/>
        <w:rPr>
          <w:sz w:val="20"/>
          <w:szCs w:val="20"/>
          <w:color w:val="auto"/>
        </w:rPr>
      </w:pPr>
    </w:p>
    <w:p>
      <w:pPr>
        <w:ind w:left="320" w:hanging="312"/>
        <w:spacing w:after="0" w:line="265" w:lineRule="exact"/>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 follows (unaudited,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6,290</w:t>
            </w:r>
          </w:p>
        </w:tc>
      </w:tr>
      <w:tr>
        <w:trPr>
          <w:trHeight w:val="2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77,982</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55,188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92,479</w:t>
            </w:r>
          </w:p>
        </w:tc>
      </w:tr>
      <w:tr>
        <w:trPr>
          <w:trHeight w:val="2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28,927</w:t>
            </w:r>
          </w:p>
        </w:tc>
      </w:tr>
      <w:tr>
        <w:trPr>
          <w:trHeight w:val="210"/>
        </w:trPr>
        <w:tc>
          <w:tcPr>
            <w:tcW w:w="512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122,423</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113,312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243,186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217,267</w:t>
            </w:r>
          </w:p>
        </w:tc>
      </w:tr>
      <w:tr>
        <w:trPr>
          <w:trHeight w:val="20"/>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820" w:type="dxa"/>
        <w:tblCellMar>
          <w:top w:w="0" w:type="dxa"/>
          <w:left w:w="0" w:type="dxa"/>
          <w:bottom w:w="0" w:type="dxa"/>
          <w:right w:w="0" w:type="dxa"/>
        </w:tblCellMar>
      </w:tblPr>
      <w:tr>
        <w:trPr>
          <w:trHeight w:val="190"/>
        </w:trPr>
        <w:tc>
          <w:tcPr>
            <w:tcW w:w="32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16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3" w:lineRule="exact"/>
        <w:rPr>
          <w:sz w:val="20"/>
          <w:szCs w:val="20"/>
          <w:color w:val="auto"/>
        </w:rPr>
      </w:pPr>
    </w:p>
    <w:p>
      <w:pPr>
        <w:sectPr>
          <w:pgSz w:w="11900" w:h="16838" w:orient="portrait"/>
          <w:cols w:equalWidth="0" w:num="1">
            <w:col w:w="11240"/>
          </w:cols>
          <w:pgMar w:left="320" w:top="130" w:right="3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Services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revenue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Services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cost of revenue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0"/>
        <w:spacing w:after="0" w:line="460" w:lineRule="auto"/>
        <w:rPr>
          <w:sz w:val="20"/>
          <w:szCs w:val="20"/>
          <w:color w:val="auto"/>
        </w:rPr>
      </w:pPr>
      <w:r>
        <w:rPr>
          <w:rFonts w:ascii="Times New Roman" w:cs="Times New Roman" w:eastAsia="Times New Roman" w:hAnsi="Times New Roman"/>
          <w:sz w:val="18"/>
          <w:szCs w:val="18"/>
          <w:b w:val="1"/>
          <w:bCs w:val="1"/>
          <w:color w:val="auto"/>
        </w:rPr>
        <w:t>Comparison of the Three Months Ended July 31, 2024 and 2023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100 %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499"/>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4"/>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499"/>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6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6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
        </w:trPr>
        <w:tc>
          <w:tcPr>
            <w:tcW w:w="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-3119755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-2451100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-1748155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-1430655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-728345</wp:posOffset>
            </wp:positionV>
            <wp:extent cx="7132320" cy="728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72898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-1079500</wp:posOffset>
            </wp:positionV>
            <wp:extent cx="71323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-2099945</wp:posOffset>
            </wp:positionV>
            <wp:extent cx="71323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-2767965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-3411220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20" w:lineRule="exact"/>
        <w:rPr>
          <w:sz w:val="20"/>
          <w:szCs w:val="20"/>
          <w:color w:val="auto"/>
        </w:rPr>
      </w:pPr>
    </w:p>
    <w:p>
      <w:pPr>
        <w:sectPr>
          <w:pgSz w:w="11900" w:h="16838" w:orient="portrait"/>
          <w:cols w:equalWidth="0" w:num="2">
            <w:col w:w="5120" w:space="720"/>
            <w:col w:w="54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r>
      <w:tr>
        <w:trPr>
          <w:trHeight w:val="2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409,334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84"/>
        </w:trPr>
        <w:tc>
          <w:tcPr>
            <w:tcW w:w="5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8"/>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423,791</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$54.5 million primarily due to an increase of $43.2 million from our Direct Sales Customers, inclusive of the impact from Direct Sales Customers who were self-serve customers of MongoDB Atlas in the prior-year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106,816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84,822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21,437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128,253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105,337</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84"/>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349,856</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318,454</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73 %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75 %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77 %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79 %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c>
          <w:tcPr>
            <w:tcW w:w="422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03"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$16.0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infrastructure costs, including costs associated with the growth of MongoDB Atlas. The increase in third-party infrastructure costs was partly offset by continued cost efficiencies realized as we scale MongoDB Atlas. In addition, subscription cost of revenue was higher due to a $4.3 million increase in personnel costs and stock-based compensation associated with increased headcount in our support organization. Total headcount in our support and services organizations increased 14% from July 31, 2023 to July 31, 2024.</w:t>
      </w:r>
    </w:p>
    <w:p>
      <w:pPr>
        <w:spacing w:after="0" w:line="12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declined slightly to 73%. Our subscription gross margin declined slightly to 77% due to an increase in subscription revenue from MongoDB Atlas as a percentage of our total revenue. Services gross margin declined due to the impact of higher costs related to the delivery of consulting and training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195,934</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increase in sales and marketing expense was primarily driven by an $8.3 million increase in commission expense, a $7.8 million increase in personnel costs and stock-based compensation, a $7.3 million increase in spend on in-person events and marketing programs. Our sales and marketing headcount was 2,540 as of July 31, 2024, compared to 2,202 as of July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148,967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125,420</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$17.5 million increase in personnel costs and stock-based compensation as we grew our research and development headcount by 20%. In addition, research and development expense increased $4.0 million due to higher third-party infrastructure expenses related to development costs of our MongoDB Atlas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50,790</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46,103</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 was due to higher costs to support the growth of our business. In particular, these higher costs were driven by an increase in general and administrative personnel headcount resulting in $4.0 million higher personnel costs and stock-based compensation. In addition, general and administrative expenses increased due to higher professional fees and higher software costs.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20,808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14,994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Other income, net for the three months ended July 31, 2024 improved primarily due to higher interest income from our short-term investments.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24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during the three months ended July 31, 2024 and 2023 was primarily due to foreign taxes as we continue our global expansion.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July 31,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400" w:type="dxa"/>
            <w:vAlign w:val="bottom"/>
          </w:tcPr>
          <w:p>
            <w:pPr>
              <w:spacing w:after="0"/>
              <w:rPr>
                <w:sz w:val="17"/>
                <w:szCs w:val="17"/>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764,048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136,653</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83"/>
        </w:trPr>
        <w:tc>
          <w:tcPr>
            <w:tcW w:w="5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928,670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792,071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136,599</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$136.7 million primarily due to an increase of $114.3 million from our Direct Sales Customers, inclusive of the impact from Direct Sales Customers who were self-serve customers of MongoDB Atlas in the prior-year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207,578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162,995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43,372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39,791</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250,950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202,786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84"/>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677,720</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589,285</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73 %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74 %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77 %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79 %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(55)%</w:t>
            </w:r>
          </w:p>
        </w:tc>
        <w:tc>
          <w:tcPr>
            <w:tcW w:w="422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8" w:lineRule="exact"/>
        <w:rPr>
          <w:sz w:val="20"/>
          <w:szCs w:val="20"/>
          <w:color w:val="auto"/>
        </w:rPr>
      </w:pPr>
    </w:p>
    <w:p>
      <w:pPr>
        <w:ind w:right="40" w:firstLine="486"/>
        <w:spacing w:after="0" w:line="225"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$32.7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$8.2 million increase in personnel costs and stock-based compensation associated with increased headcount in our support organization. The increase in services cost of revenue was primarily due to a $3.1 million increase in third-party consultant costs related to the delivery of consulting and training services and a $1.0 million increase in personnel costs and stock-based compensation associated with increased headcount in our services organization. Total headcount in our support and services organizations increased 14% from July 31, 2023 to July 31, 2024.</w:t>
      </w:r>
    </w:p>
    <w:p>
      <w:pPr>
        <w:spacing w:after="0" w:line="14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declined slightly to 73%. Our subscription gross margin declined slightly to 77% due to an increase in subscription revenue from MongoDB Atlas as a percentage of our total revenue. Services gross margin declined due to the impact of higher third-party consultant and training costs, services personnel costs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440,983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378,667</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increase in sales and marketing expense was primarily driven by a $19.6 million increase in personnel costs and stock-based compensation, a $26.5 million increase in spend on in-person events and marketing programs and a $13.0 million increase in commission expense. Our sales and marketing headcount was 2,540 as of July 31, 2024, compared to 2,202 as of July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295,027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242,237</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$39.7 million increase in personnel costs and stock-based compensation as we grew our research and development headcount by 20%. In addition, research and development expense increased $8.3 million due to higher third-party infrastructure expenses related to development costs of our MongoDB Atlas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111,336</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85,931</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 was primarily driven by higher costs to support the growth of our business. In particular, these higher costs were primarily driven by an increase in general and administrative personnel headcount resulting in $12.5 million higher personnel costs and stock-based compensation. General and administrative expense also increased $9.5 million due to value-added tax expense related to our operations in certain non-US jurisdictions. In addition, general and administrative expenses increased $3.0 million due to higher professional fees and higher software costs.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40,982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31,782</w:t>
            </w:r>
          </w:p>
        </w:tc>
        <w:tc>
          <w:tcPr>
            <w:tcW w:w="9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40" w:firstLine="486"/>
        <w:spacing w:after="0" w:line="458" w:lineRule="auto"/>
        <w:rPr>
          <w:sz w:val="20"/>
          <w:szCs w:val="20"/>
          <w:color w:val="auto"/>
        </w:rPr>
      </w:pPr>
      <w:r>
        <w:rPr>
          <w:rFonts w:ascii="Times New Roman" w:cs="Times New Roman" w:eastAsia="Times New Roman" w:hAnsi="Times New Roman"/>
          <w:sz w:val="18"/>
          <w:szCs w:val="18"/>
          <w:color w:val="auto"/>
        </w:rPr>
        <w:t xml:space="preserve">Other income, net, for the six months ended July 31, 2024 improved primarily due to higher interest income from our short-term investments. </w:t>
      </w:r>
      <w:r>
        <w:rPr>
          <w:rFonts w:ascii="Times New Roman" w:cs="Times New Roman" w:eastAsia="Times New Roman" w:hAnsi="Times New Roman"/>
          <w:sz w:val="18"/>
          <w:szCs w:val="18"/>
          <w:b w:val="1"/>
          <w:bCs w:val="1"/>
          <w:color w:val="auto"/>
        </w:rPr>
        <w:t>Provision for Income Taxes</w:t>
      </w: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244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during the six months ended July 31, 2024 and 2023, was primarily due to foreign taxes as we continue our global expansion.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of July 31, 2024, our principal sources of liquidity were cash, cash equivalents, short-term investments and restricted cash totaling $2.3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126"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2024, the Company elected to cash settle its Capped Calls associated with the 2024 Notes. In June 2024, the Capped Calls associated with the 2024 Notes settled and the Company received $170.6 million in cash.</w:t>
      </w:r>
    </w:p>
    <w:p>
      <w:pPr>
        <w:spacing w:after="0" w:line="10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have generated significant operating losses and negative cash flows from operations as reflected in our accumulated deficit and historical consolidated statements of cash flows. As of July 31, 2024, we had an accumulated deficit of $1.8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and recent volatility in the banking sector,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w:t>
            </w:r>
          </w:p>
        </w:tc>
      </w:tr>
      <w:tr>
        <w:trPr>
          <w:trHeight w:val="270"/>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101,087</w:t>
            </w:r>
          </w:p>
        </w:tc>
      </w:tr>
      <w:tr>
        <w:trPr>
          <w:trHeight w:val="27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Activities</w:t>
      </w:r>
    </w:p>
    <w:p>
      <w:pPr>
        <w:spacing w:after="0" w:line="160" w:lineRule="exact"/>
        <w:rPr>
          <w:sz w:val="20"/>
          <w:szCs w:val="20"/>
          <w:color w:val="auto"/>
        </w:rPr>
      </w:pPr>
    </w:p>
    <w:p>
      <w:pPr>
        <w:ind w:right="120" w:firstLine="648"/>
        <w:spacing w:after="0" w:line="201" w:lineRule="exact"/>
        <w:rPr>
          <w:sz w:val="20"/>
          <w:szCs w:val="20"/>
          <w:color w:val="auto"/>
        </w:rPr>
      </w:pPr>
      <w:r>
        <w:rPr>
          <w:rFonts w:ascii="Times New Roman" w:cs="Times New Roman" w:eastAsia="Times New Roman" w:hAnsi="Times New Roman"/>
          <w:sz w:val="18"/>
          <w:szCs w:val="18"/>
          <w:color w:val="auto"/>
        </w:rPr>
        <w:t>Cash provided by operating activities during the six months ended July 31, 2024 was $62.2 million, driven primarily by an increase in our cash collections reflecting overall growth of our sales and expansion of our customer base. Accordingly, our accounts receivable decreased by $13.3 million. In addition, our net loss of $135.1 million, includes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$243.2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$7.2 million for depreciation and amortization. Our accrued liabilities increased by $29.2 million reflecting our increase in expenses and timing of payments. Partially offsetting these benefits to our operating cash flow were a decrease in deferred revenue of $54.3 million, amortization of premium and accretion of discount on short-term investments, net of $13.5 million, an increase in deferred commissions of $20.0 million and other net non-cash charges of $7.8 million.</w:t>
      </w:r>
    </w:p>
    <w:p>
      <w:pPr>
        <w:spacing w:after="0" w:line="198" w:lineRule="exact"/>
        <w:rPr>
          <w:sz w:val="20"/>
          <w:szCs w:val="20"/>
          <w:color w:val="auto"/>
        </w:rPr>
      </w:pPr>
    </w:p>
    <w:p>
      <w:pPr>
        <w:ind w:right="120" w:firstLine="648"/>
        <w:spacing w:after="0" w:line="201" w:lineRule="exact"/>
        <w:rPr>
          <w:sz w:val="20"/>
          <w:szCs w:val="20"/>
          <w:color w:val="auto"/>
        </w:rPr>
      </w:pPr>
      <w:r>
        <w:rPr>
          <w:rFonts w:ascii="Times New Roman" w:cs="Times New Roman" w:eastAsia="Times New Roman" w:hAnsi="Times New Roman"/>
          <w:sz w:val="18"/>
          <w:szCs w:val="18"/>
          <w:color w:val="auto"/>
        </w:rPr>
        <w:t>Cash provided by operating activities during the six months ended July 31, 2023 was $28.4 million, driven primarily by an increase in our cash collections reflecting overall growth of our sales and expansion of our customer base. Accordingly, our accounts receivable decreased by $12.2 million. In addition, our net loss of $91.8 million, includes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$217.3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$8.5 million for depreciation and amortization. Partially offsetting these benefits to our operating cash flow were a decrease in deferred revenue of $91.4 million, as well as accretion of the discount on our short-term investments of $25.5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Investing Activities</w:t>
      </w:r>
    </w:p>
    <w:p>
      <w:pPr>
        <w:spacing w:after="0" w:line="17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six months ended July 31, 2024 was $242.3 million, due to purchases of marketable securities, net of maturities, of $249.4 million, cash used for investments in non-marketable securities of $5.5 million and purchases of property and equipment of $1.6 million.</w:t>
      </w:r>
    </w:p>
    <w:p>
      <w:pPr>
        <w:spacing w:after="0" w:line="12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six months ended July 31, 2023 was $101.1 million, primarily due to maturities of marketable securities, net of purchases, of $104.4 million. The proceeds were partially offset by $2.1 million of additional investment in non-marketable securities and $1.3 million of cash used for purchases of property and equipment.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Financing Activities</w:t>
      </w:r>
    </w:p>
    <w:p>
      <w:pPr>
        <w:spacing w:after="0" w:line="17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six months ended July 31, 2024 was $186.9 million, due to proceeds from the settlement of capped calls of $170.6 million, proceeds from the issuance of common stock under the Employee Stock Purchase Plan and exercises of stock options of $19.9 million, partly offset by principal payments of finance leases of $3.6 million.</w:t>
      </w:r>
    </w:p>
    <w:p>
      <w:pPr>
        <w:spacing w:after="0" w:line="12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six months ended July 31, 2023 was $20.6 million, due to proceeds from the issuance of common stock under the Employee Stock Purchase Plan and exercises of stock options, partly offset by principal repayments of finance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factors. As MongoDB Atlas revenue continues to increase as a percentage of total revenue, these fluctuations may have a greater impact on our results of operations. We believe that seasonal fluctuations that we have experienced in the past may continue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During the six months ended July 31, 2024, there were no material changes outside the ordinary course of business to our contractual obligations and commitments from those disclosed in our 2024 Form 10-K.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those disclosed in Part II, Item 7, “Management’s Discussion and Analysis of Financial Condition and Results of Operations” of the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3"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w:t>
      </w:r>
      <w:r>
        <w:rPr>
          <w:rFonts w:ascii="Times New Roman" w:cs="Times New Roman" w:eastAsia="Times New Roman" w:hAnsi="Times New Roman"/>
          <w:sz w:val="18"/>
          <w:szCs w:val="18"/>
          <w:i w:val="1"/>
          <w:iCs w:val="1"/>
          <w:color w:val="auto"/>
        </w:rPr>
        <w:t>2,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200" w:lineRule="exact"/>
        <w:rPr>
          <w:sz w:val="20"/>
          <w:szCs w:val="20"/>
          <w:color w:val="auto"/>
        </w:rPr>
      </w:pPr>
    </w:p>
    <w:p>
      <w:pPr>
        <w:spacing w:after="0" w:line="33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65"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Interest Rate Risk</w:t>
      </w:r>
    </w:p>
    <w:p>
      <w:pPr>
        <w:spacing w:after="0" w:line="17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and our short-term investments consist of U.S. government treasury securities. As of July 31, 2024, we had cash, cash equivalents, restricted cash and short-term investments of $2.3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July 31, 2024.</w:t>
      </w:r>
    </w:p>
    <w:p>
      <w:pPr>
        <w:spacing w:after="0" w:line="13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Foreign Currency Risk</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either of the three and six months periods ended July 31, 2024 and 2023.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Market Risk</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July 31, 2024 and January 31, 2024, the total amount of non-marketable securities included in other assets on our balance sheets was $18.4 million and $12.9 million,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3" w:lineRule="exact"/>
        <w:rPr>
          <w:sz w:val="20"/>
          <w:szCs w:val="20"/>
          <w:color w:val="auto"/>
        </w:rPr>
      </w:pPr>
    </w:p>
    <w:p>
      <w:pPr>
        <w:ind w:right="20" w:firstLine="486"/>
        <w:spacing w:after="0" w:line="289"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disclosure controls and procedures as of July 31, 2024. Based on the evaluation of our disclosure controls and procedures as of July 31, 2024, our Chief Executive Officer and Chief Financial Officer concluded that, as of such date, our disclosure controls and procedures were effective at the reasonable assurance level.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three months ended July 31, 2024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63"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Item 1 is incorporated by reference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Form 10-Q.</w:t>
      </w:r>
    </w:p>
    <w:p>
      <w:pPr>
        <w:spacing w:after="0" w:line="106" w:lineRule="exact"/>
        <w:rPr>
          <w:sz w:val="20"/>
          <w:szCs w:val="20"/>
          <w:color w:val="auto"/>
        </w:rPr>
      </w:pPr>
    </w:p>
    <w:p>
      <w:pPr>
        <w:ind w:right="280" w:firstLine="486"/>
        <w:spacing w:after="0" w:line="256" w:lineRule="auto"/>
        <w:rPr>
          <w:sz w:val="20"/>
          <w:szCs w:val="20"/>
          <w:color w:val="auto"/>
        </w:rPr>
      </w:pPr>
      <w:r>
        <w:rPr>
          <w:rFonts w:ascii="Times New Roman" w:cs="Times New Roman" w:eastAsia="Times New Roman" w:hAnsi="Times New Roman"/>
          <w:sz w:val="18"/>
          <w:szCs w:val="18"/>
          <w:color w:val="auto"/>
        </w:rPr>
        <w:t>On July 9, 2024, a putative class action lawsuit, captioned Baxter v. MongoDB, Inc., et al., was filed in the United States District Court for the Southern District of New York against MongoDB, CEO Dev Ittycheria, and CFO Michael Gordon. The lawsuit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August 31, 2023 and May 30, 2024. It seeks unspecified monetary damages, costs and attorneys’ fees, and other unspecified relief. We intend to vigorously defend ourselves in this matter.</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w:t>
      </w:r>
    </w:p>
    <w:p>
      <w:pPr>
        <w:spacing w:after="0" w:line="17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7"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22"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materially and adversely affect our results of operations.</w:t>
      </w:r>
    </w:p>
    <w:p>
      <w:pPr>
        <w:spacing w:after="0" w:line="53"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predict our future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as our costs increase, we may not be able to generate sufficient revenue to achieve or sustain profitability.</w:t>
      </w:r>
    </w:p>
    <w:p>
      <w:pPr>
        <w:spacing w:after="0" w:line="11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significant competition and expect that intense competition will continue.</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our sales and marketing organization, we may be unable to add new customers or increase sales to our existing customers.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offer Community Server under the Server Side Public License (“SSPL”) may harm the adoption of Community Server.</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negatively impacted if the GNU Affero General Public License Version 3 (the “AGPL”), the SSPL and other open source licenses under which some of our software is licensed are not enforceable.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licensing model for Community Server could negatively affect our ability to monetize and protect our intellectual property rights.</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software or services, our business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67"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6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brand, especially among developers, our business and results of operations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98"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volatility in the banking sector,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spacing w:after="0" w:line="2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Additionally, the global economy, including credit and financial markets, has experienced extreme volatility and disruptions and may continue to experience such disruptions in the future, including severely diminished liquidity and credit</w:t>
      </w:r>
    </w:p>
    <w:p>
      <w:pPr>
        <w:spacing w:after="0" w:line="200" w:lineRule="exact"/>
        <w:rPr>
          <w:sz w:val="20"/>
          <w:szCs w:val="20"/>
          <w:color w:val="auto"/>
        </w:rPr>
      </w:pPr>
    </w:p>
    <w:p>
      <w:pPr>
        <w:spacing w:after="0" w:line="34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may have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21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197" w:lineRule="exact"/>
        <w:rPr>
          <w:sz w:val="20"/>
          <w:szCs w:val="20"/>
          <w:color w:val="auto"/>
        </w:rPr>
      </w:pPr>
    </w:p>
    <w:p>
      <w:pPr>
        <w:ind w:right="120" w:firstLine="486"/>
        <w:spacing w:after="0" w:line="237" w:lineRule="auto"/>
        <w:rPr>
          <w:sz w:val="20"/>
          <w:szCs w:val="20"/>
          <w:color w:val="auto"/>
        </w:rPr>
      </w:pPr>
      <w:r>
        <w:rPr>
          <w:rFonts w:ascii="Times New Roman" w:cs="Times New Roman" w:eastAsia="Times New Roman" w:hAnsi="Times New Roman"/>
          <w:sz w:val="18"/>
          <w:szCs w:val="18"/>
          <w:color w:val="auto"/>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22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predict our future results of operations.</w:t>
      </w:r>
    </w:p>
    <w:p>
      <w:pPr>
        <w:spacing w:after="0" w:line="175"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as our costs increase, we may not be able to generate sufficient revenue to achieve or sustain profitability.</w:t>
      </w:r>
    </w:p>
    <w:p>
      <w:pPr>
        <w:spacing w:after="0" w:line="175"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We have incurred net losses in each period since our inception, including net losses of $176.6 million, $345.4 million and $306.9 million for the fiscal years ended January 31, 2024, 2023 and 2022, respectively. We had an accumulated deficit of $1.7 billion as of January 31, 2024. We expect our operating expenses to increase significantly as we increase our sales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31"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82"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six months ended July 31, 2024.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139"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21"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Our subscription offerings are term-based and a majority of our subscription contracts were one year in duration in fiscal year 2024.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3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 w:cs="Times New Roman" w:eastAsia="Times New Roman" w:hAnsi="Times New Roman"/>
          <w:sz w:val="18"/>
          <w:szCs w:val="18"/>
          <w:i w:val="1"/>
          <w:iCs w:val="1"/>
          <w:color w:val="auto"/>
        </w:rPr>
        <w:t>Unfavorable conditions in our industry or the global economy or reductions in information technology spending could limit our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 our business and materially and adversely affect our results of operations.”</w:t>
      </w:r>
    </w:p>
    <w:p>
      <w:pPr>
        <w:spacing w:after="0" w:line="200" w:lineRule="exact"/>
        <w:rPr>
          <w:sz w:val="20"/>
          <w:szCs w:val="20"/>
          <w:color w:val="auto"/>
        </w:rPr>
      </w:pPr>
    </w:p>
    <w:p>
      <w:pPr>
        <w:spacing w:after="0" w:line="35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face significant competition and expect that intense competition will continue.</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34" w:lineRule="exact"/>
        <w:rPr>
          <w:sz w:val="20"/>
          <w:szCs w:val="20"/>
          <w:color w:val="auto"/>
        </w:rPr>
      </w:pPr>
    </w:p>
    <w:p>
      <w:pPr>
        <w:jc w:val="both"/>
        <w:ind w:right="220" w:firstLine="486"/>
        <w:spacing w:after="0" w:line="289" w:lineRule="auto"/>
        <w:rPr>
          <w:sz w:val="20"/>
          <w:szCs w:val="20"/>
          <w:color w:val="auto"/>
        </w:rPr>
      </w:pPr>
      <w:r>
        <w:rPr>
          <w:rFonts w:ascii="Times New Roman" w:cs="Times New Roman" w:eastAsia="Times New Roman" w:hAnsi="Times New Roman"/>
          <w:sz w:val="17"/>
          <w:szCs w:val="17"/>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non-relational database software providers. In addition, other large software and internet companies may seek to enter our market.</w:t>
      </w:r>
    </w:p>
    <w:p>
      <w:pPr>
        <w:spacing w:after="0" w:line="10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3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2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our sales and marketing organization, we may be unable to add new customers or increase sales to our existing customers.</w:t>
      </w:r>
    </w:p>
    <w:p>
      <w:pPr>
        <w:spacing w:after="0" w:line="105"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decision to offer Community Server under the SSPL, may harm the adoption of Community Server.</w:t>
      </w:r>
    </w:p>
    <w:p>
      <w:pPr>
        <w:spacing w:after="0" w:line="1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12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22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if the AGPL, the SSPL and other open source licenses under which some of our software is licensed are not enforceable.</w:t>
      </w:r>
    </w:p>
    <w:p>
      <w:pPr>
        <w:spacing w:after="0" w:line="105"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licensing model for Community Server could negatively affect our ability to monetize and protect our intellectual property rights.</w:t>
      </w:r>
    </w:p>
    <w:p>
      <w:pPr>
        <w:spacing w:after="0" w:line="175"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4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05"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3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3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08"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have a negative effect on our business,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5"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4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2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0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and anticipated growth rates of our revenue, customers and other key operating metrics;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pricing changes and other actions by competitors;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sales where subscriptions are bundled with services versus sold on a standalone basis and sales by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expand our sales and marketing capabilities and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customers and expand their usage of our software, particularly for our largest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enforce the AGPL or SSPL;</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attributable to larger transactions as opposed to smaller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budgeting cycles and purchasing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consumption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potential customers opting for alternative products, including developing their own in-house solutions, or opting to use only the free version of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other security incidents, technical difficulties, or interruptions with respect to the delivery and use of our software;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the level of service uptime and performance required by our customers;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receivables from customers and resellers, which may be hindered or delayed if these customers or resellers experience financial distress;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in domestic or international markets;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7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six months ended July 31, 2024.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 See the section titled “Legal Proceedings” included in Part II, Item 1 of this Quarterly Report on Form 10-Q.</w:t>
      </w:r>
    </w:p>
    <w:p>
      <w:pPr>
        <w:spacing w:after="0" w:line="13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experienced rapid growth in our business, operations and employee headcount. For fiscal years 2024, 2023 and 2022, our total revenue was $1,683.0 million, $1,284.0 million and $873.8 million, respectively, representing a 31% and 47% growth rate, respectively. We have also significantly increased the size of our customer base from over 3,200 customers as of January 31, 2017 to over 47,800 customers as of January 31, 2024, and we grew from 713 employees as of January 31, 2017 to 5,037 employees as of January 31, 2024. We expect to continue to expand our operations and employee headcount in the near term. Our success will depend in part on our ability to continue to grow and to manage this growth, domestically and internationally, effectively.</w:t>
      </w:r>
    </w:p>
    <w:p>
      <w:pPr>
        <w:spacing w:after="0" w:line="133"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3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technology assets, adware, telecommunications failures, pandemics, earthquakes, fires, floods, and other similar threats.</w:t>
      </w:r>
    </w:p>
    <w:p>
      <w:pPr>
        <w:spacing w:after="0" w:line="17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spacing w:after="0" w:line="13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12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spacing w:after="0" w:line="232"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spacing w:after="0" w:line="126"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spacing w:after="0" w:line="13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breaches and other security incidents.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disclosures are costly, and the disclosures or the failure to comply with such requirements could lead to adverse consequences.</w:t>
      </w:r>
    </w:p>
    <w:p>
      <w:pPr>
        <w:spacing w:after="0" w:line="15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3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0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may be long and is unpredictable and our sales efforts require considerable time and expense.</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3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in particular new sales people as we increase the size of our sales 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a customer’s procurement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of our free offerings to paying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evaluation of competing products during the purchasing process;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forced to reduce prices for our subscription offerings and as a result our revenue and results of operations will be harmed.</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2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Even if we do attract new customers, the cost of new customer acquisition, product implementation and ongoing customer support may prove so high as to prevent us from achieving or sustaining profitability. For example, in fiscal years 2024, 2023 and 2022, total sales and marketing expense represented 47%, 54%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 .local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0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2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12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35"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w:t>
      </w:r>
    </w:p>
    <w:p>
      <w:pPr>
        <w:spacing w:after="0" w:line="124"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226"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3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12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13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Both of these laws broadly regulate the processing of personal data in a manner comparable to the GDPR, and violators of the LGPD and APPI face substantial penalties.</w:t>
      </w:r>
    </w:p>
    <w:p>
      <w:pPr>
        <w:spacing w:after="0" w:line="12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w:t>
      </w:r>
    </w:p>
    <w:p>
      <w:pPr>
        <w:spacing w:after="0" w:line="12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in anticipation of a similar adequacy decision from the Swiss government.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3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3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05"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10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intellectual property rights. As of January 31, 2024, we had 77 issued patents and 35 pending patent applications in the United States. Patent applications may not result in issued patents and even if a patent issues, we cannot assure you that such patent will be adequate to protect our business. In addition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5"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w:t>
      </w:r>
    </w:p>
    <w:p>
      <w:pPr>
        <w:spacing w:after="0" w:line="1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property rights infringement claims that may be made. Any of these results would adversely affect our business,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partners, our business, results of operations and financial condition could be harmed.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5"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0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our service level commitments, our business, results of operations and financial condition could be adversely affected.</w:t>
      </w:r>
    </w:p>
    <w:p>
      <w:pPr>
        <w:spacing w:after="0" w:line="175"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3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82" w:lineRule="exact"/>
        <w:rPr>
          <w:sz w:val="20"/>
          <w:szCs w:val="20"/>
          <w:color w:val="auto"/>
        </w:rPr>
      </w:pPr>
    </w:p>
    <w:p>
      <w:pPr>
        <w:ind w:right="360" w:firstLine="486"/>
        <w:spacing w:after="0" w:line="312" w:lineRule="auto"/>
        <w:rPr>
          <w:sz w:val="20"/>
          <w:szCs w:val="20"/>
          <w:color w:val="auto"/>
        </w:rPr>
      </w:pPr>
      <w:r>
        <w:rPr>
          <w:rFonts w:ascii="Times New Roman" w:cs="Times New Roman" w:eastAsia="Times New Roman" w:hAnsi="Times New Roman"/>
          <w:sz w:val="17"/>
          <w:szCs w:val="17"/>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38"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especially among developers, our business and results of operations may be adversely affected.</w:t>
      </w:r>
    </w:p>
    <w:p>
      <w:pPr>
        <w:spacing w:after="0" w:line="1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w:t>
      </w:r>
    </w:p>
    <w:p>
      <w:pPr>
        <w:spacing w:after="0" w:line="12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w:t>
      </w:r>
    </w:p>
    <w:p>
      <w:pPr>
        <w:spacing w:after="0" w:line="12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10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could expose us to substantial liability for data breaches, intellectual property infringement and other losses.</w:t>
      </w:r>
    </w:p>
    <w:p>
      <w:pPr>
        <w:spacing w:after="0" w:line="10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sales to customers outside the United States, our business is susceptible to risks associated with international operations.</w:t>
      </w:r>
    </w:p>
    <w:p>
      <w:pPr>
        <w:spacing w:after="0" w:line="10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is derived internationally and we are susceptible to risks related to our international operations. In the fiscal years ended January 31, 2024, 2023 and 2022, total revenue generated from customers outside the United States was 46%, 45% and 46%,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taxes or trade laws;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shelter-in-place, occupancy limitations or similar orders, private travel limitation, or business disruption in regions affecting our operations, stemming from actual, imminent or perceived outbreak of contagious disease;</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privacy and security and the unauthorized use of, or access to, commercial and personal data, particularly in EMEA;</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international operations, including travel, real estate, infrastructure and legal compliance costs;</w:t>
      </w:r>
    </w:p>
    <w:p>
      <w:pPr>
        <w:spacing w:after="0" w:line="11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devaluation;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11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enforcing our intellectual property;</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10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financial results, which are reported in U.S. dollars, could be adversely affected.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3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3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29"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investments in strategic partnerships, each of which may divert our management’s attention, result in additional dilution to our stockholders, increase expenses, disrupt our operations, and harm our results of operations.</w:t>
      </w:r>
    </w:p>
    <w:p>
      <w:pPr>
        <w:spacing w:after="0" w:line="171" w:lineRule="exact"/>
        <w:rPr>
          <w:sz w:val="20"/>
          <w:szCs w:val="20"/>
          <w:color w:val="auto"/>
        </w:rPr>
      </w:pPr>
    </w:p>
    <w:p>
      <w:pPr>
        <w:ind w:right="460" w:firstLine="486"/>
        <w:spacing w:after="0" w:line="245"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customer demands and competitive pressures. In some circumstances, we may choose to do so through acquisitions or investments in strategic partnerships, rather than through internal development. The identification of suitable acquisition candidates can be difficult, time-consuming and costly and we may not be able to successfully complete identified acquisitions.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risks we face in connection with any acquisitions or strategic investments include:</w:t>
      </w:r>
    </w:p>
    <w:p>
      <w:pPr>
        <w:spacing w:after="0" w:line="171" w:lineRule="exact"/>
        <w:rPr>
          <w:sz w:val="20"/>
          <w:szCs w:val="20"/>
          <w:color w:val="auto"/>
        </w:rPr>
      </w:pPr>
    </w:p>
    <w:p>
      <w:pPr>
        <w:ind w:left="660" w:right="2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strategic investment may disrupt our ongoing business, divert resources, increase our expenses and distract our management;</w:t>
      </w:r>
    </w:p>
    <w:p>
      <w:pPr>
        <w:spacing w:after="0" w:line="11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sell any acquired products or increase adoption or usage of acquired products, or increase spend by acquired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or strategic investment would limit other potential uses for our cash;</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including financial maintenance covenants;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stockholders may be diluted and earnings per share may decrease.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05"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 have non-marketable equity securities in privately-held companies. The financial success of our investments in any privately-held company is typically dependent on a liquidity event, such as a public offering, acquisition or other favorable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market event reflecting appreciation to the cost of our initial investment. In addition, valuations of privately-held companies are inherently complex due to the lack of readily available market data.</w:t>
      </w:r>
    </w:p>
    <w:p>
      <w:pPr>
        <w:spacing w:after="0" w:line="10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and anti-money laundering laws could subject us to penalties and other adverse consequences.</w:t>
      </w:r>
    </w:p>
    <w:p>
      <w:pPr>
        <w:spacing w:after="0" w:line="17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7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3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5"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3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the E.U. member states formally adopted the EU’s Pillar Two Directive, which was established by the Organisation for Economic Co-operation and Development (“OECD”). Pillar Two generally imposes a 15 percent minimum effective tax rate in the jurisdictions where multinational enterprises operate and is effective for accounting periods beginning on or after December 31, 2023.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spacing w:after="0" w:line="138" w:lineRule="exact"/>
        <w:rPr>
          <w:sz w:val="20"/>
          <w:szCs w:val="20"/>
          <w:color w:val="auto"/>
        </w:rPr>
      </w:pPr>
    </w:p>
    <w:p>
      <w:pPr>
        <w:jc w:val="both"/>
        <w:ind w:right="560" w:firstLine="486"/>
        <w:spacing w:after="0" w:line="266" w:lineRule="auto"/>
        <w:rPr>
          <w:sz w:val="20"/>
          <w:szCs w:val="20"/>
          <w:color w:val="auto"/>
        </w:rPr>
      </w:pPr>
      <w:r>
        <w:rPr>
          <w:rFonts w:ascii="Times New Roman" w:cs="Times New Roman" w:eastAsia="Times New Roman" w:hAnsi="Times New Roman"/>
          <w:sz w:val="18"/>
          <w:szCs w:val="18"/>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75" w:lineRule="exact"/>
        <w:rPr>
          <w:sz w:val="20"/>
          <w:szCs w:val="20"/>
          <w:color w:val="auto"/>
        </w:rPr>
      </w:pPr>
    </w:p>
    <w:p>
      <w:pPr>
        <w:ind w:right="120" w:firstLine="486"/>
        <w:spacing w:after="0" w:line="281" w:lineRule="auto"/>
        <w:rPr>
          <w:sz w:val="20"/>
          <w:szCs w:val="20"/>
          <w:color w:val="auto"/>
        </w:rPr>
      </w:pPr>
      <w:r>
        <w:rPr>
          <w:rFonts w:ascii="Times New Roman" w:cs="Times New Roman" w:eastAsia="Times New Roman" w:hAnsi="Times New Roman"/>
          <w:sz w:val="17"/>
          <w:szCs w:val="17"/>
          <w:color w:val="auto"/>
        </w:rPr>
        <w:t>As of January 31, 2024,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2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05"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26"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2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10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As of July 31, 2024,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spacing w:after="0" w:line="13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22"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86"/>
        <w:spacing w:after="0" w:line="237" w:lineRule="auto"/>
        <w:rPr>
          <w:sz w:val="20"/>
          <w:szCs w:val="20"/>
          <w:color w:val="auto"/>
        </w:rPr>
      </w:pPr>
      <w:r>
        <w:rPr>
          <w:rFonts w:ascii="Times New Roman" w:cs="Times New Roman" w:eastAsia="Times New Roman" w:hAnsi="Times New Roman"/>
          <w:sz w:val="18"/>
          <w:szCs w:val="18"/>
          <w:color w:val="auto"/>
        </w:rPr>
        <w:t>We communicate certain environmental, social and governance (“ESG”) related initiatives and goals regarding environmental matters, diversity and other matters in our annually released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spacing w:after="0" w:line="214" w:lineRule="exact"/>
        <w:rPr>
          <w:sz w:val="20"/>
          <w:szCs w:val="20"/>
          <w:color w:val="auto"/>
        </w:rPr>
      </w:pPr>
    </w:p>
    <w:p>
      <w:pPr>
        <w:ind w:right="120" w:firstLine="486"/>
        <w:spacing w:after="0" w:line="237" w:lineRule="auto"/>
        <w:rPr>
          <w:sz w:val="20"/>
          <w:szCs w:val="20"/>
          <w:color w:val="auto"/>
        </w:rPr>
      </w:pPr>
      <w:r>
        <w:rPr>
          <w:rFonts w:ascii="Times New Roman" w:cs="Times New Roman" w:eastAsia="Times New Roman" w:hAnsi="Times New Roman"/>
          <w:sz w:val="18"/>
          <w:szCs w:val="18"/>
          <w:color w:val="auto"/>
        </w:rPr>
        <w:t>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w:t>
      </w:r>
    </w:p>
    <w:p>
      <w:pPr>
        <w:spacing w:after="0" w:line="200" w:lineRule="exact"/>
        <w:rPr>
          <w:sz w:val="20"/>
          <w:szCs w:val="20"/>
          <w:color w:val="auto"/>
        </w:rPr>
      </w:pP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w:t>
      </w:r>
    </w:p>
    <w:p>
      <w:pPr>
        <w:spacing w:after="0" w:line="212"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spacing w:after="0" w:line="21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Social, ethical, security and regulatory issues relating to the use of new and evolving technologies, such as AI, in our offerings or partnerships may result in reputational harm and liability.</w:t>
      </w:r>
    </w:p>
    <w:p>
      <w:pPr>
        <w:spacing w:after="0" w:line="171"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Social, ethical, security and regulatory issues relating to the use of new and evolving technologies such as AI, including generative AI, in our offerings or partnerships, may result in reputational harm and liability, and may cause us to incur additional research and development costs to resolve such issues. As with many innovations, AI presents risks and challenges that could affect its adoption, and therefore our business. No assurance can be provided that our use of AI will enhance our products or services or produce the intended results. For example, AI algorithms may be flawed, insufficient, of poor quality, reflect unwanted forms of bias, or contain other errors or inadequacies, any of which may not be easily detectable and AI, particularly generative AI, has been known to produce false or “hallucinatory” inferences or outputs.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AI and machine learning may change the way our industry identifies and responds to cybersecurity threats, and businesses that are slow to adopt or fail to adopt such new technologies may face a competitive disadvantage. The rapid evolution of AI will require the application of resources to develop, test and maintain any potential offerings or partnerships to help ensure that AI is implemented ethically in order to minimize unintended, harmful impact.</w:t>
      </w:r>
    </w:p>
    <w:p>
      <w:pPr>
        <w:spacing w:after="0" w:line="220" w:lineRule="exact"/>
        <w:rPr>
          <w:sz w:val="20"/>
          <w:szCs w:val="20"/>
          <w:color w:val="auto"/>
        </w:rPr>
      </w:pPr>
    </w:p>
    <w:p>
      <w:pPr>
        <w:ind w:right="40" w:firstLine="486"/>
        <w:spacing w:after="0" w:line="235" w:lineRule="auto"/>
        <w:rPr>
          <w:sz w:val="20"/>
          <w:szCs w:val="20"/>
          <w:color w:val="auto"/>
        </w:rPr>
      </w:pPr>
      <w:r>
        <w:rPr>
          <w:rFonts w:ascii="Times New Roman" w:cs="Times New Roman" w:eastAsia="Times New Roman" w:hAnsi="Times New Roman"/>
          <w:sz w:val="18"/>
          <w:szCs w:val="18"/>
          <w:color w:val="auto"/>
        </w:rPr>
        <w:t>In addition, the use of AI may enhance intellectual property, cybersecurity, operational and technological risks. As the regulatory framework for AI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or related technologies, our financial condition and our results of operations, including as a result of the cost to comply with such laws or regulations. 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AI-generated works and the potential for security flaws in output code.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For example, the EU AI Act was published in the Official Journal of the EU on July 12, 2024 and entered into force on August 1, 2024.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considered high risk.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is likely to continue to be volatile, which could cause the value of our common stock to decline.</w:t>
      </w:r>
    </w:p>
    <w:p>
      <w:pPr>
        <w:spacing w:after="0" w:line="17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the expectations of securities analysts or investors;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technologies, commercial relationships, acquisitions or other events by us or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our product and future product offerings and releases;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or future expectations of investors or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 or other security incident involving our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 in our domestic and foreign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91" w:lineRule="exact"/>
        <w:rPr>
          <w:sz w:val="20"/>
          <w:szCs w:val="20"/>
          <w:color w:val="auto"/>
        </w:rPr>
      </w:pPr>
    </w:p>
    <w:p>
      <w:pPr>
        <w:ind w:right="140" w:firstLine="486"/>
        <w:spacing w:after="0" w:line="236" w:lineRule="auto"/>
        <w:rPr>
          <w:sz w:val="20"/>
          <w:szCs w:val="20"/>
          <w:color w:val="auto"/>
        </w:rPr>
      </w:pPr>
      <w:r>
        <w:rPr>
          <w:rFonts w:ascii="Times New Roman" w:cs="Times New Roman" w:eastAsia="Times New Roman" w:hAnsi="Times New Roman"/>
          <w:sz w:val="18"/>
          <w:szCs w:val="18"/>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w:t>
      </w:r>
    </w:p>
    <w:p>
      <w:pPr>
        <w:spacing w:after="0" w:line="200" w:lineRule="exact"/>
        <w:rPr>
          <w:sz w:val="20"/>
          <w:szCs w:val="20"/>
          <w:color w:val="auto"/>
        </w:rPr>
      </w:pPr>
    </w:p>
    <w:p>
      <w:pPr>
        <w:spacing w:after="0" w:line="38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20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2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75"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1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2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71"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 w:cs="Times New Roman" w:eastAsia="Times New Roman" w:hAnsi="Times New Roman"/>
          <w:sz w:val="18"/>
          <w:szCs w:val="18"/>
          <w:color w:val="212529"/>
        </w:rPr>
        <w:t>While the Delaware courts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05"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22" w:lineRule="exact"/>
        <w:rPr>
          <w:sz w:val="20"/>
          <w:szCs w:val="20"/>
          <w:color w:val="auto"/>
        </w:rPr>
      </w:pPr>
    </w:p>
    <w:p>
      <w:pPr>
        <w:ind w:left="660" w:right="4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jc w:val="both"/>
        <w:ind w:left="660" w:right="56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1" w:lineRule="exact"/>
        <w:rPr>
          <w:rFonts w:ascii="Times New Roman" w:cs="Times New Roman" w:eastAsia="Times New Roman" w:hAnsi="Times New Roman"/>
          <w:sz w:val="17"/>
          <w:szCs w:val="17"/>
          <w:color w:val="auto"/>
        </w:rPr>
      </w:pPr>
    </w:p>
    <w:p>
      <w:pPr>
        <w:ind w:left="660" w:right="7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54" w:lineRule="exact"/>
        <w:rPr>
          <w:sz w:val="20"/>
          <w:szCs w:val="20"/>
          <w:color w:val="auto"/>
        </w:rPr>
      </w:pPr>
    </w:p>
    <w:p>
      <w:pPr>
        <w:ind w:left="660" w:right="5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0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could cause the market price of our common stock to decline.</w:t>
      </w:r>
    </w:p>
    <w:p>
      <w:pPr>
        <w:spacing w:after="0" w:line="105"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0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1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Furthermore, a substantial number of shares of our common stock is reserved for issuance upon the exercise of the 2026 Notes (as defined below). If we elect to satisfy our conversion obligation on the 2026 Notes solely in shares of our common stock upon conversion of the 2026 Notes, we will be required to deliver shares of our common stock, together with cash for any fractional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0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26"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 Additionally, weakness and volatility in capital markets and the economy, in general or as a result of macroeconomic conditions such as rising inflation, could limit our access to capital markets and increase our costs of borrowing.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if triggered, may adversely affect our financial condition and operating results.</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We also may not have enough available cash or be able to obtain financing at the time the 2026 Notes mature. Our failure to pay any cash payable on future conversions of the 2026 Notes as required by the indenture would constitute a default under the indenture for the 2026 Notes.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38"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conditional conversion feature of the 2026 Notes was not triggered as of July 31, 2024, as the last reported sale price of our common stock was not more than or equal to 130% of the applicable conversion price for at least 20 trading days in the period of 30 consecutive trading days. Therefore, the 2026 Notes are not currently convertible at the option of the holders thereof, in whole or in part, from August 1, 2024 through October 31, 2024. Whether the 2026 Notes will be convertible following such fiscal quarter will depend on the satisfaction of this condition or another conversion condition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2026 Notes and our common stock.</w:t>
      </w:r>
    </w:p>
    <w:p>
      <w:pPr>
        <w:spacing w:after="0" w:line="175" w:lineRule="exact"/>
        <w:rPr>
          <w:sz w:val="20"/>
          <w:szCs w:val="20"/>
          <w:color w:val="auto"/>
        </w:rPr>
      </w:pPr>
    </w:p>
    <w:p>
      <w:pPr>
        <w:ind w:right="24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14"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5" w:lineRule="exact"/>
        <w:rPr>
          <w:sz w:val="20"/>
          <w:szCs w:val="20"/>
          <w:color w:val="auto"/>
        </w:rPr>
      </w:pPr>
    </w:p>
    <w:p>
      <w:pPr>
        <w:ind w:left="500" w:right="7200" w:hanging="492"/>
        <w:spacing w:after="0" w:line="474" w:lineRule="auto"/>
        <w:tabs>
          <w:tab w:leader="none" w:pos="49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left="533" w:right="9540" w:hanging="492"/>
        <w:spacing w:after="0" w:line="438" w:lineRule="auto"/>
        <w:tabs>
          <w:tab w:leader="none" w:pos="523"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ind w:left="533" w:right="7940" w:hanging="533"/>
        <w:spacing w:after="0" w:line="474" w:lineRule="auto"/>
        <w:tabs>
          <w:tab w:leader="none" w:pos="48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348"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50"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41" w:lineRule="exact"/>
        <w:rPr>
          <w:sz w:val="20"/>
          <w:szCs w:val="20"/>
          <w:color w:val="auto"/>
        </w:rPr>
      </w:pPr>
    </w:p>
    <w:p>
      <w:pPr>
        <w:ind w:left="33" w:firstLine="405"/>
        <w:spacing w:after="0" w:line="266" w:lineRule="auto"/>
        <w:rPr>
          <w:sz w:val="20"/>
          <w:szCs w:val="20"/>
          <w:color w:val="auto"/>
        </w:rPr>
      </w:pPr>
      <w:r>
        <w:rPr>
          <w:rFonts w:ascii="Times New Roman" w:cs="Times New Roman" w:eastAsia="Times New Roman" w:hAnsi="Times New Roman"/>
          <w:sz w:val="18"/>
          <w:szCs w:val="18"/>
          <w:color w:val="auto"/>
        </w:rPr>
        <w:t>Certain executive officers and directors of the Company may execute purchases and sales of the Company's common stock through Rule 10b5-1 equity trading plans and “non-Rule 10b5-1 equity trading arrangements” (as defined in Item 408(c) of Regulation S-K).</w:t>
      </w:r>
    </w:p>
    <w:p>
      <w:pPr>
        <w:spacing w:after="0" w:line="189" w:lineRule="exact"/>
        <w:rPr>
          <w:sz w:val="20"/>
          <w:szCs w:val="20"/>
          <w:color w:val="auto"/>
        </w:rPr>
      </w:pPr>
    </w:p>
    <w:p>
      <w:pPr>
        <w:ind w:left="33"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2024, none of our executive officers or directors adopted, terminated or modified a 10b5-1 equity trading plan, or adopted, terminated, or modified any “non-Rule 10b5-1 equity trading arrangement”.</w:t>
      </w:r>
    </w:p>
    <w:p>
      <w:pPr>
        <w:spacing w:after="0" w:line="200" w:lineRule="exact"/>
        <w:rPr>
          <w:sz w:val="20"/>
          <w:szCs w:val="20"/>
          <w:color w:val="auto"/>
        </w:rPr>
      </w:pPr>
    </w:p>
    <w:p>
      <w:pPr>
        <w:spacing w:after="0" w:line="35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87" w:top="13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54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9"/>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8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4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140" w:type="dxa"/>
            <w:vAlign w:val="bottom"/>
            <w:gridSpan w:val="12"/>
            <w:vMerge w:val="continue"/>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Amended and Restated Certificate of Incorporation of Registrant</w:t>
              </w:r>
            </w:hyperlink>
          </w:p>
        </w:tc>
        <w:tc>
          <w:tcPr>
            <w:tcW w:w="460" w:type="dxa"/>
            <w:vAlign w:val="bottom"/>
            <w:gridSpan w:val="8"/>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10/25/2017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Certificate of Retirement</w:t>
              </w:r>
            </w:hyperlink>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6/16/2020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Amended and Restated Bylaws of Registrant</w:t>
              </w:r>
            </w:hyperlink>
          </w:p>
        </w:tc>
        <w:tc>
          <w:tcPr>
            <w:tcW w:w="1900" w:type="dxa"/>
            <w:vAlign w:val="bottom"/>
            <w:gridSpan w:val="9"/>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333-220557</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9/21/2017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w:t>
            </w:r>
          </w:p>
        </w:tc>
        <w:tc>
          <w:tcPr>
            <w:tcW w:w="180" w:type="dxa"/>
            <w:vAlign w:val="bottom"/>
            <w:tcBorders>
              <w:top w:val="single" w:sz="8" w:color="0000FF"/>
            </w:tcBorders>
            <w:gridSpan w:val="3"/>
          </w:tcPr>
          <w:p>
            <w:pPr>
              <w:spacing w:after="0"/>
              <w:rPr>
                <w:sz w:val="22"/>
                <w:szCs w:val="22"/>
                <w:color w:val="auto"/>
              </w:rPr>
            </w:pP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3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00" w:type="dxa"/>
            <w:vAlign w:val="bottom"/>
            <w:gridSpan w:val="6"/>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w w:val="99"/>
              </w:rPr>
              <w:t>-</w:t>
            </w: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 of the Sarbanes</w:t>
            </w:r>
          </w:p>
        </w:tc>
        <w:tc>
          <w:tcPr>
            <w:tcW w:w="440" w:type="dxa"/>
            <w:vAlign w:val="bottom"/>
            <w:gridSpan w:val="7"/>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rPr>
              <w:t>-</w:t>
            </w: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right="6320" w:hanging="1074"/>
        <w:spacing w:after="0" w:line="237"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sz w:val="20"/>
          <w:szCs w:val="20"/>
          <w:color w:val="auto"/>
        </w:rPr>
      </w:pPr>
    </w:p>
    <w:p>
      <w:pPr>
        <w:ind w:left="1100" w:hanging="651"/>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1100" w:right="60" w:hanging="651"/>
        <w:spacing w:after="0" w:line="224"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630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MONGODB, INC.</w:t>
            </w:r>
          </w:p>
        </w:tc>
      </w:tr>
      <w:tr>
        <w:trPr>
          <w:trHeight w:val="90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30, 2024</w:t>
            </w:r>
          </w:p>
        </w:tc>
        <w:tc>
          <w:tcPr>
            <w:tcW w:w="22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Dev Ittycheria</w:t>
            </w:r>
          </w:p>
        </w:tc>
      </w:tr>
      <w:tr>
        <w:trPr>
          <w:trHeight w:val="264"/>
        </w:trPr>
        <w:tc>
          <w:tcPr>
            <w:tcW w:w="27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 Ittycheria</w:t>
            </w:r>
          </w:p>
        </w:tc>
      </w:tr>
      <w:tr>
        <w:trPr>
          <w:trHeight w:val="270"/>
        </w:trPr>
        <w:tc>
          <w:tcPr>
            <w:tcW w:w="27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27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026"/>
        </w:trPr>
        <w:tc>
          <w:tcPr>
            <w:tcW w:w="2760" w:type="dxa"/>
            <w:vAlign w:val="bottom"/>
          </w:tcPr>
          <w:p>
            <w:pPr>
              <w:spacing w:after="0"/>
              <w:rPr>
                <w:sz w:val="24"/>
                <w:szCs w:val="24"/>
                <w:color w:val="auto"/>
              </w:rPr>
            </w:pPr>
          </w:p>
        </w:tc>
        <w:tc>
          <w:tcPr>
            <w:tcW w:w="22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Michael Gordon</w:t>
            </w:r>
          </w:p>
        </w:tc>
      </w:tr>
      <w:tr>
        <w:trPr>
          <w:trHeight w:val="263"/>
        </w:trPr>
        <w:tc>
          <w:tcPr>
            <w:tcW w:w="27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Gordon</w:t>
            </w:r>
          </w:p>
        </w:tc>
      </w:tr>
      <w:tr>
        <w:trPr>
          <w:trHeight w:val="270"/>
        </w:trPr>
        <w:tc>
          <w:tcPr>
            <w:tcW w:w="27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r>
      <w:tr>
        <w:trPr>
          <w:trHeight w:val="270"/>
        </w:trPr>
        <w:tc>
          <w:tcPr>
            <w:tcW w:w="27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5800" w:val="left"/>
          <w:tab w:leader="none" w:pos="7000" w:val="left"/>
        </w:tabs>
        <w:rPr>
          <w:sz w:val="20"/>
          <w:szCs w:val="20"/>
          <w:color w:val="auto"/>
        </w:rPr>
      </w:pPr>
      <w:r>
        <w:rPr>
          <w:rFonts w:ascii="Times New Roman" w:cs="Times New Roman" w:eastAsia="Times New Roman" w:hAnsi="Times New Roman"/>
          <w:sz w:val="18"/>
          <w:szCs w:val="18"/>
          <w:color w:val="auto"/>
        </w:rPr>
        <w:t>Date: August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24942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Gordon,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August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Dev Ittycheria, certify, pursuant to 18 U.S.C. Section 1350, as adopted pursuant to Section 906 of the Sarbanes-Oxley Act of 2002, that the Quarterly Report on Form 10-Q of MongoDB, Inc. for the period ended July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tabs>
          <w:tab w:leader="none" w:pos="5780" w:val="left"/>
          <w:tab w:leader="none" w:pos="6980" w:val="left"/>
        </w:tabs>
        <w:rPr>
          <w:sz w:val="20"/>
          <w:szCs w:val="20"/>
          <w:color w:val="auto"/>
        </w:rPr>
      </w:pPr>
      <w:r>
        <w:rPr>
          <w:rFonts w:ascii="Times New Roman" w:cs="Times New Roman" w:eastAsia="Times New Roman" w:hAnsi="Times New Roman"/>
          <w:sz w:val="18"/>
          <w:szCs w:val="18"/>
          <w:color w:val="auto"/>
        </w:rPr>
        <w:t>Date: August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24942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630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0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Michael Gordon, certify, pursuant to 18 U.S.C. Section 1350, as adopted pursuant to Section 906 of the Sarbanes-Oxley Act of 2002, that the Quarterly Report on Form 10-Q of MongoDB, Inc. for the period ended July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August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901"/>
    </w:lvl>
  </w:abstractNum>
  <w:abstractNum w:abstractNumId="3">
    <w:nsid w:val="DED7263"/>
    <w:multiLevelType w:val="hybridMultilevel"/>
    <w:lvl w:ilvl="0">
      <w:lvlJc w:val="left"/>
      <w:lvlText w:val="%1."/>
      <w:numFmt w:val="decimal"/>
      <w:start w:val="9"/>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lvl w:ilvl="1">
      <w:lvlJc w:val="left"/>
      <w:lvlText w:val="(%2)"/>
      <w:numFmt w:val="lowerLetter"/>
      <w:start w:val="2"/>
    </w:lvl>
  </w:abstractNum>
  <w:abstractNum w:abstractNumId="18">
    <w:nsid w:val="333AB105"/>
    <w:multiLevelType w:val="hybridMultilevel"/>
    <w:lvl w:ilvl="0">
      <w:lvlJc w:val="left"/>
      <w:lvlText w:val="(%1)"/>
      <w:numFmt w:val="lowerLetter"/>
      <w:start w:val="3"/>
    </w:lvl>
    <w:lvl w:ilvl="1">
      <w:lvlJc w:val="left"/>
      <w:lvlText w:val="%2"/>
      <w:numFmt w:val="lowerLetter"/>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26" Type="http://schemas.openxmlformats.org/officeDocument/2006/relationships/hyperlink" Target="http://www.sec.gov/Archives/edgar/data/1441816/000110465917063753/a17-24439_1ex3d1.htm" TargetMode="External"/><Relationship Id="rId127" Type="http://schemas.openxmlformats.org/officeDocument/2006/relationships/hyperlink" Target="http://www.sec.gov/Archives/edgar/data/1441816/000144181620000114/mdb-certificateofretir.htm" TargetMode="External"/><Relationship Id="rId128" Type="http://schemas.openxmlformats.org/officeDocument/2006/relationships/hyperlink" Target="http://www.sec.gov/Archives/edgar/data/1441816/000104746917006014/a2233365z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2024-08-30T17:01:52Z</dcterms:created>
  <dcterms:modified xsi:type="dcterms:W3CDTF">2024-08-30T17:01:52Z</dcterms:modified>
</cp:coreProperties>
</file>