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5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60"/>
        <w:jc w:val="center"/>
        <w:rPr>
          <w:rFonts w:ascii="Times New Roman;sans-serif" w:hAnsi="Times New Roman;sans-serif"/>
          <w:b/>
          <w:color w:val="000000"/>
          <w:sz w:val="22"/>
        </w:rPr>
      </w:pPr>
      <w:r>
        <w:rPr>
          <w:rFonts w:ascii="Times New Roman;sans-serif" w:hAnsi="Times New Roman;sans-serif"/>
          <w:b/>
          <w:color w:val="000000"/>
          <w:sz w:val="22"/>
        </w:rPr>
        <w:t xml:space="preserve">WASHINGTON, DC 20549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6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(Mark One) </w:t>
      </w:r>
    </w:p>
    <w:p>
      <w:pPr>
        <w:pStyle w:val="TextBody"/>
        <w:bidi w:val="0"/>
        <w:spacing w:lineRule="auto" w:line="288" w:before="0" w:after="60"/>
        <w:ind w:left="0" w:right="0" w:hanging="720"/>
        <w:jc w:val="left"/>
        <w:rPr/>
      </w:pPr>
      <w:r>
        <w:rPr>
          <w:color w:val="000000"/>
        </w:rPr>
        <w:t>☑    </w:t>
      </w:r>
      <w:r>
        <w:rPr>
          <w:rFonts w:ascii="Times New Roman;sans-serif" w:hAnsi="Times New Roman;sans-serif"/>
          <w:b/>
          <w:color w:val="000000"/>
          <w:sz w:val="22"/>
        </w:rPr>
        <w:t xml:space="preserve">QUARTERLY REPORT PURSUANT TO SECTION 13 OR 15(d) OF THE SECURITIES EXCHANGE ACT OF 1934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July 31, 2023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bidi w:val="0"/>
        <w:spacing w:lineRule="auto" w:line="288" w:before="0" w:after="60"/>
        <w:ind w:left="0" w:right="0" w:hanging="720"/>
        <w:jc w:val="left"/>
        <w:rPr/>
      </w:pPr>
      <w:r>
        <w:rPr>
          <w:color w:val="000000"/>
        </w:rPr>
        <w:t>☐    </w:t>
      </w:r>
      <w:r>
        <w:rPr>
          <w:rFonts w:ascii="Times New Roman;sans-serif" w:hAnsi="Times New Roman;sans-serif"/>
          <w:b/>
          <w:color w:val="000000"/>
          <w:sz w:val="22"/>
        </w:rPr>
        <w:t xml:space="preserve">TRANSITION REPORT PURSUANT TO SECTION 13 OR 15(d) OF THE SECURITIES EXCHANGE ACT OF 1934 </w:t>
      </w:r>
    </w:p>
    <w:p>
      <w:pPr>
        <w:pStyle w:val="TextBody"/>
        <w:bidi w:val="0"/>
        <w:spacing w:lineRule="auto" w:line="288" w:before="0" w:after="12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001-38240 </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MONGODB,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120"/>
        <w:jc w:val="center"/>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tbl>
      <w:tblPr>
        <w:tblW w:w="4735" w:type="dxa"/>
        <w:jc w:val="center"/>
        <w:tblInd w:w="0" w:type="dxa"/>
        <w:tblLayout w:type="fixed"/>
        <w:tblCellMar>
          <w:top w:w="28" w:type="dxa"/>
          <w:left w:w="28" w:type="dxa"/>
          <w:bottom w:w="28" w:type="dxa"/>
          <w:right w:w="28" w:type="dxa"/>
        </w:tblCellMar>
      </w:tblPr>
      <w:tblGrid>
        <w:gridCol w:w="600"/>
        <w:gridCol w:w="526"/>
        <w:gridCol w:w="526"/>
        <w:gridCol w:w="418"/>
        <w:gridCol w:w="418"/>
        <w:gridCol w:w="436"/>
        <w:gridCol w:w="109"/>
        <w:gridCol w:w="109"/>
        <w:gridCol w:w="109"/>
        <w:gridCol w:w="433"/>
        <w:gridCol w:w="433"/>
        <w:gridCol w:w="618"/>
      </w:tblGrid>
      <w:tr>
        <w:trPr/>
        <w:tc>
          <w:tcPr>
            <w:tcW w:w="6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26-1463205</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(I.R.S. Employer </w:t>
              <w:br/>
              <w:t>Identification No.)</w:t>
            </w:r>
          </w:p>
        </w:tc>
      </w:tr>
      <w:tr>
        <w:trPr/>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1633 Broadway,</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38th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10019</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60"/>
        <w:jc w:val="center"/>
        <w:rPr/>
      </w:pPr>
      <w:r>
        <w:rPr>
          <w:rFonts w:ascii="Times New Roman;sans-serif" w:hAnsi="Times New Roman;sans-serif"/>
          <w:b/>
          <w:color w:val="000000"/>
          <w:sz w:val="20"/>
        </w:rPr>
        <w:t>Registrant’s telephone number, including area code: 646</w:t>
      </w:r>
      <w:r>
        <w:rPr>
          <w:rFonts w:ascii="Times New Roman;sans-serif" w:hAnsi="Times New Roman;sans-serif"/>
          <w:b/>
          <w:color w:val="000000"/>
          <w:sz w:val="20"/>
          <w:shd w:fill="FFFFFF" w:val="clear"/>
        </w:rPr>
        <w:t xml:space="preserve">-727-4092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MDB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360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Market)</w:t>
            </w:r>
          </w:p>
        </w:tc>
      </w:tr>
    </w:tbl>
    <w:p>
      <w:pPr>
        <w:pStyle w:val="TextBody"/>
        <w:bidi w:val="0"/>
        <w:spacing w:lineRule="auto" w:line="288" w:before="0" w:after="60"/>
        <w:ind w:left="0" w:right="0" w:firstLine="495"/>
        <w:jc w:val="left"/>
        <w:rPr/>
      </w:pPr>
      <w:r>
        <w:rPr>
          <w:rFonts w:ascii="Times New Roman;sans-serif" w:hAnsi="Times New Roman;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9"/>
        </w:rPr>
        <w:t>No  </w:t>
      </w:r>
      <w:r>
        <w:rPr>
          <w:color w:val="000000"/>
        </w:rPr>
        <w:t>☐</w:t>
      </w:r>
    </w:p>
    <w:p>
      <w:pPr>
        <w:pStyle w:val="TextBody"/>
        <w:bidi w:val="0"/>
        <w:spacing w:lineRule="auto" w:line="288" w:before="0" w:after="60"/>
        <w:ind w:left="0" w:right="0" w:firstLine="495"/>
        <w:jc w:val="left"/>
        <w:rPr/>
      </w:pPr>
      <w:r>
        <w:rPr>
          <w:rFonts w:ascii="Times New Roman;sans-serif" w:hAnsi="Times New Roman;sans-serif"/>
          <w:b w:val="false"/>
          <w:color w:val="000000"/>
          <w:sz w:val="19"/>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9"/>
        </w:rPr>
        <w:t>No  </w:t>
      </w:r>
      <w:r>
        <w:rPr>
          <w:color w:val="000000"/>
        </w:rPr>
        <w:t>☐</w:t>
      </w:r>
    </w:p>
    <w:p>
      <w:pPr>
        <w:pStyle w:val="TextBody"/>
        <w:bidi w:val="0"/>
        <w:spacing w:lineRule="auto" w:line="288" w:before="0" w:after="60"/>
        <w:ind w:left="0" w:right="0" w:firstLine="495"/>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ind w:left="0" w:right="0" w:firstLine="495"/>
        <w:jc w:val="left"/>
        <w:rPr/>
      </w:pPr>
      <w:r>
        <w:rPr>
          <w:rFonts w:ascii="Times New Roman;sans-serif" w:hAnsi="Times New Roman;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60"/>
        <w:ind w:left="0" w:right="0" w:firstLine="495"/>
        <w:jc w:val="left"/>
        <w:rPr/>
      </w:pPr>
      <w:r>
        <w:rPr>
          <w:rFonts w:ascii="Times New Roman;sans-serif" w:hAnsi="Times New Roman;sans-serif"/>
          <w:b w:val="false"/>
          <w:color w:val="000000"/>
          <w:sz w:val="19"/>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9"/>
        </w:rPr>
        <w:t xml:space="preserve">No </w:t>
      </w:r>
      <w:r>
        <w:rPr>
          <w:color w:val="000000"/>
        </w:rPr>
        <w:t>☑</w:t>
      </w:r>
    </w:p>
    <w:p>
      <w:pPr>
        <w:pStyle w:val="TextBody"/>
        <w:bidi w:val="0"/>
        <w:spacing w:lineRule="auto" w:line="288" w:before="0" w:after="60"/>
        <w:ind w:left="0" w:right="0" w:firstLine="495"/>
        <w:jc w:val="left"/>
        <w:rPr>
          <w:rFonts w:ascii="Times New Roman;sans-serif" w:hAnsi="Times New Roman;sans-serif"/>
          <w:b w:val="false"/>
          <w:color w:val="000000"/>
          <w:sz w:val="19"/>
        </w:rPr>
      </w:pPr>
      <w:r>
        <w:rPr>
          <w:rFonts w:ascii="Times New Roman;sans-serif" w:hAnsi="Times New Roman;sans-serif"/>
          <w:b w:val="false"/>
          <w:color w:val="000000"/>
          <w:sz w:val="19"/>
        </w:rPr>
        <w:t>As of August 30, 2023, there were 71,344,615 shares of the registrant’s common stock, par value $0.001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before="0" w:after="180"/>
        <w:ind w:left="0" w:right="0" w:firstLine="540"/>
        <w:jc w:val="left"/>
        <w:rPr/>
      </w:pPr>
      <w:r>
        <w:rPr/>
      </w:r>
    </w:p>
    <w:p>
      <w:pPr>
        <w:pStyle w:val="TextBody"/>
        <w:bidi w:val="0"/>
        <w:spacing w:lineRule="auto" w:line="288" w:before="0" w:after="18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8" w:before="0" w:after="180"/>
        <w:ind w:left="0" w:right="0" w:firstLine="54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307"/>
        <w:gridCol w:w="268"/>
        <w:gridCol w:w="268"/>
        <w:gridCol w:w="2751"/>
        <w:gridCol w:w="2662"/>
        <w:gridCol w:w="2671"/>
        <w:gridCol w:w="367"/>
        <w:gridCol w:w="367"/>
        <w:gridCol w:w="544"/>
      </w:tblGrid>
      <w:tr>
        <w:trPr/>
        <w:tc>
          <w:tcPr>
            <w:tcW w:w="30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d8cdb78a364449b6a82ea35942048797_10">
              <w:r>
                <w:rPr>
                  <w:rStyle w:val="InternetLink"/>
                  <w:rFonts w:ascii="Times New Roman;sans-serif" w:hAnsi="Times New Roman;sans-serif"/>
                  <w:b/>
                  <w:color w:val="0000FF"/>
                  <w:sz w:val="20"/>
                  <w:u w:val="single"/>
                </w:rPr>
                <w:t>PART I. FINANCIAL INFORMATION</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3">
              <w:r>
                <w:rPr>
                  <w:rStyle w:val="InternetLink"/>
                  <w:rFonts w:ascii="Times New Roman;sans-serif" w:hAnsi="Times New Roman;sans-serif"/>
                  <w:b w:val="false"/>
                  <w:color w:val="0000FF"/>
                  <w:sz w:val="20"/>
                  <w:u w:val="single"/>
                </w:rPr>
                <w:t>Item 1.</w:t>
              </w:r>
            </w:hyperlink>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3">
              <w:r>
                <w:rPr>
                  <w:rStyle w:val="InternetLink"/>
                  <w:rFonts w:ascii="Times New Roman;sans-serif" w:hAnsi="Times New Roman;sans-serif"/>
                  <w:b w:val="false"/>
                  <w:color w:val="0000FF"/>
                  <w:sz w:val="20"/>
                  <w:u w:val="single"/>
                </w:rPr>
                <w:t>Financial Statements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3">
              <w:r>
                <w:rPr>
                  <w:rStyle w:val="InternetLink"/>
                  <w:rFonts w:ascii="Times New Roman;sans-serif" w:hAnsi="Times New Roman;sans-serif"/>
                  <w:b w:val="false"/>
                  <w:color w:val="0000FF"/>
                  <w:sz w:val="20"/>
                  <w:u w:val="single"/>
                </w:rPr>
                <w:t>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360"/>
              <w:jc w:val="left"/>
              <w:rPr/>
            </w:pPr>
            <w:hyperlink w:anchor="id8cdb78a364449b6a82ea35942048797_16">
              <w:r>
                <w:rPr>
                  <w:rStyle w:val="InternetLink"/>
                  <w:rFonts w:ascii="Times New Roman;sans-serif" w:hAnsi="Times New Roman;sans-serif"/>
                  <w:b w:val="false"/>
                  <w:color w:val="0000FF"/>
                  <w:sz w:val="20"/>
                  <w:u w:val="single"/>
                </w:rPr>
                <w:t>Unaudited Condensed Consolidated Balance Sheets as of July 31, 2023 and January 31, 2023</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6">
              <w:r>
                <w:rPr>
                  <w:rStyle w:val="InternetLink"/>
                  <w:rFonts w:ascii="Times New Roman;sans-serif" w:hAnsi="Times New Roman;sans-serif"/>
                  <w:b w:val="false"/>
                  <w:color w:val="0000FF"/>
                  <w:sz w:val="20"/>
                  <w:u w:val="single"/>
                </w:rPr>
                <w:t>1</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8cdb78a364449b6a82ea35942048797_19">
              <w:r>
                <w:rPr>
                  <w:rStyle w:val="InternetLink"/>
                  <w:rFonts w:ascii="Times New Roman;sans-serif" w:hAnsi="Times New Roman;sans-serif"/>
                  <w:b w:val="false"/>
                  <w:color w:val="0000FF"/>
                  <w:sz w:val="20"/>
                  <w:u w:val="single"/>
                </w:rPr>
                <w:t>Unaudited Condensed Consolidated Statements of Operations for the three and six months ended July 31, 2023 and 2022</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9">
              <w:r>
                <w:rPr>
                  <w:rStyle w:val="InternetLink"/>
                  <w:rFonts w:ascii="Times New Roman;sans-serif" w:hAnsi="Times New Roman;sans-serif"/>
                  <w:b w:val="false"/>
                  <w:color w:val="0000FF"/>
                  <w:sz w:val="20"/>
                  <w:u w:val="single"/>
                </w:rPr>
                <w:t>2</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8cdb78a364449b6a82ea35942048797_22">
              <w:r>
                <w:rPr>
                  <w:rStyle w:val="InternetLink"/>
                  <w:rFonts w:ascii="Times New Roman;sans-serif" w:hAnsi="Times New Roman;sans-serif"/>
                  <w:b w:val="false"/>
                  <w:color w:val="0000FF"/>
                  <w:sz w:val="20"/>
                  <w:u w:val="single"/>
                </w:rPr>
                <w:t>Unaudited Condensed Consolidated Statements of Comprehensive Loss for the three and six months ended July 31, 2023 and 2022</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22">
              <w:r>
                <w:rPr>
                  <w:rStyle w:val="InternetLink"/>
                  <w:rFonts w:ascii="Times New Roman;sans-serif" w:hAnsi="Times New Roman;sans-serif"/>
                  <w:b w:val="false"/>
                  <w:color w:val="0000FF"/>
                  <w:sz w:val="20"/>
                  <w:u w:val="single"/>
                </w:rPr>
                <w:t>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8cdb78a364449b6a82ea35942048797_25">
              <w:r>
                <w:rPr>
                  <w:rStyle w:val="InternetLink"/>
                  <w:rFonts w:ascii="Times New Roman;sans-serif" w:hAnsi="Times New Roman;sans-serif"/>
                  <w:b w:val="false"/>
                  <w:color w:val="0000FF"/>
                  <w:sz w:val="20"/>
                  <w:u w:val="single"/>
                </w:rPr>
                <w:t>Unaudited Condensed Consolidated Statements of Stockholders’ Equity</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25">
              <w:r>
                <w:rPr>
                  <w:rStyle w:val="InternetLink"/>
                  <w:rFonts w:ascii="Times New Roman;sans-serif" w:hAnsi="Times New Roman;sans-serif"/>
                  <w:b w:val="false"/>
                  <w:color w:val="0000FF"/>
                  <w:sz w:val="20"/>
                  <w:u w:val="single"/>
                </w:rPr>
                <w:t>4</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8cdb78a364449b6a82ea35942048797_28">
              <w:r>
                <w:rPr>
                  <w:rStyle w:val="InternetLink"/>
                  <w:rFonts w:ascii="Times New Roman;sans-serif" w:hAnsi="Times New Roman;sans-serif"/>
                  <w:b w:val="false"/>
                  <w:color w:val="0000FF"/>
                  <w:sz w:val="20"/>
                  <w:u w:val="single"/>
                </w:rPr>
                <w:t>Unaudited Condensed Consolidated Statements of Cash Flows for the six months ended July 31, 2023 and 2022</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28">
              <w:r>
                <w:rPr>
                  <w:rStyle w:val="InternetLink"/>
                  <w:rFonts w:ascii="Times New Roman;sans-serif" w:hAnsi="Times New Roman;sans-serif"/>
                  <w:b w:val="false"/>
                  <w:color w:val="0000FF"/>
                  <w:sz w:val="20"/>
                  <w:u w:val="single"/>
                </w:rPr>
                <w:t>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d8cdb78a364449b6a82ea35942048797_31">
              <w:r>
                <w:rPr>
                  <w:rStyle w:val="InternetLink"/>
                  <w:rFonts w:ascii="Times New Roman;sans-serif" w:hAnsi="Times New Roman;sans-serif"/>
                  <w:b w:val="false"/>
                  <w:color w:val="0000FF"/>
                  <w:sz w:val="20"/>
                  <w:u w:val="single"/>
                </w:rPr>
                <w:t>Notes to Condensed Consolidated Financial Statements (unaudited)</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31">
              <w:r>
                <w:rPr>
                  <w:rStyle w:val="InternetLink"/>
                  <w:rFonts w:ascii="Times New Roman;sans-serif" w:hAnsi="Times New Roman;sans-serif"/>
                  <w:b w:val="false"/>
                  <w:color w:val="0000FF"/>
                  <w:sz w:val="20"/>
                  <w:u w:val="single"/>
                </w:rPr>
                <w:t>7</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73">
              <w:r>
                <w:rPr>
                  <w:rStyle w:val="InternetLink"/>
                  <w:rFonts w:ascii="Times New Roman;sans-serif" w:hAnsi="Times New Roman;sans-serif"/>
                  <w:b w:val="false"/>
                  <w:color w:val="0000FF"/>
                  <w:sz w:val="20"/>
                  <w:u w:val="single"/>
                </w:rPr>
                <w:t>Item 2.</w:t>
              </w:r>
            </w:hyperlink>
          </w:p>
        </w:tc>
        <w:tc>
          <w:tcPr>
            <w:tcW w:w="8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7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73">
              <w:r>
                <w:rPr>
                  <w:rStyle w:val="InternetLink"/>
                  <w:rFonts w:ascii="Times New Roman;sans-serif" w:hAnsi="Times New Roman;sans-serif"/>
                  <w:b w:val="false"/>
                  <w:color w:val="0000FF"/>
                  <w:sz w:val="20"/>
                  <w:u w:val="single"/>
                </w:rPr>
                <w:t>19</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06">
              <w:r>
                <w:rPr>
                  <w:rStyle w:val="InternetLink"/>
                  <w:rFonts w:ascii="Times New Roman;sans-serif" w:hAnsi="Times New Roman;sans-serif"/>
                  <w:b w:val="false"/>
                  <w:color w:val="0000FF"/>
                  <w:sz w:val="20"/>
                  <w:u w:val="single"/>
                </w:rPr>
                <w:t>Item 3.</w:t>
              </w:r>
            </w:hyperlink>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06">
              <w:r>
                <w:rPr>
                  <w:rStyle w:val="InternetLink"/>
                  <w:rFonts w:ascii="Times New Roman;sans-serif" w:hAnsi="Times New Roman;sans-serif"/>
                  <w:b w:val="false"/>
                  <w:color w:val="0000FF"/>
                  <w:sz w:val="20"/>
                  <w:u w:val="single"/>
                </w:rPr>
                <w:t>Quantitative and Qualitative Disclosures About Market Risk</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06">
              <w:r>
                <w:rPr>
                  <w:rStyle w:val="InternetLink"/>
                  <w:rFonts w:ascii="Times New Roman;sans-serif" w:hAnsi="Times New Roman;sans-serif"/>
                  <w:b w:val="false"/>
                  <w:color w:val="0000FF"/>
                  <w:sz w:val="20"/>
                  <w:u w:val="single"/>
                </w:rPr>
                <w:t>31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09">
              <w:r>
                <w:rPr>
                  <w:rStyle w:val="InternetLink"/>
                  <w:rFonts w:ascii="Times New Roman;sans-serif" w:hAnsi="Times New Roman;sans-serif"/>
                  <w:b w:val="false"/>
                  <w:color w:val="0000FF"/>
                  <w:sz w:val="20"/>
                  <w:u w:val="single"/>
                </w:rPr>
                <w:t>Item 4.</w:t>
              </w:r>
            </w:hyperlink>
          </w:p>
        </w:tc>
        <w:tc>
          <w:tcPr>
            <w:tcW w:w="8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09">
              <w:r>
                <w:rPr>
                  <w:rStyle w:val="InternetLink"/>
                  <w:rFonts w:ascii="Times New Roman;sans-serif" w:hAnsi="Times New Roman;sans-serif"/>
                  <w:b w:val="false"/>
                  <w:color w:val="0000FF"/>
                  <w:sz w:val="20"/>
                  <w:u w:val="single"/>
                </w:rPr>
                <w:t>Controls and Procedures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09">
              <w:r>
                <w:rPr>
                  <w:rStyle w:val="InternetLink"/>
                  <w:rFonts w:ascii="Times New Roman;sans-serif" w:hAnsi="Times New Roman;sans-serif"/>
                  <w:b w:val="false"/>
                  <w:color w:val="0000FF"/>
                  <w:sz w:val="20"/>
                  <w:u w:val="single"/>
                </w:rPr>
                <w:t>32</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d8cdb78a364449b6a82ea35942048797_112">
              <w:r>
                <w:rPr>
                  <w:rStyle w:val="InternetLink"/>
                  <w:rFonts w:ascii="Times New Roman;sans-serif" w:hAnsi="Times New Roman;sans-serif"/>
                  <w:b/>
                  <w:color w:val="0000FF"/>
                  <w:sz w:val="20"/>
                  <w:u w:val="single"/>
                </w:rPr>
                <w:t>PART II. OTHER INFORMATION</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15">
              <w:r>
                <w:rPr>
                  <w:rStyle w:val="InternetLink"/>
                  <w:rFonts w:ascii="Times New Roman;sans-serif" w:hAnsi="Times New Roman;sans-serif"/>
                  <w:b w:val="false"/>
                  <w:color w:val="0000FF"/>
                  <w:sz w:val="20"/>
                  <w:u w:val="single"/>
                </w:rPr>
                <w:t>Item 1.</w:t>
              </w:r>
            </w:hyperlink>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15">
              <w:r>
                <w:rPr>
                  <w:rStyle w:val="InternetLink"/>
                  <w:rFonts w:ascii="Times New Roman;sans-serif" w:hAnsi="Times New Roman;sans-serif"/>
                  <w:b w:val="false"/>
                  <w:color w:val="0000FF"/>
                  <w:sz w:val="20"/>
                  <w:u w:val="single"/>
                </w:rPr>
                <w:t>Legal Proceedings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15">
              <w:r>
                <w:rPr>
                  <w:rStyle w:val="InternetLink"/>
                  <w:rFonts w:ascii="Times New Roman;sans-serif" w:hAnsi="Times New Roman;sans-serif"/>
                  <w:b w:val="false"/>
                  <w:color w:val="0000FF"/>
                  <w:sz w:val="20"/>
                  <w:u w:val="single"/>
                </w:rPr>
                <w:t>33</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18">
              <w:r>
                <w:rPr>
                  <w:rStyle w:val="InternetLink"/>
                  <w:rFonts w:ascii="Times New Roman;sans-serif" w:hAnsi="Times New Roman;sans-serif"/>
                  <w:b w:val="false"/>
                  <w:color w:val="0000FF"/>
                  <w:sz w:val="20"/>
                  <w:u w:val="single"/>
                </w:rPr>
                <w:t>Item 1A.</w:t>
              </w:r>
            </w:hyperlink>
          </w:p>
        </w:tc>
        <w:tc>
          <w:tcPr>
            <w:tcW w:w="8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18">
              <w:r>
                <w:rPr>
                  <w:rStyle w:val="InternetLink"/>
                  <w:rFonts w:ascii="Times New Roman;sans-serif" w:hAnsi="Times New Roman;sans-serif"/>
                  <w:b w:val="false"/>
                  <w:color w:val="0000FF"/>
                  <w:sz w:val="20"/>
                  <w:u w:val="single"/>
                </w:rPr>
                <w:t>Risk Factors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18">
              <w:r>
                <w:rPr>
                  <w:rStyle w:val="InternetLink"/>
                  <w:rFonts w:ascii="Times New Roman;sans-serif" w:hAnsi="Times New Roman;sans-serif"/>
                  <w:b w:val="false"/>
                  <w:color w:val="0000FF"/>
                  <w:sz w:val="20"/>
                  <w:u w:val="single"/>
                </w:rPr>
                <w:t>33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21">
              <w:r>
                <w:rPr>
                  <w:rStyle w:val="InternetLink"/>
                  <w:rFonts w:ascii="Times New Roman;sans-serif" w:hAnsi="Times New Roman;sans-serif"/>
                  <w:b w:val="false"/>
                  <w:color w:val="0000FF"/>
                  <w:sz w:val="20"/>
                  <w:u w:val="single"/>
                </w:rPr>
                <w:t>Item 2.</w:t>
              </w:r>
            </w:hyperlink>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21">
              <w:r>
                <w:rPr>
                  <w:rStyle w:val="InternetLink"/>
                  <w:rFonts w:ascii="Times New Roman;sans-serif" w:hAnsi="Times New Roman;sans-serif"/>
                  <w:b w:val="false"/>
                  <w:color w:val="0000FF"/>
                  <w:sz w:val="20"/>
                  <w:u w:val="single"/>
                </w:rPr>
                <w:t>Unregistered Sales of Equity Securities and Use of Proceeds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21">
              <w:r>
                <w:rPr>
                  <w:rStyle w:val="InternetLink"/>
                  <w:rFonts w:ascii="Times New Roman;sans-serif" w:hAnsi="Times New Roman;sans-serif"/>
                  <w:b w:val="false"/>
                  <w:color w:val="0000FF"/>
                  <w:sz w:val="20"/>
                  <w:u w:val="single"/>
                </w:rPr>
                <w:t>66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24">
              <w:r>
                <w:rPr>
                  <w:rStyle w:val="InternetLink"/>
                  <w:rFonts w:ascii="Times New Roman;sans-serif" w:hAnsi="Times New Roman;sans-serif"/>
                  <w:b w:val="false"/>
                  <w:color w:val="0000FF"/>
                  <w:sz w:val="20"/>
                  <w:u w:val="single"/>
                </w:rPr>
                <w:t>Item 3.</w:t>
              </w:r>
            </w:hyperlink>
          </w:p>
        </w:tc>
        <w:tc>
          <w:tcPr>
            <w:tcW w:w="8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24">
              <w:r>
                <w:rPr>
                  <w:rStyle w:val="InternetLink"/>
                  <w:rFonts w:ascii="Times New Roman;sans-serif" w:hAnsi="Times New Roman;sans-serif"/>
                  <w:b w:val="false"/>
                  <w:color w:val="0000FF"/>
                  <w:sz w:val="20"/>
                  <w:u w:val="single"/>
                </w:rPr>
                <w:t>Defaults Upon Senior Securities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24">
              <w:r>
                <w:rPr>
                  <w:rStyle w:val="InternetLink"/>
                  <w:rFonts w:ascii="Times New Roman;sans-serif" w:hAnsi="Times New Roman;sans-serif"/>
                  <w:b w:val="false"/>
                  <w:color w:val="0000FF"/>
                  <w:sz w:val="20"/>
                  <w:u w:val="single"/>
                </w:rPr>
                <w:t>66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27">
              <w:r>
                <w:rPr>
                  <w:rStyle w:val="InternetLink"/>
                  <w:rFonts w:ascii="Times New Roman;sans-serif" w:hAnsi="Times New Roman;sans-serif"/>
                  <w:b w:val="false"/>
                  <w:color w:val="0000FF"/>
                  <w:sz w:val="20"/>
                  <w:u w:val="single"/>
                </w:rPr>
                <w:t>Item 4.</w:t>
              </w:r>
            </w:hyperlink>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27">
              <w:r>
                <w:rPr>
                  <w:rStyle w:val="InternetLink"/>
                  <w:rFonts w:ascii="Times New Roman;sans-serif" w:hAnsi="Times New Roman;sans-serif"/>
                  <w:b w:val="false"/>
                  <w:color w:val="0000FF"/>
                  <w:sz w:val="20"/>
                  <w:u w:val="single"/>
                </w:rPr>
                <w:t>Mine Safety Disclosures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27">
              <w:r>
                <w:rPr>
                  <w:rStyle w:val="InternetLink"/>
                  <w:rFonts w:ascii="Times New Roman;sans-serif" w:hAnsi="Times New Roman;sans-serif"/>
                  <w:b w:val="false"/>
                  <w:color w:val="0000FF"/>
                  <w:sz w:val="20"/>
                  <w:u w:val="single"/>
                </w:rPr>
                <w:t>66</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30">
              <w:r>
                <w:rPr>
                  <w:rStyle w:val="InternetLink"/>
                  <w:rFonts w:ascii="Times New Roman;sans-serif" w:hAnsi="Times New Roman;sans-serif"/>
                  <w:b w:val="false"/>
                  <w:color w:val="0000FF"/>
                  <w:sz w:val="20"/>
                  <w:u w:val="single"/>
                </w:rPr>
                <w:t>Item 5.</w:t>
              </w:r>
            </w:hyperlink>
          </w:p>
        </w:tc>
        <w:tc>
          <w:tcPr>
            <w:tcW w:w="8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30">
              <w:r>
                <w:rPr>
                  <w:rStyle w:val="InternetLink"/>
                  <w:rFonts w:ascii="Times New Roman;sans-serif" w:hAnsi="Times New Roman;sans-serif"/>
                  <w:b w:val="false"/>
                  <w:color w:val="0000FF"/>
                  <w:sz w:val="20"/>
                  <w:u w:val="single"/>
                </w:rPr>
                <w:t>Other Information</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30">
              <w:r>
                <w:rPr>
                  <w:rStyle w:val="InternetLink"/>
                  <w:rFonts w:ascii="Times New Roman;sans-serif" w:hAnsi="Times New Roman;sans-serif"/>
                  <w:b w:val="false"/>
                  <w:color w:val="0000FF"/>
                  <w:sz w:val="20"/>
                  <w:u w:val="single"/>
                </w:rPr>
                <w:t>66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35"/>
              <w:jc w:val="left"/>
              <w:rPr/>
            </w:pPr>
            <w:hyperlink w:anchor="id8cdb78a364449b6a82ea35942048797_133">
              <w:r>
                <w:rPr>
                  <w:rStyle w:val="InternetLink"/>
                  <w:rFonts w:ascii="Times New Roman;sans-serif" w:hAnsi="Times New Roman;sans-serif"/>
                  <w:b w:val="false"/>
                  <w:color w:val="0000FF"/>
                  <w:sz w:val="20"/>
                  <w:u w:val="single"/>
                </w:rPr>
                <w:t>Item 6.</w:t>
              </w:r>
            </w:hyperlink>
          </w:p>
        </w:tc>
        <w:tc>
          <w:tcPr>
            <w:tcW w:w="8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33">
              <w:r>
                <w:rPr>
                  <w:rStyle w:val="InternetLink"/>
                  <w:rFonts w:ascii="Times New Roman;sans-serif" w:hAnsi="Times New Roman;sans-serif"/>
                  <w:b w:val="false"/>
                  <w:color w:val="0000FF"/>
                  <w:sz w:val="20"/>
                  <w:u w:val="single"/>
                </w:rPr>
                <w:t>Exhibits</w:t>
              </w:r>
            </w:hyperlink>
          </w:p>
        </w:tc>
        <w:tc>
          <w:tcPr>
            <w:tcW w:w="12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33">
              <w:r>
                <w:rPr>
                  <w:rStyle w:val="InternetLink"/>
                  <w:rFonts w:ascii="Times New Roman;sans-serif" w:hAnsi="Times New Roman;sans-serif"/>
                  <w:b w:val="false"/>
                  <w:color w:val="0000FF"/>
                  <w:sz w:val="20"/>
                  <w:u w:val="single"/>
                </w:rPr>
                <w:t>68</w:t>
              </w:r>
            </w:hyperlink>
          </w:p>
        </w:tc>
      </w:tr>
      <w:tr>
        <w:trPr/>
        <w:tc>
          <w:tcPr>
            <w:tcW w:w="8927"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d8cdb78a364449b6a82ea35942048797_136">
              <w:r>
                <w:rPr>
                  <w:rStyle w:val="InternetLink"/>
                  <w:rFonts w:ascii="Times New Roman;sans-serif" w:hAnsi="Times New Roman;sans-serif"/>
                  <w:b w:val="false"/>
                  <w:color w:val="0000FF"/>
                  <w:sz w:val="20"/>
                  <w:u w:val="single"/>
                </w:rPr>
                <w:t>Signatures</w:t>
              </w:r>
            </w:hyperlink>
          </w:p>
        </w:tc>
        <w:tc>
          <w:tcPr>
            <w:tcW w:w="12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d8cdb78a364449b6a82ea35942048797_136">
              <w:r>
                <w:rPr>
                  <w:rStyle w:val="InternetLink"/>
                  <w:rFonts w:ascii="Times New Roman;sans-serif" w:hAnsi="Times New Roman;sans-serif"/>
                  <w:b w:val="false"/>
                  <w:color w:val="0000FF"/>
                  <w:sz w:val="20"/>
                  <w:u w:val="single"/>
                </w:rPr>
                <w:t>69</w:t>
              </w:r>
            </w:hyperlink>
          </w:p>
        </w:tc>
      </w:tr>
    </w:tbl>
    <w:p>
      <w:pPr>
        <w:pStyle w:val="TextBody"/>
        <w:bidi w:val="0"/>
        <w:spacing w:before="0" w:after="180"/>
        <w:ind w:left="0" w:right="0" w:firstLine="540"/>
        <w:jc w:val="left"/>
        <w:rPr/>
      </w:pPr>
      <w:r>
        <w:rPr/>
      </w:r>
    </w:p>
    <w:p>
      <w:pPr>
        <w:pStyle w:val="TextBody"/>
        <w:bidi w:val="0"/>
        <w:spacing w:before="0" w:after="18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540"/>
                        <w:jc w:val="left"/>
                        <w:rPr/>
                      </w:pPr>
                      <w:r>
                        <w:rPr/>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12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ind w:left="0" w:right="0" w:hanging="945"/>
        <w:jc w:val="left"/>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 except share and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64"/>
        <w:gridCol w:w="2322"/>
        <w:gridCol w:w="2293"/>
        <w:gridCol w:w="196"/>
        <w:gridCol w:w="871"/>
        <w:gridCol w:w="109"/>
        <w:gridCol w:w="109"/>
        <w:gridCol w:w="109"/>
        <w:gridCol w:w="109"/>
        <w:gridCol w:w="196"/>
        <w:gridCol w:w="871"/>
        <w:gridCol w:w="156"/>
      </w:tblGrid>
      <w:tr>
        <w:trPr/>
        <w:tc>
          <w:tcPr>
            <w:tcW w:w="286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4"/>
              </w:rPr>
            </w:pPr>
            <w:r>
              <w:rPr>
                <w:rFonts w:ascii="Times New Roman;sans-serif" w:hAnsi="Times New Roman;sans-serif"/>
                <w:b/>
                <w:color w:val="000000"/>
                <w:sz w:val="14"/>
              </w:rPr>
              <w:t>January 31, 2023</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and cash equivalents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Accounts receivable, net of allowance for doubtful accounts of $7,165 and $6,362 as of July 31, 2023 and January 31, 2023, respectively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commissions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Prepaid expenses and other current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current assets </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2,294,962 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2,236,584 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Property and equipment,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Goodwill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tax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2,588,893 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Accounts payable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Accrued compensation and benefits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accrued liabilities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revenue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current liabilities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588,512 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tax liability, non-current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non-current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Deferred revenue, non-current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Convertible senior notes,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1,139,880 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non-current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liabilities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1,849,385 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7)</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par value of $0.001 per share; 1,000,000,000 shares authorized as of July 31, 2023 and January 31, 2023; 71,442,756 shares issued and 71,343,385 shares outstanding as of July 31, 2023; 70,005,957 shares issued and 69,906,586 shares outstanding as of January 31, 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Additional paid-in capital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2,276,694 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99,371 shares (repurchased at an average of $13.27 per share) as of July 31, 2023 and January 31, 2023</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(1,535,032)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739,508 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2,648,234 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2,588,893 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of U.S. dollars, except share and per share data)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98"/>
        <w:gridCol w:w="1337"/>
        <w:gridCol w:w="1347"/>
        <w:gridCol w:w="219"/>
        <w:gridCol w:w="862"/>
        <w:gridCol w:w="109"/>
        <w:gridCol w:w="109"/>
        <w:gridCol w:w="109"/>
        <w:gridCol w:w="109"/>
        <w:gridCol w:w="211"/>
        <w:gridCol w:w="888"/>
        <w:gridCol w:w="109"/>
        <w:gridCol w:w="109"/>
        <w:gridCol w:w="109"/>
        <w:gridCol w:w="109"/>
        <w:gridCol w:w="219"/>
        <w:gridCol w:w="862"/>
        <w:gridCol w:w="109"/>
        <w:gridCol w:w="109"/>
        <w:gridCol w:w="109"/>
        <w:gridCol w:w="109"/>
        <w:gridCol w:w="211"/>
        <w:gridCol w:w="888"/>
        <w:gridCol w:w="155"/>
      </w:tblGrid>
      <w:tr>
        <w:trPr/>
        <w:tc>
          <w:tcPr>
            <w:tcW w:w="169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589,107 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 income, net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(191,964)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basic and diluted </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net loss per share, basic and diluted</w:t>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70,874,117 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68,334,464 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70,531,581 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68,025,687 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thousands of U.S. dollars)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before="0" w:after="0"/>
        <w:jc w:val="center"/>
        <w:rPr/>
      </w:pPr>
      <w:r>
        <w:rPr/>
      </w:r>
    </w:p>
    <w:tbl>
      <w:tblPr>
        <w:tblW w:w="10155" w:type="dxa"/>
        <w:jc w:val="center"/>
        <w:tblInd w:w="0" w:type="dxa"/>
        <w:tblLayout w:type="fixed"/>
        <w:tblCellMar>
          <w:top w:w="28" w:type="dxa"/>
          <w:left w:w="28" w:type="dxa"/>
          <w:bottom w:w="28" w:type="dxa"/>
          <w:right w:w="28" w:type="dxa"/>
        </w:tblCellMar>
      </w:tblPr>
      <w:tblGrid>
        <w:gridCol w:w="1613"/>
        <w:gridCol w:w="1418"/>
        <w:gridCol w:w="1424"/>
        <w:gridCol w:w="211"/>
        <w:gridCol w:w="796"/>
        <w:gridCol w:w="109"/>
        <w:gridCol w:w="109"/>
        <w:gridCol w:w="109"/>
        <w:gridCol w:w="109"/>
        <w:gridCol w:w="211"/>
        <w:gridCol w:w="901"/>
        <w:gridCol w:w="109"/>
        <w:gridCol w:w="109"/>
        <w:gridCol w:w="109"/>
        <w:gridCol w:w="109"/>
        <w:gridCol w:w="211"/>
        <w:gridCol w:w="796"/>
        <w:gridCol w:w="109"/>
        <w:gridCol w:w="109"/>
        <w:gridCol w:w="109"/>
        <w:gridCol w:w="109"/>
        <w:gridCol w:w="211"/>
        <w:gridCol w:w="901"/>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(loss) gain on available-for-sale securities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comprehensive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center"/>
        <w:rPr/>
      </w:pPr>
      <w:r>
        <w:rPr/>
      </w:r>
    </w:p>
    <w:p>
      <w:pPr>
        <w:pStyle w:val="TextBody"/>
        <w:bidi w:val="0"/>
        <w:spacing w:lineRule="auto" w:line="288" w:before="1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 except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p>
      <w:pPr>
        <w:pStyle w:val="TextBody"/>
        <w:bidi w:val="0"/>
        <w:spacing w:before="0" w:after="0"/>
        <w:jc w:val="center"/>
        <w:rPr/>
      </w:pPr>
      <w:r>
        <w:rPr/>
      </w:r>
    </w:p>
    <w:tbl>
      <w:tblPr>
        <w:tblW w:w="10401" w:type="dxa"/>
        <w:jc w:val="center"/>
        <w:tblInd w:w="0" w:type="dxa"/>
        <w:tblLayout w:type="fixed"/>
        <w:tblCellMar>
          <w:top w:w="28" w:type="dxa"/>
          <w:left w:w="28" w:type="dxa"/>
          <w:bottom w:w="28" w:type="dxa"/>
          <w:right w:w="28" w:type="dxa"/>
        </w:tblCellMar>
      </w:tblPr>
      <w:tblGrid>
        <w:gridCol w:w="842"/>
        <w:gridCol w:w="239"/>
        <w:gridCol w:w="240"/>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571"/>
        <w:gridCol w:w="109"/>
        <w:gridCol w:w="109"/>
        <w:gridCol w:w="109"/>
        <w:gridCol w:w="109"/>
        <w:gridCol w:w="228"/>
        <w:gridCol w:w="665"/>
        <w:gridCol w:w="128"/>
        <w:gridCol w:w="109"/>
        <w:gridCol w:w="109"/>
        <w:gridCol w:w="109"/>
        <w:gridCol w:w="196"/>
        <w:gridCol w:w="886"/>
        <w:gridCol w:w="109"/>
        <w:gridCol w:w="109"/>
        <w:gridCol w:w="109"/>
        <w:gridCol w:w="109"/>
        <w:gridCol w:w="196"/>
        <w:gridCol w:w="73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January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69,906,586 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(1,535,032)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213,713 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388,017 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performance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senior notes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(54,246)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April 30, 2023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70,531,307 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265,477 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432,093 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113,312 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senior notes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July 31,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71,343,385 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(1,626,875)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885,085 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MONGODB,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(continued)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 except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tbl>
      <w:tblPr>
        <w:tblW w:w="10401" w:type="dxa"/>
        <w:jc w:val="center"/>
        <w:tblInd w:w="0" w:type="dxa"/>
        <w:tblLayout w:type="fixed"/>
        <w:tblCellMar>
          <w:top w:w="28" w:type="dxa"/>
          <w:left w:w="28" w:type="dxa"/>
          <w:bottom w:w="28" w:type="dxa"/>
          <w:right w:w="28" w:type="dxa"/>
        </w:tblCellMar>
      </w:tblPr>
      <w:tblGrid>
        <w:gridCol w:w="842"/>
        <w:gridCol w:w="239"/>
        <w:gridCol w:w="240"/>
        <w:gridCol w:w="480"/>
        <w:gridCol w:w="481"/>
        <w:gridCol w:w="171"/>
        <w:gridCol w:w="109"/>
        <w:gridCol w:w="109"/>
        <w:gridCol w:w="109"/>
        <w:gridCol w:w="196"/>
        <w:gridCol w:w="331"/>
        <w:gridCol w:w="109"/>
        <w:gridCol w:w="109"/>
        <w:gridCol w:w="109"/>
        <w:gridCol w:w="109"/>
        <w:gridCol w:w="196"/>
        <w:gridCol w:w="871"/>
        <w:gridCol w:w="109"/>
        <w:gridCol w:w="109"/>
        <w:gridCol w:w="109"/>
        <w:gridCol w:w="109"/>
        <w:gridCol w:w="196"/>
        <w:gridCol w:w="571"/>
        <w:gridCol w:w="109"/>
        <w:gridCol w:w="109"/>
        <w:gridCol w:w="109"/>
        <w:gridCol w:w="109"/>
        <w:gridCol w:w="228"/>
        <w:gridCol w:w="665"/>
        <w:gridCol w:w="128"/>
        <w:gridCol w:w="109"/>
        <w:gridCol w:w="109"/>
        <w:gridCol w:w="109"/>
        <w:gridCol w:w="196"/>
        <w:gridCol w:w="886"/>
        <w:gridCol w:w="109"/>
        <w:gridCol w:w="109"/>
        <w:gridCol w:w="109"/>
        <w:gridCol w:w="109"/>
        <w:gridCol w:w="196"/>
        <w:gridCol w:w="73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January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67,444,360 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1,860,514 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666,700 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235,517 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83,566 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senior notes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available-for-sale securities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(77,294)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April 30,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68,061,063 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1,945,737 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672,879 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 exercises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163,986 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388,483 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of convertible senior notes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available-for-sale securities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(118,865)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Balances as of July 31, 2022</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68,686,516 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2,059,405 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(4,194)</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(1,385,793)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668,168 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12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of U.S. dollars)</w:t>
      </w:r>
    </w:p>
    <w:p>
      <w:pPr>
        <w:pStyle w:val="TextBody"/>
        <w:bidi w:val="0"/>
        <w:spacing w:lineRule="auto" w:line="288" w:before="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76"/>
        <w:gridCol w:w="2485"/>
        <w:gridCol w:w="2512"/>
        <w:gridCol w:w="181"/>
        <w:gridCol w:w="616"/>
        <w:gridCol w:w="109"/>
        <w:gridCol w:w="109"/>
        <w:gridCol w:w="109"/>
        <w:gridCol w:w="109"/>
        <w:gridCol w:w="181"/>
        <w:gridCol w:w="662"/>
        <w:gridCol w:w="156"/>
      </w:tblGrid>
      <w:tr>
        <w:trPr/>
        <w:tc>
          <w:tcPr>
            <w:tcW w:w="2976"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Six Months Ended July 31,</w:t>
            </w:r>
          </w:p>
        </w:tc>
      </w:tr>
      <w:tr>
        <w:trPr/>
        <w:tc>
          <w:tcPr>
            <w:tcW w:w="7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loss </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(196,159)</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Adjustments to reconcile net loss to net cash provided by (used in)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Depreciation and amortization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Stock-based compensation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180,120 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debt discount and issuance costs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finance right-of-use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operating right-of-use assets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Deferred income taxes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(302)</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Amortization of premium and accretion of discount on short-term investments,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gain on non-marketable securities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Unrealized foreign exchange loss (gain)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Change in operating assets and liabilities: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Accounts receivable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(19,480)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Prepaid expenses and other current assets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Deferred commissions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Other long-term assets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Accounts payable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Accrued liabilities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(4,549)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Deferred revenue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 non-current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cash provided by (used in) operating activities </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(33,097)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Purchases of property and equipment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 non-marketable securities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Proceeds from maturities of marketable securities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Purchases of marketable securities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(197,614)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cash provided by investing activities </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196,115 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exercise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the issuance of common stock under the Employee Stock Purchase Plan</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Principal repayments of finance leases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cash provided by financing activities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Effect of exchange rate changes on cash, cash equivalents and restricted cash </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increase in cash, cash equivalents and restricted cash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Cash, cash equivalents and restricted cash, beginning of period </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456,339 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Cash, cash equivalents and restricted cash, end of period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607,856 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651,926 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14"/>
              </w:rPr>
            </w:pPr>
            <w:r>
              <w:rPr>
                <w:rFonts w:ascii="Times New Roman;sans-serif" w:hAnsi="Times New Roman;sans-serif"/>
                <w:b/>
                <w:color w:val="000000"/>
                <w:sz w:val="14"/>
              </w:rPr>
              <w:t>Supplemental cash flow disclosure</w:t>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Cash paid during the period for: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 net of refunds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Interest expense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r>
      <w:tr>
        <w:trPr/>
        <w:tc>
          <w:tcPr>
            <w:tcW w:w="797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Reconciliation of cash, cash equivalents and restricted cash within the condensed consolidated balance sheets, end of period, to the amounts shown in the statements of cash flows above: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651,420 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Restricted cash, non-current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3"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4"/>
              </w:rPr>
            </w:pPr>
            <w:r>
              <w:rPr>
                <w:rFonts w:ascii="Times New Roman;sans-serif" w:hAnsi="Times New Roman;sans-serif"/>
                <w:b w:val="false"/>
                <w:color w:val="000000"/>
                <w:sz w:val="14"/>
              </w:rPr>
              <w:t>Total cash, cash equivalents and restricted cash</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607,856 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651,926 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ind w:left="0" w:right="0" w:firstLine="54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1.</w:t>
      </w:r>
      <w:r>
        <w:rPr>
          <w:color w:val="000000"/>
        </w:rPr>
        <w:t xml:space="preserve"> </w:t>
      </w:r>
      <w:r>
        <w:rPr>
          <w:rFonts w:ascii="Times New Roman;sans-serif" w:hAnsi="Times New Roman;sans-serif"/>
          <w:b/>
          <w:color w:val="000000"/>
          <w:sz w:val="20"/>
        </w:rPr>
        <w:t>Organization and Description of Business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2.</w:t>
      </w:r>
      <w:r>
        <w:rPr>
          <w:color w:val="000000"/>
        </w:rPr>
        <w:t xml:space="preserve"> </w:t>
      </w:r>
      <w:r>
        <w:rPr>
          <w:rFonts w:ascii="Times New Roman;sans-serif" w:hAnsi="Times New Roman;sans-serif"/>
          <w:b/>
          <w:color w:val="000000"/>
          <w:sz w:val="20"/>
        </w:rPr>
        <w:t>Summary of Significant Accounting Policies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Basis of Presentation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interim condensed consolidated financial statements are unaudited and have been prepared in accordance with generally accepted accounting principles in the United States of America ("U.S. GAAP") for interim financial information and the instructions to Form 10-Q and Rule 10-01 of Regulation S-X. These interim unaudited condensed consolidated financial statements include the accounts of the Company and all of its wholly-owned subsidiaries. The interim unaudited condensed consolidated financial statements have been prepared on a basis consistent with the annual consolidated financial statements and in the opinion of management, reflect all adjustments, including normal recurring adjustments, which are considered necessary to fairly state the Company’s financial position and results of operations as of and for the periods presented. All intercompany transactions and accounts have been eliminated. The results of operations for the interim periods should not be considered indicative of results for the full year or for any other future year or interim period.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year-end condensed balance sheet data was derived from audited financial statements but does not include all disclosures required by U.S. GAAP. Therefore, these interim unaudited condensed consolidated financial statements and accompanying footnotes should be read in conjunction with the Company’s annual consolidated financial statements and related footnotes included in its Annual Report on Form 10-K for the fiscal year ended January 31, 2023 (the “2023 Form 10-K”).</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Use of Estimates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interim unaudited condensed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incremental borrowing rate related to the Company’s lease liabilities, stock-based compensation, legal contingencies, fair value of acquired intangible assets and goodwill, useful lives of acquired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global macroeconomic conditions, including slower economic growth, rising interest rates and inflation, continue to impact demand and supply for a broad variety of goods and services, including demand from the Company’s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Significant Accounting Policies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Company’s significant accounting policies as described in the Company’s 2023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3.</w:t>
      </w:r>
      <w:r>
        <w:rPr>
          <w:color w:val="000000"/>
        </w:rPr>
        <w:t xml:space="preserve"> </w:t>
      </w:r>
      <w:r>
        <w:rPr>
          <w:rFonts w:ascii="Times New Roman;sans-serif" w:hAnsi="Times New Roman;sans-serif"/>
          <w:b/>
          <w:color w:val="000000"/>
          <w:sz w:val="20"/>
        </w:rPr>
        <w:t>Fair Value Measurements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financial assets that have been measured at fair value on a recurring basis as of July 31, 2023 and January 31, 2023 and indicate the fair value hierarchy of the valuation inputs utilized to determine such fair value (in thousands):</w:t>
      </w:r>
    </w:p>
    <w:tbl>
      <w:tblPr>
        <w:tblW w:w="8084" w:type="dxa"/>
        <w:jc w:val="left"/>
        <w:tblInd w:w="0" w:type="dxa"/>
        <w:tblLayout w:type="fixed"/>
        <w:tblCellMar>
          <w:top w:w="28" w:type="dxa"/>
          <w:left w:w="28" w:type="dxa"/>
          <w:bottom w:w="28" w:type="dxa"/>
          <w:right w:w="28" w:type="dxa"/>
        </w:tblCellMar>
      </w:tblPr>
      <w:tblGrid>
        <w:gridCol w:w="1090"/>
        <w:gridCol w:w="958"/>
        <w:gridCol w:w="966"/>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11"/>
        <w:gridCol w:w="976"/>
        <w:gridCol w:w="154"/>
      </w:tblGrid>
      <w:tr>
        <w:trPr/>
        <w:tc>
          <w:tcPr>
            <w:tcW w:w="109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 Measurement as of July 31, 2023</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384,192 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1,678,118 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085" w:type="dxa"/>
        <w:jc w:val="left"/>
        <w:tblInd w:w="0" w:type="dxa"/>
        <w:tblLayout w:type="fixed"/>
        <w:tblCellMar>
          <w:top w:w="28" w:type="dxa"/>
          <w:left w:w="28" w:type="dxa"/>
          <w:bottom w:w="28" w:type="dxa"/>
          <w:right w:w="28" w:type="dxa"/>
        </w:tblCellMar>
      </w:tblPr>
      <w:tblGrid>
        <w:gridCol w:w="1092"/>
        <w:gridCol w:w="958"/>
        <w:gridCol w:w="965"/>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11"/>
        <w:gridCol w:w="97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 as of January 31, 2023</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government treasury securities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financial assets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1,649,789 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utilized the market approach and Level 1 valuation inputs to value its money market mutual funds and U.S. government treasury securities because published net asset values were readily available.</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amortized cost and fair value of the Company’s short-term investments by remaining contractual maturity as of July 31, 2023 and January 31, 2023 (in thousands):</w:t>
      </w:r>
    </w:p>
    <w:tbl>
      <w:tblPr>
        <w:tblW w:w="10205" w:type="dxa"/>
        <w:jc w:val="left"/>
        <w:tblInd w:w="0" w:type="dxa"/>
        <w:tblLayout w:type="fixed"/>
        <w:tblCellMar>
          <w:top w:w="28" w:type="dxa"/>
          <w:left w:w="28" w:type="dxa"/>
          <w:bottom w:w="28" w:type="dxa"/>
          <w:right w:w="28" w:type="dxa"/>
        </w:tblCellMar>
      </w:tblPr>
      <w:tblGrid>
        <w:gridCol w:w="723"/>
        <w:gridCol w:w="268"/>
        <w:gridCol w:w="270"/>
        <w:gridCol w:w="211"/>
        <w:gridCol w:w="976"/>
        <w:gridCol w:w="109"/>
        <w:gridCol w:w="109"/>
        <w:gridCol w:w="109"/>
        <w:gridCol w:w="109"/>
        <w:gridCol w:w="229"/>
        <w:gridCol w:w="689"/>
        <w:gridCol w:w="120"/>
        <w:gridCol w:w="109"/>
        <w:gridCol w:w="109"/>
        <w:gridCol w:w="109"/>
        <w:gridCol w:w="211"/>
        <w:gridCol w:w="976"/>
        <w:gridCol w:w="109"/>
        <w:gridCol w:w="109"/>
        <w:gridCol w:w="109"/>
        <w:gridCol w:w="109"/>
        <w:gridCol w:w="211"/>
        <w:gridCol w:w="976"/>
        <w:gridCol w:w="109"/>
        <w:gridCol w:w="109"/>
        <w:gridCol w:w="109"/>
        <w:gridCol w:w="109"/>
        <w:gridCol w:w="229"/>
        <w:gridCol w:w="689"/>
        <w:gridCol w:w="120"/>
        <w:gridCol w:w="109"/>
        <w:gridCol w:w="109"/>
        <w:gridCol w:w="109"/>
        <w:gridCol w:w="211"/>
        <w:gridCol w:w="976"/>
        <w:gridCol w:w="158"/>
      </w:tblGrid>
      <w:tr>
        <w:trPr/>
        <w:tc>
          <w:tcPr>
            <w:tcW w:w="7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January 31, 2023</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Amortized </w:t>
              <w:br/>
              <w:t>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Unrealized </w:t>
              <w:br/>
              <w:t>Losses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1,380,804 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and within three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1,293,926 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1,380,804 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and January 31, 2023, unrealized losses on the Company’s U.S. government treasury securities were approximately $7.6 million and $2.4 million, respectively. These unrealized losses were caused by interest rate increases, which resulted in the decrease in market value of these securities. Because the decline in fair value is due to changes in interest rates and not credit quality, and because the Company does not intend to sell the investments and it is not more likely than not that the Company will be required to sell the investments before recovery of their amortized cost bases, which may be at maturity, the Company concluded that an allowance for credit losses was unnecessary for short-term investments as of July 31, 2023. Gross realized gains and losses were not material for each of the three and six month periods ended July 31, 2023 and 2022. There were no short-term investments in a continuous loss position for greater than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Convertible Senior Notes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Company measures the fair value of its outstanding convertible senior notes on a quarterly basis for disclosure purposes. The Company considers the fair value of its convertible senior notes at July 31, 2023 to be a Level 2 measurement due to limited trading activity of the convertible senior notes. Refer to Note 5,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for further details.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Non-marketable Securities</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As of July 31, 2023 and January 31, 2023, the total amount of non-marketable equity and debt securities included in other assets on the Company’s condensed consolidated balance sheets were $13.1 million and $9.8 million, respectively. During the six months ended July 31, 2023 and 2022, the Company invested an additional $2.1 million and $1.1 million, respectively, of its cash in non-marketable equity securities. The Company recognized net unrealized gains on certain of these non-marketable securities of $1.3 million and $1.7 million during the six months ended July 31, 2023 and 2022, respectively. The Company recognized unrealized losses on certain of these non-marketable securities of $0.9 million and $0.1 million during the three months ended July 31, 2023 and 2022, respectively. Refer to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in the Notes to Consolidated Financial Statements included in Part II, Item 8 of the Company’s 2023 Form 10-K for further information. The Company considers these assets as Level 3 within the fair value hierarchy. The estimation of fair value for these investments is inherently complex due to the lack of readily available market data and inherent lack of liquidity and requires the Company’s judgment and the use of significant unobservable inputs in an inactive market. In addition, the determination of whether an orderly transaction is for the identical or a similar investment requires significant management judgment, including understanding the differences in the rights and obligations of the investments, the extent to which those differences would affect the fair values of those investments and the stage of operational development of the entities.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4.</w:t>
      </w:r>
      <w:r>
        <w:rPr>
          <w:color w:val="000000"/>
        </w:rPr>
        <w:t xml:space="preserve"> </w:t>
      </w:r>
      <w:r>
        <w:rPr>
          <w:rFonts w:ascii="Times New Roman;sans-serif" w:hAnsi="Times New Roman;sans-serif"/>
          <w:b/>
          <w:color w:val="000000"/>
          <w:sz w:val="20"/>
        </w:rPr>
        <w:t>Goodwill and Acquired Intangible Assets, Net</w:t>
      </w:r>
    </w:p>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goodwill carrying amounts during the six months ended July 31, 2023. The gross carrying amounts and accumulated amortization of the Company’s intangible assets were as follows (in thousands):</w:t>
      </w:r>
    </w:p>
    <w:tbl>
      <w:tblPr>
        <w:tblW w:w="10205" w:type="dxa"/>
        <w:jc w:val="left"/>
        <w:tblInd w:w="0" w:type="dxa"/>
        <w:tblLayout w:type="fixed"/>
        <w:tblCellMar>
          <w:top w:w="28" w:type="dxa"/>
          <w:left w:w="28" w:type="dxa"/>
          <w:bottom w:w="28" w:type="dxa"/>
          <w:right w:w="28" w:type="dxa"/>
        </w:tblCellMar>
      </w:tblPr>
      <w:tblGrid>
        <w:gridCol w:w="673"/>
        <w:gridCol w:w="566"/>
        <w:gridCol w:w="570"/>
        <w:gridCol w:w="315"/>
        <w:gridCol w:w="1080"/>
        <w:gridCol w:w="163"/>
        <w:gridCol w:w="109"/>
        <w:gridCol w:w="109"/>
        <w:gridCol w:w="109"/>
        <w:gridCol w:w="350"/>
        <w:gridCol w:w="1316"/>
        <w:gridCol w:w="181"/>
        <w:gridCol w:w="109"/>
        <w:gridCol w:w="109"/>
        <w:gridCol w:w="109"/>
        <w:gridCol w:w="264"/>
        <w:gridCol w:w="774"/>
        <w:gridCol w:w="136"/>
        <w:gridCol w:w="109"/>
        <w:gridCol w:w="109"/>
        <w:gridCol w:w="109"/>
        <w:gridCol w:w="828"/>
        <w:gridCol w:w="828"/>
        <w:gridCol w:w="1180"/>
      </w:tblGrid>
      <w:tr>
        <w:trPr/>
        <w:tc>
          <w:tcPr>
            <w:tcW w:w="6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r>
      <w:tr>
        <w:trPr/>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Remaining Useful Life </w:t>
              <w:br/>
              <w:t>(in years)</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(46,462)</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2"/>
        <w:gridCol w:w="565"/>
        <w:gridCol w:w="568"/>
        <w:gridCol w:w="315"/>
        <w:gridCol w:w="1078"/>
        <w:gridCol w:w="162"/>
        <w:gridCol w:w="109"/>
        <w:gridCol w:w="109"/>
        <w:gridCol w:w="109"/>
        <w:gridCol w:w="349"/>
        <w:gridCol w:w="1312"/>
        <w:gridCol w:w="180"/>
        <w:gridCol w:w="109"/>
        <w:gridCol w:w="109"/>
        <w:gridCol w:w="109"/>
        <w:gridCol w:w="242"/>
        <w:gridCol w:w="829"/>
        <w:gridCol w:w="125"/>
        <w:gridCol w:w="109"/>
        <w:gridCol w:w="109"/>
        <w:gridCol w:w="109"/>
        <w:gridCol w:w="826"/>
        <w:gridCol w:w="826"/>
        <w:gridCol w:w="1175"/>
      </w:tblGrid>
      <w:tr>
        <w:trPr/>
        <w:tc>
          <w:tcPr>
            <w:tcW w:w="67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Remaining Useful Life </w:t>
              <w:br/>
              <w:t>(in years)</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53,300 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(41,872)</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Acquired intangible assets are amortized on a straight-line basis. Amortization expense of intangible assets was $2.3 million and $4.6 million for the three and six months ended July 31, 2023, respectively, and $2.3 million and $4.6 million for the three and six months ended July 31, 2022, respectively. Amortization expense for developed technology was included as research and development expense in the Company’s interim unaudited condensed consolidated statements of operations. Amortization expense for customer relationships was included as sales and marketing expense in the Company’s interim unaudited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future amortization expense related to the intangible assets is as follows (in thousands):</w:t>
      </w:r>
    </w:p>
    <w:tbl>
      <w:tblPr>
        <w:tblW w:w="3321" w:type="dxa"/>
        <w:jc w:val="left"/>
        <w:tblInd w:w="0" w:type="dxa"/>
        <w:tblLayout w:type="fixed"/>
        <w:tblCellMar>
          <w:top w:w="28" w:type="dxa"/>
          <w:left w:w="28" w:type="dxa"/>
          <w:bottom w:w="28" w:type="dxa"/>
          <w:right w:w="28" w:type="dxa"/>
        </w:tblCellMar>
      </w:tblPr>
      <w:tblGrid>
        <w:gridCol w:w="846"/>
        <w:gridCol w:w="746"/>
        <w:gridCol w:w="748"/>
        <w:gridCol w:w="211"/>
        <w:gridCol w:w="61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January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80"/>
        <w:jc w:val="left"/>
        <w:rPr/>
      </w:pPr>
      <w:r>
        <w:rPr>
          <w:rFonts w:ascii="Times New Roman;sans-serif" w:hAnsi="Times New Roman;sans-serif"/>
          <w:b/>
          <w:color w:val="000000"/>
          <w:sz w:val="20"/>
        </w:rPr>
        <w:t>5.</w:t>
      </w:r>
      <w:r>
        <w:rPr>
          <w:color w:val="000000"/>
        </w:rPr>
        <w:t xml:space="preserve"> </w:t>
      </w:r>
      <w:r>
        <w:rPr>
          <w:rFonts w:ascii="Times New Roman;sans-serif" w:hAnsi="Times New Roman;sans-serif"/>
          <w:b/>
          <w:color w:val="000000"/>
          <w:sz w:val="20"/>
        </w:rPr>
        <w:t>Convertible Senior Notes</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net carrying amounts of the Company’s 2026 Notes (as defined herein) were as follows for the periods presented (in thousands):</w:t>
      </w:r>
    </w:p>
    <w:tbl>
      <w:tblPr>
        <w:tblW w:w="6694" w:type="dxa"/>
        <w:jc w:val="left"/>
        <w:tblInd w:w="0" w:type="dxa"/>
        <w:tblLayout w:type="fixed"/>
        <w:tblCellMar>
          <w:top w:w="28" w:type="dxa"/>
          <w:left w:w="28" w:type="dxa"/>
          <w:bottom w:w="28" w:type="dxa"/>
          <w:right w:w="28" w:type="dxa"/>
        </w:tblCellMar>
      </w:tblPr>
      <w:tblGrid>
        <w:gridCol w:w="999"/>
        <w:gridCol w:w="877"/>
        <w:gridCol w:w="884"/>
        <w:gridCol w:w="109"/>
        <w:gridCol w:w="109"/>
        <w:gridCol w:w="109"/>
        <w:gridCol w:w="109"/>
        <w:gridCol w:w="211"/>
        <w:gridCol w:w="976"/>
        <w:gridCol w:w="109"/>
        <w:gridCol w:w="109"/>
        <w:gridCol w:w="109"/>
        <w:gridCol w:w="109"/>
        <w:gridCol w:w="109"/>
        <w:gridCol w:w="109"/>
        <w:gridCol w:w="109"/>
        <w:gridCol w:w="109"/>
        <w:gridCol w:w="226"/>
        <w:gridCol w:w="1048"/>
        <w:gridCol w:w="165"/>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2202" w:type="dxa"/>
            <w:gridSpan w:val="10"/>
            <w:tcBorders/>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1,149,972 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1,139,880 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ind w:left="0" w:right="0" w:hanging="180"/>
        <w:jc w:val="left"/>
        <w:rPr/>
      </w:pPr>
      <w:r>
        <w:rPr/>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the estimated fair value (Level 2) of the outstanding 2026 Notes, which is utilized solely for disclosure purposes, was approximately $2.3 billion. The fair value was determined based on the closing trading price per $100 of the 2026 Notes as of the last day of trading for the period. The fair value of the 2026 Notes is primarily affected by the trading price of the Company’s common stock and market interest rates.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are senior unsecured obligations of the Company and interest is payable semiannually in arrears on July 15 and January 15 of each year, beginning on July 15, 2020, at a rate of 0.25% per year. The 2026 Notes will mature on January 15, 2026, unless earlier converted, redeemed or repurchased. The total net proceeds from the offering, after deducting initial purchase discounts and estimated debt issuance costs, were approximately $1.13 billion.</w:t>
      </w:r>
    </w:p>
    <w:p>
      <w:pPr>
        <w:pStyle w:val="TextBody"/>
        <w:bidi w:val="0"/>
        <w:spacing w:lineRule="auto" w:line="288" w:before="80" w:after="180"/>
        <w:ind w:left="0" w:right="0" w:firstLine="540"/>
        <w:jc w:val="left"/>
        <w:rPr/>
      </w:pPr>
      <w:r>
        <w:rPr>
          <w:rFonts w:ascii="Times New Roman;sans-serif" w:hAnsi="Times New Roman;sans-serif"/>
          <w:b w:val="false"/>
          <w:color w:val="000000"/>
          <w:sz w:val="20"/>
        </w:rPr>
        <w:t xml:space="preserve">Refer to Note 6,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in the Notes to Consolidated Financial Statements included in Part II, Item 8 of the Company’s 2023 Form 10-K for further information on the 2026 Notes.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31, 2023, the conditional conversion feature of the 2026 Notes was triggered as the last reported sale price of the Company's common stock was more than or equal to 130% of the conversion price for at least 20 trading days in the period of 30 consecutive trading days ending on July 31, 2023 (the last trading day of the fiscal quarter) and therefore the 2026 Notes are convertible, in whole or in part, from August 1, 2023 through October 31, 2023. Whether the 2026 Notes will be convertible following such period will depend on the continued satisfaction of this condition or another conversion condition in the future.</w:t>
      </w:r>
    </w:p>
    <w:p>
      <w:pPr>
        <w:pStyle w:val="TextBody"/>
        <w:bidi w:val="0"/>
        <w:spacing w:lineRule="auto" w:line="288" w:before="6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issuance of our convertible notes due June 15, 2024 (the “2024 Notes”) and the 2026 Notes, the Company entered into privately negotiated capped call transactions with certain counterparties (the “Capped Calls”). The Capped Calls associated with the 2024 Notes each have an initial strike price of approximately $68.15 per share, subject to certain adjustments, which corresponded to the initial conversion price of the 2024 Notes. These Capped Calls have initial cap prices of $106.90 per share, subject to certain adjustments.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Capped Calls associated with the 2026 Notes each have an initial strike price of approximately $211.20 per share, subject to certain adjustments, which corresponds to the initial conversion price of the 2026 Notes. These Capped Calls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initial cap prices of $296.42 per share, subject to certain adjustments. The Company did not unwind any of its Capped Calls through July 31, 2023.</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Refer to Note 6, </w:t>
      </w:r>
      <w:r>
        <w:rPr>
          <w:rFonts w:ascii="Times New Roman;sans-serif" w:hAnsi="Times New Roman;sans-serif"/>
          <w:b w:val="false"/>
          <w:i/>
          <w:color w:val="000000"/>
          <w:sz w:val="20"/>
        </w:rPr>
        <w:t>Convertible Senior Notes</w:t>
      </w:r>
      <w:r>
        <w:rPr>
          <w:rFonts w:ascii="Times New Roman;sans-serif" w:hAnsi="Times New Roman;sans-serif"/>
          <w:b w:val="false"/>
          <w:color w:val="000000"/>
          <w:sz w:val="20"/>
        </w:rPr>
        <w:t>, in the Notes to Consolidated Financial Statements included in Part II, Item 8 of the Company’s 2023 Form 10-K for further information on the Capped Calls and the 2024 Notes.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6.</w:t>
      </w:r>
      <w:r>
        <w:rPr>
          <w:color w:val="000000"/>
        </w:rPr>
        <w:t xml:space="preserve"> </w:t>
      </w:r>
      <w:r>
        <w:rPr>
          <w:rFonts w:ascii="Times New Roman;sans-serif" w:hAnsi="Times New Roman;sans-serif"/>
          <w:b/>
          <w:color w:val="000000"/>
          <w:sz w:val="20"/>
        </w:rPr>
        <w:t>Leases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Lease Costs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lease costs included in its interim unaudited condensed consolidated statements of operations were as follows (in thousands):</w:t>
      </w:r>
    </w:p>
    <w:tbl>
      <w:tblPr>
        <w:tblW w:w="9015" w:type="dxa"/>
        <w:jc w:val="left"/>
        <w:tblInd w:w="0" w:type="dxa"/>
        <w:tblLayout w:type="fixed"/>
        <w:tblCellMar>
          <w:top w:w="28" w:type="dxa"/>
          <w:left w:w="28" w:type="dxa"/>
          <w:bottom w:w="28" w:type="dxa"/>
          <w:right w:w="28" w:type="dxa"/>
        </w:tblCellMar>
      </w:tblPr>
      <w:tblGrid>
        <w:gridCol w:w="1449"/>
        <w:gridCol w:w="1274"/>
        <w:gridCol w:w="1281"/>
        <w:gridCol w:w="214"/>
        <w:gridCol w:w="626"/>
        <w:gridCol w:w="110"/>
        <w:gridCol w:w="110"/>
        <w:gridCol w:w="110"/>
        <w:gridCol w:w="110"/>
        <w:gridCol w:w="214"/>
        <w:gridCol w:w="626"/>
        <w:gridCol w:w="110"/>
        <w:gridCol w:w="109"/>
        <w:gridCol w:w="109"/>
        <w:gridCol w:w="109"/>
        <w:gridCol w:w="211"/>
        <w:gridCol w:w="721"/>
        <w:gridCol w:w="109"/>
        <w:gridCol w:w="109"/>
        <w:gridCol w:w="109"/>
        <w:gridCol w:w="109"/>
        <w:gridCol w:w="211"/>
        <w:gridCol w:w="721"/>
        <w:gridCol w:w="154"/>
      </w:tblGrid>
      <w:tr>
        <w:trPr/>
        <w:tc>
          <w:tcPr>
            <w:tcW w:w="144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finance lease right-of-use assets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finance lease liabilities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Balance Sheet Components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of the Company’s finance and operating leases were recorded on the condensed consolidated balance sheet as follows (in thousands):</w:t>
      </w:r>
    </w:p>
    <w:tbl>
      <w:tblPr>
        <w:tblW w:w="6101" w:type="dxa"/>
        <w:jc w:val="left"/>
        <w:tblInd w:w="0" w:type="dxa"/>
        <w:tblLayout w:type="fixed"/>
        <w:tblCellMar>
          <w:top w:w="28" w:type="dxa"/>
          <w:left w:w="28" w:type="dxa"/>
          <w:bottom w:w="28" w:type="dxa"/>
          <w:right w:w="28" w:type="dxa"/>
        </w:tblCellMar>
      </w:tblPr>
      <w:tblGrid>
        <w:gridCol w:w="1173"/>
        <w:gridCol w:w="1028"/>
        <w:gridCol w:w="1039"/>
        <w:gridCol w:w="222"/>
        <w:gridCol w:w="759"/>
        <w:gridCol w:w="114"/>
        <w:gridCol w:w="109"/>
        <w:gridCol w:w="109"/>
        <w:gridCol w:w="109"/>
        <w:gridCol w:w="279"/>
        <w:gridCol w:w="956"/>
        <w:gridCol w:w="204"/>
      </w:tblGrid>
      <w:tr>
        <w:trPr/>
        <w:tc>
          <w:tcPr>
            <w:tcW w:w="117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July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2023</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 current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Supplemental Information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information related to the Company’s finance and operating leases (in thousands, except weighted-average information):</w:t>
      </w:r>
    </w:p>
    <w:tbl>
      <w:tblPr>
        <w:tblW w:w="9592" w:type="dxa"/>
        <w:jc w:val="left"/>
        <w:tblInd w:w="0" w:type="dxa"/>
        <w:tblLayout w:type="fixed"/>
        <w:tblCellMar>
          <w:top w:w="28" w:type="dxa"/>
          <w:left w:w="28" w:type="dxa"/>
          <w:bottom w:w="28" w:type="dxa"/>
          <w:right w:w="28" w:type="dxa"/>
        </w:tblCellMar>
      </w:tblPr>
      <w:tblGrid>
        <w:gridCol w:w="2126"/>
        <w:gridCol w:w="1864"/>
        <w:gridCol w:w="1874"/>
        <w:gridCol w:w="109"/>
        <w:gridCol w:w="109"/>
        <w:gridCol w:w="169"/>
        <w:gridCol w:w="169"/>
        <w:gridCol w:w="327"/>
        <w:gridCol w:w="955"/>
        <w:gridCol w:w="420"/>
        <w:gridCol w:w="109"/>
        <w:gridCol w:w="109"/>
        <w:gridCol w:w="109"/>
        <w:gridCol w:w="211"/>
        <w:gridCol w:w="616"/>
        <w:gridCol w:w="316"/>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from finance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as of period end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80" w:after="180"/>
        <w:jc w:val="left"/>
        <w:rPr/>
      </w:pPr>
      <w:r>
        <w:rPr/>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Maturities of Lease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non-cancelable finance and operating leases on an annual undiscounted cash flow basis as of July 31, 2023 were as follows (in thousands):</w:t>
      </w:r>
    </w:p>
    <w:tbl>
      <w:tblPr>
        <w:tblW w:w="7222" w:type="dxa"/>
        <w:jc w:val="left"/>
        <w:tblInd w:w="0" w:type="dxa"/>
        <w:tblLayout w:type="fixed"/>
        <w:tblCellMar>
          <w:top w:w="28" w:type="dxa"/>
          <w:left w:w="28" w:type="dxa"/>
          <w:bottom w:w="28" w:type="dxa"/>
          <w:right w:w="28" w:type="dxa"/>
        </w:tblCellMar>
      </w:tblPr>
      <w:tblGrid>
        <w:gridCol w:w="1458"/>
        <w:gridCol w:w="1283"/>
        <w:gridCol w:w="1293"/>
        <w:gridCol w:w="109"/>
        <w:gridCol w:w="109"/>
        <w:gridCol w:w="109"/>
        <w:gridCol w:w="228"/>
        <w:gridCol w:w="779"/>
        <w:gridCol w:w="117"/>
        <w:gridCol w:w="109"/>
        <w:gridCol w:w="109"/>
        <w:gridCol w:w="109"/>
        <w:gridCol w:w="274"/>
        <w:gridCol w:w="936"/>
        <w:gridCol w:w="200"/>
      </w:tblGrid>
      <w:tr>
        <w:trPr/>
        <w:tc>
          <w:tcPr>
            <w:tcW w:w="1458"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Year Ending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Thereafter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minimum payments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54,184 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46,397 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obligations under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180"/>
        <w:jc w:val="left"/>
        <w:rPr/>
      </w:pPr>
      <w:r>
        <w:rPr>
          <w:rFonts w:ascii="Times New Roman;sans-serif" w:hAnsi="Times New Roman;sans-serif"/>
          <w:b/>
          <w:color w:val="000000"/>
          <w:sz w:val="20"/>
        </w:rPr>
        <w:t>7.</w:t>
      </w:r>
      <w:r>
        <w:rPr>
          <w:color w:val="000000"/>
        </w:rPr>
        <w:t xml:space="preserve"> </w:t>
      </w:r>
      <w:r>
        <w:rPr>
          <w:rFonts w:ascii="Times New Roman;sans-serif" w:hAnsi="Times New Roman;sans-serif"/>
          <w:b/>
          <w:color w:val="000000"/>
          <w:sz w:val="20"/>
        </w:rPr>
        <w:t>Commitments and Contingencies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Non-cancelable Material Commitments</w:t>
      </w:r>
    </w:p>
    <w:p>
      <w:pPr>
        <w:pStyle w:val="TextBody"/>
        <w:bidi w:val="0"/>
        <w:spacing w:lineRule="auto" w:line="256" w:before="0" w:after="0"/>
        <w:ind w:left="0" w:right="0" w:firstLine="540"/>
        <w:jc w:val="left"/>
        <w:rPr/>
      </w:pPr>
      <w:r>
        <w:rPr>
          <w:rFonts w:ascii="Times New Roman;sans-serif" w:hAnsi="Times New Roman;sans-serif"/>
          <w:b w:val="false"/>
          <w:color w:val="000000"/>
          <w:sz w:val="20"/>
        </w:rPr>
        <w:t xml:space="preserve">During the six months ended July 31, 2023, </w:t>
      </w:r>
      <w:r>
        <w:rPr>
          <w:rFonts w:ascii="Times New Roman;sans-serif" w:hAnsi="Times New Roman;sans-serif"/>
          <w:b w:val="false"/>
          <w:color w:val="000000"/>
          <w:sz w:val="20"/>
          <w:shd w:fill="FFFFFF" w:val="clear"/>
        </w:rPr>
        <w:t xml:space="preserve">other than certain non-cancelable operating leases described in Note 6, </w:t>
      </w:r>
      <w:r>
        <w:rPr>
          <w:rFonts w:ascii="Times New Roman;sans-serif" w:hAnsi="Times New Roman;sans-serif"/>
          <w:b w:val="false"/>
          <w:i/>
          <w:color w:val="000000"/>
          <w:sz w:val="20"/>
          <w:shd w:fill="FFFFFF" w:val="clear"/>
        </w:rPr>
        <w:t>Leases</w:t>
      </w:r>
      <w:r>
        <w:rPr>
          <w:rFonts w:ascii="Times New Roman;sans-serif" w:hAnsi="Times New Roman;sans-serif"/>
          <w:b w:val="false"/>
          <w:color w:val="000000"/>
          <w:sz w:val="20"/>
          <w:shd w:fill="FFFFFF" w:val="clear"/>
        </w:rPr>
        <w:t>, there have been no material changes outside the ordinary course of business t</w:t>
      </w:r>
      <w:r>
        <w:rPr>
          <w:rFonts w:ascii="Times New Roman;sans-serif" w:hAnsi="Times New Roman;sans-serif"/>
          <w:b w:val="false"/>
          <w:color w:val="000000"/>
          <w:sz w:val="20"/>
        </w:rPr>
        <w:t>o the Company’s contractual obligations and commitments from those disclosed in the 2023 Form 10-K.</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Legal Matters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investigates all claims, litigation and other legal matters as they arise. From time to time, the Company has become involved in claims, litigation and other legal matters arising in the ordinary course of business,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intellectual property, labor and employment and breach of contract claims. For example, on March 12, 2019, Realtime Data LLC (“Realtime”) filed a lawsuit against the Company in the United States District Court for the District of Delaware alleging that the Company is infringing three U.S. patents that it holds. On May 4, 2021, the District Court granted certain defendants' motion to dismiss without prejudice. Realtime filed an amended complaint on May 18, 2021, which the District Court dismissed on August 23, 2021. On August 25, 2021, Realtime filed a notice of appeal of the Delaware District Court’s order. The oral argument took place before the U.S. Court of Appeals for the Federal Circuit on February 10, 2023. On August 2, 2023, the U.S. Court of Appeals for the Federal Circuit issued an opinion affirming the District Court's order in favor of the Company. The Company believes the Federal Circuit correctly decided the matter, and it intends to continue to vigorously defend itself in the event of future appellate proceedings and any other potential future claims.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Although claims and litigation are inherently unpredictable, as of July 31, 2023, the Company does not believe that any legal matters,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 Regardless of the outcome, litigation can have an adverse impact on the Company because of defense and settlement costs, diversion of management resources and other factors.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Indemnification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 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ind w:left="0" w:right="0" w:hanging="180"/>
        <w:jc w:val="left"/>
        <w:rPr/>
      </w:pPr>
      <w:r>
        <w:rPr>
          <w:rFonts w:ascii="Times New Roman;sans-serif" w:hAnsi="Times New Roman;sans-serif"/>
          <w:b/>
          <w:color w:val="000000"/>
          <w:sz w:val="20"/>
        </w:rPr>
        <w:t>8.</w:t>
      </w:r>
      <w:r>
        <w:rPr>
          <w:color w:val="000000"/>
        </w:rPr>
        <w:t xml:space="preserve"> </w:t>
      </w:r>
      <w:r>
        <w:rPr>
          <w:rFonts w:ascii="Times New Roman;sans-serif" w:hAnsi="Times New Roman;sans-serif"/>
          <w:b/>
          <w:color w:val="000000"/>
          <w:sz w:val="20"/>
        </w:rPr>
        <w:t>Revenue</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Disaggregation of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information provided to and reviewed by the Company’s Chief Executive Officer, its Chief Operating Decision Maker, 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revenues disaggregated by primary geographical markets, subscription product categories and services (in thousands):</w:t>
      </w:r>
    </w:p>
    <w:tbl>
      <w:tblPr>
        <w:tblW w:w="9405" w:type="dxa"/>
        <w:jc w:val="left"/>
        <w:tblInd w:w="0" w:type="dxa"/>
        <w:tblLayout w:type="fixed"/>
        <w:tblCellMar>
          <w:top w:w="28" w:type="dxa"/>
          <w:left w:w="28" w:type="dxa"/>
          <w:bottom w:w="28" w:type="dxa"/>
          <w:right w:w="28" w:type="dxa"/>
        </w:tblCellMar>
      </w:tblPr>
      <w:tblGrid>
        <w:gridCol w:w="1377"/>
        <w:gridCol w:w="1205"/>
        <w:gridCol w:w="121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Primary geographical markets: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Americas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Asia Pacific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product categories and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MongoDB Atlas-related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Other 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Customers located in the United States accounted for 53% and 54% of total revenue for the three and six months ended July 31, 2023, respectively, and 55% of total revenue for both the three and six months ended July 31, 2022. No other country accounted for 10% or more of revenue for the periods presented.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Contract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liabilities are recorded as deferred revenue in the Company’s condensed consolidated balance sheet and consist of customer invoices issued or payments received in advance of revenues being recognized from the Company’s subscription and services contracts. Deferred revenue, including current and non-current balances, as of July 31, 2023 and January 31, 2023 was $368.6 million and $460.3 million, respectively. Approximately 37% and 36% of the total revenue recognized for the six months ended July 31, 2023 and 2022, respectively, was from deferred revenue at the beginning of each respective period.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Remaining Performance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July 31, 2023, the aggregate transaction price allocated to remaining performance obligations was $481.5 million. Approximately 56% is expected to be recognized as revenue over the next 12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Unbilled Receivables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condensed consolidated balance sheets. As of July 31, 2023 and January 31, 2023, unbilled receivables were $12.7 million and $9.7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Allowance for Doubtful Accounts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tbl>
      <w:tblPr>
        <w:tblW w:w="4978" w:type="dxa"/>
        <w:jc w:val="left"/>
        <w:tblInd w:w="0" w:type="dxa"/>
        <w:tblLayout w:type="fixed"/>
        <w:tblCellMar>
          <w:top w:w="28" w:type="dxa"/>
          <w:left w:w="28" w:type="dxa"/>
          <w:bottom w:w="28" w:type="dxa"/>
          <w:right w:w="28" w:type="dxa"/>
        </w:tblCellMar>
      </w:tblPr>
      <w:tblGrid>
        <w:gridCol w:w="875"/>
        <w:gridCol w:w="767"/>
        <w:gridCol w:w="772"/>
        <w:gridCol w:w="551"/>
        <w:gridCol w:w="1611"/>
        <w:gridCol w:w="402"/>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Doubtful Accounts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31, 2023</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6,362 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2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4,820 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Recoveries/write-offs</w:t>
            </w:r>
          </w:p>
        </w:tc>
        <w:tc>
          <w:tcPr>
            <w:tcW w:w="2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w:t>
            </w:r>
          </w:p>
        </w:tc>
        <w:tc>
          <w:tcPr>
            <w:tcW w:w="4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July 31, 2023</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7,165 </w:t>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Costs Capitalized to Obtain Contracts with Customers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were $256.9 million and $252.4 million as of July 31, 2023 and January 31, 2023, respectively. Amortization expense with respect to deferred commissions, which is included in sales and marketing expense in the Company’s interim unaudited condensed consolidated statements of operations, was $23.6 million and $46.7 million for the three and six months ended July 31, 2023, respectively, and $18.9 million and $36.5 million for the three and six months ended July 31, 2022, respectively. There was no impairment loss in relation to the costs capitalized for the periods presented.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9. Equity Incentive Plan and Employee Stock Purchase Plan</w:t>
      </w:r>
    </w:p>
    <w:p>
      <w:pPr>
        <w:pStyle w:val="TextBody"/>
        <w:bidi w:val="0"/>
        <w:spacing w:lineRule="auto" w:line="288" w:before="0" w:after="180"/>
        <w:jc w:val="left"/>
        <w:rPr>
          <w:rFonts w:ascii="Times New Roman;sans-serif" w:hAnsi="Times New Roman;sans-serif"/>
          <w:b/>
          <w:color w:val="2C2C2C"/>
          <w:sz w:val="20"/>
        </w:rPr>
      </w:pPr>
      <w:r>
        <w:rPr>
          <w:rFonts w:ascii="Times New Roman;sans-serif" w:hAnsi="Times New Roman;sans-serif"/>
          <w:b/>
          <w:color w:val="2C2C2C"/>
          <w:sz w:val="20"/>
        </w:rPr>
        <w:t>Equity Incentive Plan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adopted the 2008 Stock Incentive Plan (as amended, the “2008 Plan”) and the 2016 Equity Incentive Plan (as amended the “2016 Plan”), primarily for the purpose of granting stock-based awards to eligible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Stock Options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2016 Plan provides for the issuance of incentive stock options to eligible employees and non-statutory stock options to eligible employees, directors or consultants. The Company’s Board of Directors, or a committee thereof, determines the vesting schedule for all equity awards. Stock option awards generally vest over a period of four years with 25% vesting on the one-year anniversary of the award and the remainder vesting monthly over the next 36 months of the grantee’s service to the Company. There were no stock options granted during the six months ended July 31, 2023.</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activity for the six months ended July 31, 2023 (in thousands, except share and per share data and years):</w:t>
      </w:r>
    </w:p>
    <w:tbl>
      <w:tblPr>
        <w:tblW w:w="9941" w:type="dxa"/>
        <w:jc w:val="left"/>
        <w:tblInd w:w="0" w:type="dxa"/>
        <w:tblLayout w:type="fixed"/>
        <w:tblCellMar>
          <w:top w:w="28" w:type="dxa"/>
          <w:left w:w="28" w:type="dxa"/>
          <w:bottom w:w="28" w:type="dxa"/>
          <w:right w:w="28" w:type="dxa"/>
        </w:tblCellMar>
      </w:tblPr>
      <w:tblGrid>
        <w:gridCol w:w="1278"/>
        <w:gridCol w:w="1122"/>
        <w:gridCol w:w="1124"/>
        <w:gridCol w:w="488"/>
        <w:gridCol w:w="488"/>
        <w:gridCol w:w="196"/>
        <w:gridCol w:w="109"/>
        <w:gridCol w:w="109"/>
        <w:gridCol w:w="109"/>
        <w:gridCol w:w="384"/>
        <w:gridCol w:w="931"/>
        <w:gridCol w:w="199"/>
        <w:gridCol w:w="109"/>
        <w:gridCol w:w="109"/>
        <w:gridCol w:w="109"/>
        <w:gridCol w:w="519"/>
        <w:gridCol w:w="519"/>
        <w:gridCol w:w="521"/>
        <w:gridCol w:w="109"/>
        <w:gridCol w:w="109"/>
        <w:gridCol w:w="109"/>
        <w:gridCol w:w="211"/>
        <w:gridCol w:w="82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Weighted-Average </w:t>
              <w:br/>
              <w:t xml:space="preserve">Exercise </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Weighted- Average </w:t>
              <w:br/>
              <w:t xml:space="preserve">Remaining </w:t>
              <w:br/>
              <w:t xml:space="preserve">Contractual Term </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w:t>
              <w:br/>
              <w:t>Value</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 January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1,789,813 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(479,190)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forfeited and expired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 July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 January 31,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1,789,813 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 July 31, 2023</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1,310,076 </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Restricted Stock Units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2016 Plan provides for the issuance of RSUs to eligible employees, directors and consultants. RSUs granted to new employees generally vest over a period of four years with 25% vesting on the one-year anniversary of the vesting start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date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 for the six months ended July 31, 2023:</w:t>
      </w:r>
    </w:p>
    <w:tbl>
      <w:tblPr>
        <w:tblW w:w="7812" w:type="dxa"/>
        <w:jc w:val="left"/>
        <w:tblInd w:w="0" w:type="dxa"/>
        <w:tblLayout w:type="fixed"/>
        <w:tblCellMar>
          <w:top w:w="28" w:type="dxa"/>
          <w:left w:w="28" w:type="dxa"/>
          <w:bottom w:w="28" w:type="dxa"/>
          <w:right w:w="28" w:type="dxa"/>
        </w:tblCellMar>
      </w:tblPr>
      <w:tblGrid>
        <w:gridCol w:w="880"/>
        <w:gridCol w:w="773"/>
        <w:gridCol w:w="776"/>
        <w:gridCol w:w="488"/>
        <w:gridCol w:w="488"/>
        <w:gridCol w:w="196"/>
        <w:gridCol w:w="109"/>
        <w:gridCol w:w="109"/>
        <w:gridCol w:w="109"/>
        <w:gridCol w:w="753"/>
        <w:gridCol w:w="2578"/>
        <w:gridCol w:w="553"/>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 per RSU</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Unvested - January 31, 2023</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3,480,206 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288.58 </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225.66 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254.73 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and canceled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(308,660)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288.06 </w:t>
            </w:r>
          </w:p>
        </w:tc>
        <w:tc>
          <w:tcPr>
            <w:tcW w:w="5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Unvested - July 31, 2023</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4,049,704 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279.87 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left"/>
        <w:rPr/>
      </w:pPr>
      <w:r>
        <w:rPr/>
      </w:r>
    </w:p>
    <w:p>
      <w:pPr>
        <w:pStyle w:val="TextBody"/>
        <w:bidi w:val="0"/>
        <w:spacing w:lineRule="auto" w:line="288" w:before="0" w:after="180"/>
        <w:jc w:val="left"/>
        <w:rPr>
          <w:rFonts w:ascii="Times New Roman;sans-serif" w:hAnsi="Times New Roman;sans-serif"/>
          <w:b/>
          <w:color w:val="2C2C2C"/>
          <w:sz w:val="20"/>
        </w:rPr>
      </w:pPr>
      <w:r>
        <w:rPr>
          <w:rFonts w:ascii="Times New Roman;sans-serif" w:hAnsi="Times New Roman;sans-serif"/>
          <w:b/>
          <w:color w:val="2C2C2C"/>
          <w:sz w:val="20"/>
        </w:rPr>
        <w:t>2017 Employee Stock Purchase Plan</w:t>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In June 2023, the Company issued 114,508 shares of its common stock under the 2017 ESPP. The Company’s current offering period began on June 16, 2023 and is expected to end December 15, 2023.</w:t>
      </w:r>
    </w:p>
    <w:p>
      <w:pPr>
        <w:pStyle w:val="TextBody"/>
        <w:bidi w:val="0"/>
        <w:spacing w:lineRule="auto" w:line="288" w:before="0" w:after="180"/>
        <w:jc w:val="left"/>
        <w:rPr>
          <w:rFonts w:ascii="Times New Roman;sans-serif" w:hAnsi="Times New Roman;sans-serif"/>
          <w:b/>
          <w:color w:val="2C2C2C"/>
          <w:sz w:val="20"/>
        </w:rPr>
      </w:pPr>
      <w:r>
        <w:rPr>
          <w:rFonts w:ascii="Times New Roman;sans-serif" w:hAnsi="Times New Roman;sans-serif"/>
          <w:b/>
          <w:color w:val="2C2C2C"/>
          <w:sz w:val="20"/>
        </w:rPr>
        <w:t>Stock-Based Compensation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recognized in the Company’s unaudited condensed consolidated statements of operations is as follows (in thousands):</w:t>
      </w:r>
    </w:p>
    <w:tbl>
      <w:tblPr>
        <w:tblW w:w="9000" w:type="dxa"/>
        <w:jc w:val="left"/>
        <w:tblInd w:w="0" w:type="dxa"/>
        <w:tblLayout w:type="fixed"/>
        <w:tblCellMar>
          <w:top w:w="28" w:type="dxa"/>
          <w:left w:w="28" w:type="dxa"/>
          <w:bottom w:w="28" w:type="dxa"/>
          <w:right w:w="28" w:type="dxa"/>
        </w:tblCellMar>
      </w:tblPr>
      <w:tblGrid>
        <w:gridCol w:w="1266"/>
        <w:gridCol w:w="1111"/>
        <w:gridCol w:w="1118"/>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expense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10. Net Loss Per Share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basic net loss per share by dividing the net loss by the weighted-average number of shares of common stock outstanding during the period, less shares subject to repurchase. Diluted net loss per share is computed by giving effect to all potentially dilutive common shares outstanding for the period, including stock options, restricted stock units and shares underlying the conversion option of the convertible senior notes. Basic and diluted net loss per share was the same for each period presented, as the inclusion of all potential common shares outstanding would have been anti-dilutive due to the net loss reported for each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82"/>
        <w:gridCol w:w="1391"/>
        <w:gridCol w:w="1409"/>
        <w:gridCol w:w="240"/>
        <w:gridCol w:w="841"/>
        <w:gridCol w:w="109"/>
        <w:gridCol w:w="109"/>
        <w:gridCol w:w="109"/>
        <w:gridCol w:w="109"/>
        <w:gridCol w:w="211"/>
        <w:gridCol w:w="888"/>
        <w:gridCol w:w="109"/>
        <w:gridCol w:w="109"/>
        <w:gridCol w:w="109"/>
        <w:gridCol w:w="109"/>
        <w:gridCol w:w="240"/>
        <w:gridCol w:w="841"/>
        <w:gridCol w:w="109"/>
        <w:gridCol w:w="109"/>
        <w:gridCol w:w="109"/>
        <w:gridCol w:w="109"/>
        <w:gridCol w:w="211"/>
        <w:gridCol w:w="888"/>
        <w:gridCol w:w="15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to compute net loss per share, basic and diluted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68,334,464 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70,531,581 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68,025,687 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per share, basic and diluted </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2024 Notes and 2026 Notes, the Company entered into Capped Calls, which were not included for purposes of calculating the number of diluted shares outstanding, as their effect would have been anti-dilutive. The Capped Calls are expected to partially offset the potential dilution to the Company’s common stock upon any conversion of the 2024 Notes and the 2026 Notes. The Company has not exercised any of its Capped Calls as of July 31, 2023.</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weighted-average outstanding potentially dilutive shares of common stock were excluded from the computation of diluted net loss per share for the periods presented because the impact of including them would have been anti-dilutive:</w:t>
      </w:r>
    </w:p>
    <w:tbl>
      <w:tblPr>
        <w:tblW w:w="10205" w:type="dxa"/>
        <w:jc w:val="left"/>
        <w:tblInd w:w="0" w:type="dxa"/>
        <w:tblLayout w:type="fixed"/>
        <w:tblCellMar>
          <w:top w:w="28" w:type="dxa"/>
          <w:left w:w="28" w:type="dxa"/>
          <w:bottom w:w="28" w:type="dxa"/>
          <w:right w:w="28" w:type="dxa"/>
        </w:tblCellMar>
      </w:tblPr>
      <w:tblGrid>
        <w:gridCol w:w="1272"/>
        <w:gridCol w:w="1022"/>
        <w:gridCol w:w="1025"/>
        <w:gridCol w:w="109"/>
        <w:gridCol w:w="109"/>
        <w:gridCol w:w="109"/>
        <w:gridCol w:w="749"/>
        <w:gridCol w:w="332"/>
        <w:gridCol w:w="191"/>
        <w:gridCol w:w="191"/>
        <w:gridCol w:w="191"/>
        <w:gridCol w:w="191"/>
        <w:gridCol w:w="749"/>
        <w:gridCol w:w="332"/>
        <w:gridCol w:w="191"/>
        <w:gridCol w:w="109"/>
        <w:gridCol w:w="109"/>
        <w:gridCol w:w="109"/>
        <w:gridCol w:w="667"/>
        <w:gridCol w:w="414"/>
        <w:gridCol w:w="175"/>
        <w:gridCol w:w="175"/>
        <w:gridCol w:w="175"/>
        <w:gridCol w:w="175"/>
        <w:gridCol w:w="667"/>
        <w:gridCol w:w="414"/>
        <w:gridCol w:w="253"/>
      </w:tblGrid>
      <w:tr>
        <w:trPr/>
        <w:tc>
          <w:tcPr>
            <w:tcW w:w="127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3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pursuant to the 2016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448,447 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584,405 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476,450 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602,856 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pursuant to the 2008 Stock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988,792 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1,666,919 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1,751,927 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4,498,170 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3,851,114 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4,276,548 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3,763,435 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executive 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81,557 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ind w:left="0" w:right="0" w:hanging="135"/>
              <w:jc w:val="left"/>
              <w:rPr>
                <w:sz w:val="4"/>
                <w:szCs w:val="4"/>
              </w:rPr>
            </w:pPr>
            <w:r>
              <w:rPr>
                <w:sz w:val="4"/>
                <w:szCs w:val="4"/>
              </w:rPr>
            </w:r>
          </w:p>
        </w:tc>
      </w:tr>
      <w:tr>
        <w:trPr/>
        <w:tc>
          <w:tcPr>
            <w:tcW w:w="3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the conversion option of the 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5,445,059 </w:t>
            </w:r>
          </w:p>
        </w:tc>
        <w:tc>
          <w:tcPr>
            <w:tcW w:w="253"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11,634,732 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11,629,045 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11,523,212 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11,644,834 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(CONTINUED)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11. Income Taxes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 provision for income taxes of $3.6 million and $6.1 million for the three and six months ended July 31, 2023, respectively, and $3.0 million and $4.2 million for the three and six months ended July 31, 2022, respectively. The provisions recorded during each of the three and six months ended July 31, 2023 and 2022 were driven by the increase in global income and the associated foreign taxes as the Company continues its global expansion. The calculation of income taxes was based upon the estimated annual effective tax rates for the year applied to the jurisdictional mix of current period loss before tax plus the tax effect of any significant unusual items, discrete events or changes in tax law.</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has maintained a valuation allowance on U.S., U.K. and Ireland net deferred tax assets, as it is more likely than not that some or all of the deferred tax assets will not be realized.</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Company assesses uncertain tax positions in accordance with ASC 740-10, </w:t>
      </w:r>
      <w:r>
        <w:rPr>
          <w:rFonts w:ascii="Times New Roman;sans-serif" w:hAnsi="Times New Roman;sans-serif"/>
          <w:b w:val="false"/>
          <w:i/>
          <w:color w:val="000000"/>
          <w:sz w:val="20"/>
        </w:rPr>
        <w:t>Accounting for Uncertainties in Tax</w:t>
      </w:r>
      <w:r>
        <w:rPr>
          <w:rFonts w:ascii="Times New Roman;sans-serif" w:hAnsi="Times New Roman;sans-serif"/>
          <w:b w:val="false"/>
          <w:color w:val="000000"/>
          <w:sz w:val="20"/>
        </w:rPr>
        <w:t>. As of January 31, 2023, the Company’s net unrecognized tax benefits totaled $29.3 million, which would have no impact on the Company’s effective tax rate if recognized.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monitor and interpret the impact of proposed and enacted global tax legislation. To date, globally enacted tax legislation has not materially impacted income tax expense of the financial statements due to the presence of net operating losses and full valuation allowances within the Company’s two most significant tax jurisdictions, the United States and Ireland.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180" w:after="180"/>
        <w:ind w:left="0" w:right="0" w:hanging="945"/>
        <w:jc w:val="left"/>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report to the terms “MongoDB,” “the Company,” “we,” “our” and “us” refer to MongoDB, Inc., its divisions and its subsidiaries. The following discussion and analysis of our financial condition and results of operations should be read in conjunction with (1) our interim unaudited condensed consolidated financial statements and related notes appearing elsewhere in this Quarterly Report on Form 10-Q and (2) the audited consolidated financial statements and the related notes and the discussion under the heading “Management’s Discussion and Analysis of Financial Condition and Results of Operations” included in our Annual Report on Form 10-K for the fiscal year ended January 31, 2023 (the “2023 Form 10-K”). All information presented herein is based on our fiscal calendar year, which ends January 31. Unless otherwise stated, references to particular years, quarters, months or periods refer to our fiscal years ended January 31 and the associated quarters, months and periods of those fiscal years.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This Quarterly Report on Form 10-Q contains “forward-looking statements” within the meaning of Section 27A of the </w:t>
      </w:r>
      <w:r>
        <w:rPr>
          <w:rFonts w:ascii="Times New Roman;sans-serif" w:hAnsi="Times New Roman;sans-serif"/>
          <w:b w:val="false"/>
          <w:color w:val="000000"/>
          <w:sz w:val="20"/>
          <w:shd w:fill="FFFFFF" w:val="clear"/>
        </w:rPr>
        <w:t>Securities Act of 1933, as amended (the “Securities Act”),</w:t>
      </w:r>
      <w:r>
        <w:rPr>
          <w:color w:val="000000"/>
        </w:rPr>
        <w:t xml:space="preserve"> </w:t>
      </w:r>
      <w:r>
        <w:rPr>
          <w:rFonts w:ascii="Times New Roman;sans-serif" w:hAnsi="Times New Roman;sans-serif"/>
          <w:b w:val="false"/>
          <w:color w:val="000000"/>
          <w:sz w:val="20"/>
        </w:rPr>
        <w:t>and Section 21E of the Securities Exchange Act of 1934, as amended (the “Exchange Act”). These statements are often identified by the use of words such as “anticipate,” “believe,” “continue,” “could,” “estimate,” “expect,” “intend,” “may,” “plan,” “project,” “will,” “would” or the negative or plural of these words or similar expressions or variations, including our expectations regarding our future growth opportunity, revenue and revenue growth, investments, strategy, operating expenses and the anticipated impact of the global economic uncertainty and financial market conditions, caused by the macroeconomic environment, on our business, results of operations and financial condition.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2, Item 1A of this Quarterly Report on Form 10-Q.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Our corporate website is located at </w:t>
      </w:r>
      <w:r>
        <w:rPr>
          <w:rFonts w:ascii="Times New Roman;sans-serif" w:hAnsi="Times New Roman;sans-serif"/>
          <w:b w:val="false"/>
          <w:i/>
          <w:color w:val="000000"/>
          <w:sz w:val="20"/>
        </w:rPr>
        <w:t>www.mongodb.com</w:t>
      </w:r>
      <w:r>
        <w:rPr>
          <w:rFonts w:ascii="Times New Roman;sans-serif" w:hAnsi="Times New Roman;sans-serif"/>
          <w:b w:val="false"/>
          <w:color w:val="000000"/>
          <w:sz w:val="20"/>
        </w:rPr>
        <w:t>. We make available free of charge, on or through our corporate website, our annual, quarterly and current reports, and any amendments to those reports, as soon as reasonably practicable after electronically filing such reports with, or furnishing such reports to, the Securities and Exchange Commission (“SEC”). Information contained on our corporate website is not part of this Quarterly Report on Form 10-Q or any other report filed with or furnished to the SEC.</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and application-driven analytics that allow developers to address a broader range of application requirements. Our business model combines the developer mindshare and adoption benefits of open source with the economic benefits of a proprietary software subscription business model. MongoDB is headquartered in New York City and our total headcount increased to 4,626 as of July 31, 2023, from 4,240 as of July 31, 2022.</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We generate revenue primarily from sales of subscriptions, which accounted for 97% and 96% of our total revenue for the </w:t>
      </w:r>
      <w:r>
        <w:rPr>
          <w:rFonts w:ascii="Times New Roman;sans-serif" w:hAnsi="Times New Roman;sans-serif"/>
          <w:b w:val="false"/>
          <w:color w:val="000000"/>
          <w:sz w:val="20"/>
        </w:rPr>
        <w:t>three and six months ended July 31, 2023 and July 31,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MongoD</w:t>
      </w:r>
      <w:r>
        <w:rPr>
          <w:rFonts w:ascii="Times New Roman;sans-serif" w:hAnsi="Times New Roman;sans-serif"/>
          <w:b w:val="false"/>
          <w:color w:val="000000"/>
          <w:sz w:val="20"/>
        </w:rPr>
        <w:t>B Atlas is our hosted multi-cloud database-as-a-service (“DBaaS”) offering, which we run and manage in the cloud, and includes comprehensive infrastructure and management, as well as a host of additional features, such as MongoDB Atlas Search, time series and application-driven analytics. During the three and six months ended July 31, 2023, MongoDB Atlas revenue represented 63% and 64%, respectively, as compared to 64% and 62% of our total revenue during the three and six months ended July 31, 2022, respectively, reflecting the continued growth of MongoDB Atlas since its introduction in June 2016.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 We expect to continue to see a higher portion of our MongoDB Atlas contracts to be billed monthly in arrears based on usage without requiring upfront commitments.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MongoDB Enterprise Advanced is our proprietary commercial database server offering for enterprise customers that can run in the cloud, on-premises or in a hybrid environment</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MongoDB Enterprise Advanced revenue represented 26% of our subscription revenue for both the three and six months ended July 31, 2023, and 28% and 31% of our subscription revenue for the three and six months ended July 31, 2022,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Many of our enterprise customers initially get to know our software by using Community Server, which is our free-to-download version of our database that includes the core functionality developers need to get started with MongoDB without all the features of our commercial platform. </w:t>
      </w:r>
      <w:r>
        <w:rPr>
          <w:rFonts w:ascii="Times New Roman;sans-serif" w:hAnsi="Times New Roman;sans-serif"/>
          <w:b w:val="false"/>
          <w:color w:val="000000"/>
          <w:sz w:val="20"/>
          <w:shd w:fill="FFFFFF" w:val="clear"/>
        </w:rPr>
        <w:t xml:space="preserve">Our platform has been downloaded from our website more than 455 million times since February 2009 and over 155 million times in the last 12 months alone. We also offer a free tier of MongoDB Atlas, which provides access to our hosted database solution with limited processing power and storage, as well as certain operational limitations. </w:t>
      </w:r>
      <w:r>
        <w:rPr>
          <w:rFonts w:ascii="Times New Roman;sans-serif" w:hAnsi="Times New Roman;sans-serif"/>
          <w:b w:val="false"/>
          <w:color w:val="000000"/>
          <w:sz w:val="20"/>
        </w:rPr>
        <w:t>As a result, with the availability of both Community Server and MongoDB Atlas free tier offerings, our direct sales prospects are often familiar with our platform and may have already built applications using our technology. A core component of our growth strategy</w:t>
      </w:r>
      <w:r>
        <w:rPr>
          <w:color w:val="000000"/>
          <w:shd w:fill="FFFFFF" w:val="clear"/>
        </w:rPr>
        <w:t xml:space="preserve"> </w:t>
      </w:r>
      <w:r>
        <w:rPr>
          <w:rFonts w:ascii="Times New Roman;sans-serif" w:hAnsi="Times New Roman;sans-serif"/>
          <w:b w:val="false"/>
          <w:color w:val="000000"/>
          <w:sz w:val="20"/>
          <w:shd w:fill="FFFFFF" w:val="clear"/>
        </w:rPr>
        <w:t>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We also generate revenue from services, which consist primarily of fees associated with consulting and training services. Revenue from services accoun</w:t>
      </w:r>
      <w:r>
        <w:rPr>
          <w:rFonts w:ascii="Times New Roman;sans-serif" w:hAnsi="Times New Roman;sans-serif"/>
          <w:b w:val="false"/>
          <w:color w:val="000000"/>
          <w:sz w:val="20"/>
          <w:shd w:fill="FFFFFF" w:val="clear"/>
        </w:rPr>
        <w:t xml:space="preserve">ted for 3% and </w:t>
      </w:r>
      <w:r>
        <w:rPr>
          <w:rFonts w:ascii="Times New Roman;sans-serif" w:hAnsi="Times New Roman;sans-serif"/>
          <w:b w:val="false"/>
          <w:color w:val="000000"/>
          <w:sz w:val="20"/>
        </w:rPr>
        <w:t>4%</w:t>
      </w:r>
      <w:r>
        <w:rPr>
          <w:color w:val="000000"/>
          <w:shd w:fill="FFFFFF" w:val="clear"/>
        </w:rPr>
        <w:t xml:space="preserve"> </w:t>
      </w:r>
      <w:r>
        <w:rPr>
          <w:rFonts w:ascii="Times New Roman;sans-serif" w:hAnsi="Times New Roman;sans-serif"/>
          <w:b w:val="false"/>
          <w:color w:val="000000"/>
          <w:sz w:val="20"/>
          <w:shd w:fill="FFFFFF" w:val="clear"/>
        </w:rPr>
        <w:t xml:space="preserve">of our total revenue for the three and </w:t>
      </w:r>
      <w:r>
        <w:rPr>
          <w:rFonts w:ascii="Times New Roman;sans-serif" w:hAnsi="Times New Roman;sans-serif"/>
          <w:b w:val="false"/>
          <w:color w:val="000000"/>
          <w:sz w:val="20"/>
        </w:rPr>
        <w:t>six months ended July 31, 2023, respectively, and 4% for each of the three and six months ended July 31, 2022</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We expect to continue to invest in our services organization as we believe it plays an important role in accelerating our customers’ realization of the benefits of our platform, which helps drive customer retention and expansion.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market for our offerings is large and growing. According to IDC, the worldwide database software market, which it refers to as the data management systems software market, is forecast to be approximately $81 billion in 2023 growing to approximately $136 billion in 2027. This represents a 14% compound annual growth rate.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and have made substantial investments in developing our platform and expanding our sales and marketing footprint. We intend to continue to invest to grow our business to take advantage of our market opportunity.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Macroeconomic and Other Factors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operational and financial performance is subject to risks including those caused by the adverse macroeconomic environment.</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Adverse macroeconomic conditions include slower or negative economic growth, higher inflation and higher interest rates. During the six months ended July 31, 2023, the macroeconomic environment continued to negatively impact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developments of the macroeconomic environment, the geopolitical landscape and, recently, the challenges in the banking industry.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II, Item 1A of this Quarterly Report on Form 10-Q.</w:t>
      </w:r>
    </w:p>
    <w:p>
      <w:pPr>
        <w:pStyle w:val="TextBody"/>
        <w:bidi w:val="0"/>
        <w:spacing w:lineRule="auto" w:line="288" w:before="0" w:after="180"/>
        <w:jc w:val="left"/>
        <w:rPr>
          <w:rFonts w:ascii="Times New Roman;sans-serif" w:hAnsi="Times New Roman;sans-serif"/>
          <w:b w:val="false"/>
          <w:i/>
          <w:color w:val="2C2C2C"/>
          <w:sz w:val="20"/>
          <w:shd w:fill="FFFFFF" w:val="clear"/>
        </w:rPr>
      </w:pPr>
      <w:r>
        <w:rPr>
          <w:rFonts w:ascii="Times New Roman;sans-serif" w:hAnsi="Times New Roman;sans-serif"/>
          <w:b w:val="false"/>
          <w:i/>
          <w:color w:val="2C2C2C"/>
          <w:sz w:val="20"/>
          <w:shd w:fill="FFFFFF" w:val="clear"/>
        </w:rPr>
        <w:t>Growing Our Customer Base and Expanding Our Global Reach</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We are intensely focused on continuing to grow our customer base. We have invested, and expect to continue to invest, in our sales and marketi</w:t>
      </w:r>
      <w:r>
        <w:rPr>
          <w:rFonts w:ascii="Times New Roman;sans-serif" w:hAnsi="Times New Roman;sans-serif"/>
          <w:b w:val="false"/>
          <w:color w:val="000000"/>
          <w:sz w:val="20"/>
        </w:rPr>
        <w:t>ng efforts and developer community outreach, which are critical to driving customer acquisition. As of July 31, 2023, we had over 45,000 customers across a wide range of industries and in over 100 countries, compared to over 37,000 customers as of July 31, 2022. All affiliated entities are counted as a single customer and our definition of “customer” excludes users of our free offerings.</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As of July 31, 2023, we had over 6,800 customers that were sold through our direct sales force and channel partners, as compared to over 5,400 such customers as of July 31, 2022. These customers, which we refer to as our Direct Sales Customers, accounted for 88% of our subscription revenue for both the three and six months ended July 31, 2023</w:t>
      </w:r>
      <w:r>
        <w:rPr>
          <w:color w:val="000000"/>
          <w:shd w:fill="FFFFFF" w:val="clear"/>
        </w:rPr>
        <w:t xml:space="preserve"> </w:t>
      </w:r>
      <w:r>
        <w:rPr>
          <w:rFonts w:ascii="Times New Roman;sans-serif" w:hAnsi="Times New Roman;sans-serif"/>
          <w:b w:val="false"/>
          <w:color w:val="000000"/>
          <w:sz w:val="20"/>
        </w:rPr>
        <w:t xml:space="preserve">and 86% and 87% </w:t>
      </w:r>
      <w:r>
        <w:rPr>
          <w:rFonts w:ascii="Times New Roman;sans-serif" w:hAnsi="Times New Roman;sans-serif"/>
          <w:b w:val="false"/>
          <w:color w:val="000000"/>
          <w:sz w:val="20"/>
          <w:shd w:fill="FFFFFF" w:val="clear"/>
        </w:rPr>
        <w:t xml:space="preserve">of our subscription revenue for the three and </w:t>
      </w:r>
      <w:r>
        <w:rPr>
          <w:rFonts w:ascii="Times New Roman;sans-serif" w:hAnsi="Times New Roman;sans-serif"/>
          <w:b w:val="false"/>
          <w:color w:val="000000"/>
          <w:sz w:val="20"/>
        </w:rPr>
        <w:t>six months ended July 31, 2022, respectively. The percentage of our subscription revenue from Direct Sales Customers increased during both the three and six months ended July 31, 2023,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43,500 Mo</w:t>
      </w:r>
      <w:r>
        <w:rPr>
          <w:rFonts w:ascii="Times New Roman;sans-serif" w:hAnsi="Times New Roman;sans-serif"/>
          <w:b w:val="false"/>
          <w:color w:val="000000"/>
          <w:sz w:val="20"/>
          <w:shd w:fill="FFFFFF" w:val="clear"/>
        </w:rPr>
        <w:t xml:space="preserve">ngoDB Atlas customers as of </w:t>
      </w:r>
      <w:r>
        <w:rPr>
          <w:rFonts w:ascii="Times New Roman;sans-serif" w:hAnsi="Times New Roman;sans-serif"/>
          <w:b w:val="false"/>
          <w:color w:val="000000"/>
          <w:sz w:val="20"/>
        </w:rPr>
        <w:t>July 31, 2023 compared to over 35,500 as of July 31, 2022</w:t>
      </w:r>
      <w:r>
        <w:rPr>
          <w:rFonts w:ascii="Times New Roman;sans-serif" w:hAnsi="Times New Roman;sans-serif"/>
          <w:b w:val="false"/>
          <w:color w:val="000000"/>
          <w:sz w:val="20"/>
          <w:shd w:fill="FFFFFF" w:val="clear"/>
        </w:rPr>
        <w:t xml:space="preserve">. The growth in MongoDB Atlas customers included new customers to MongoDB and existing MongoDB Enterprise Advanced customers adding incremental MongoDB Atlas workloads. </w:t>
      </w:r>
    </w:p>
    <w:p>
      <w:pPr>
        <w:pStyle w:val="TextBody"/>
        <w:bidi w:val="0"/>
        <w:spacing w:lineRule="auto" w:line="288" w:before="0" w:after="180"/>
        <w:jc w:val="left"/>
        <w:rPr>
          <w:rFonts w:ascii="Times New Roman;sans-serif" w:hAnsi="Times New Roman;sans-serif"/>
          <w:b w:val="false"/>
          <w:i/>
          <w:color w:val="2C2C2C"/>
          <w:sz w:val="20"/>
          <w:shd w:fill="FFFFFF" w:val="clear"/>
        </w:rPr>
      </w:pPr>
      <w:r>
        <w:rPr>
          <w:rFonts w:ascii="Times New Roman;sans-serif" w:hAnsi="Times New Roman;sans-serif"/>
          <w:b w:val="false"/>
          <w:i/>
          <w:color w:val="2C2C2C"/>
          <w:sz w:val="20"/>
          <w:shd w:fill="FFFFFF" w:val="clear"/>
        </w:rPr>
        <w:t>Retaining and Expanding Revenue from Existing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three and six months ended July 31, 2023, we believe we experienced a negative impact from the macroeconomic environment on the growth of existing Atlas applications, which affected our revenue growth. We expect the macroeconomic environment to continue to negatively impact our revenue growth for the remainder of the year.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1,855 and 1,462 as of July 31, 2023 and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Our net ARR expansion rate has consistently been over 120% demonstrating our ability to expand within existing customers.</w:t>
      </w:r>
    </w:p>
    <w:p>
      <w:pPr>
        <w:pStyle w:val="TextBody"/>
        <w:bidi w:val="0"/>
        <w:spacing w:before="8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Revenue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Subscription Revenue. </w:t>
      </w:r>
      <w:r>
        <w:rPr>
          <w:rFonts w:ascii="Times New Roman;sans-serif" w:hAnsi="Times New Roman;sans-serif"/>
          <w:b w:val="false"/>
          <w:color w:val="000000"/>
          <w:sz w:val="20"/>
        </w:rPr>
        <w:t>Our subscription revenue is comprised of term licenses and hosted as-a-service solutions. Revenue from our MongoDB Atlas offering is primarily generated on a usage basis and is billed either 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Services Revenue.</w:t>
      </w:r>
      <w:r>
        <w:rPr>
          <w:color w:val="000000"/>
        </w:rPr>
        <w:t xml:space="preserve"> </w:t>
      </w:r>
      <w:r>
        <w:rPr>
          <w:rFonts w:ascii="Times New Roman;sans-serif" w:hAnsi="Times New Roman;sans-serif"/>
          <w:b w:val="false"/>
          <w:color w:val="000000"/>
          <w:sz w:val="20"/>
        </w:rPr>
        <w:t xml:space="preserve">Services revenue is comprised of consulting and training services and is recognized over the period of delivery of the applicable services. We recognize revenue from services agreements as services are delivered.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Cost of Revenue</w:t>
      </w:r>
    </w:p>
    <w:p>
      <w:pPr>
        <w:pStyle w:val="TextBody"/>
        <w:bidi w:val="0"/>
        <w:spacing w:lineRule="auto" w:line="268" w:before="0" w:after="0"/>
        <w:ind w:left="0" w:right="0" w:firstLine="540"/>
        <w:jc w:val="left"/>
        <w:rPr/>
      </w:pPr>
      <w:r>
        <w:rPr>
          <w:rFonts w:ascii="Times New Roman;sans-serif" w:hAnsi="Times New Roman;sans-serif"/>
          <w:b w:val="false"/>
          <w:i/>
          <w:color w:val="000000"/>
          <w:sz w:val="20"/>
        </w:rPr>
        <w:t>Cost of Subscription Revenue.</w:t>
      </w:r>
      <w:r>
        <w:rPr>
          <w:color w:val="000000"/>
        </w:rPr>
        <w:t xml:space="preserve"> </w:t>
      </w:r>
      <w:r>
        <w:rPr>
          <w:rFonts w:ascii="Times New Roman;sans-serif" w:hAnsi="Times New Roman;sans-serif"/>
          <w:b w:val="false"/>
          <w:color w:val="000000"/>
          <w:sz w:val="20"/>
        </w:rPr>
        <w:t>Cost of subscription revenue primarily includes third-party cloud infrastructure expenses for our hosted as-a-service 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pStyle w:val="TextBody"/>
        <w:bidi w:val="0"/>
        <w:spacing w:before="0" w:after="0"/>
        <w:jc w:val="left"/>
        <w:rPr/>
      </w:pPr>
      <w:r>
        <w:rPr/>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Cost of Services Revenue. </w:t>
      </w:r>
      <w:r>
        <w:rPr>
          <w:rFonts w:ascii="Times New Roman;sans-serif" w:hAnsi="Times New Roman;sans-serif"/>
          <w:b w:val="false"/>
          <w:color w:val="000000"/>
          <w:sz w:val="20"/>
        </w:rPr>
        <w:t>Cost of services revenue primarily includes personnel costs, including salaries, bonuses and benefits, and stock</w:t>
        <w:noBreakHyphen/>
        <w:t>based 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Gross Profit and Gross Margin</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Gross Profit.</w:t>
      </w:r>
      <w:r>
        <w:rPr>
          <w:color w:val="000000"/>
        </w:rPr>
        <w:t xml:space="preserve"> </w:t>
      </w:r>
      <w:r>
        <w:rPr>
          <w:rFonts w:ascii="Times New Roman;sans-serif" w:hAnsi="Times New Roman;sans-serif"/>
          <w:b w:val="false"/>
          <w:color w:val="000000"/>
          <w:sz w:val="20"/>
        </w:rPr>
        <w:t>Gross profit represents revenue less cost of revenue.</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or gross profit as a percentage of revenue, has been and will continue to be affected by a variety of factors, including the 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Operating Expenses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Sales and marketing expense consists primarily of personnel costs, including salaries, sales commission and benefits, bonuses and stock</w:t>
        <w:noBreakHyphen/>
        <w:t>based compensation. These expenses also include costs related to marketing programs, travel</w:t>
        <w:noBreakHyphen/>
        <w:t>related expenses and allocated overhead. Marketing programs consist of advertising, events, corporate communications, and brand</w:t>
        <w:noBreakHyphen/>
        <w:t>building and developer</w:t>
        <w:noBreakHyphen/>
        <w:t>community activities. We expect our sales and marketing expense to increase in absolute dollars over time as we expand our sales force and increase our marketing resources, expand into new markets and further develop our self-serve and partner channels.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Research and Development.</w:t>
      </w:r>
      <w:r>
        <w:rPr>
          <w:color w:val="000000"/>
        </w:rPr>
        <w:t xml:space="preserve"> </w:t>
      </w:r>
      <w:r>
        <w:rPr>
          <w:rFonts w:ascii="Times New Roman;sans-serif" w:hAnsi="Times New Roman;sans-serif"/>
          <w:b w:val="false"/>
          <w:color w:val="000000"/>
          <w:sz w:val="20"/>
        </w:rPr>
        <w:t>Research and development expense consists primarily of personnel costs, including salaries, bonuses and benefits, and stock</w:t>
        <w:noBreakHyphen/>
        <w:t>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pStyle w:val="TextBody"/>
        <w:bidi w:val="0"/>
        <w:spacing w:lineRule="auto" w:line="288" w:before="0" w:after="180"/>
        <w:ind w:left="0" w:right="0" w:firstLine="540"/>
        <w:jc w:val="left"/>
        <w:rPr/>
      </w:pPr>
      <w:r>
        <w:rPr>
          <w:rFonts w:ascii="Times New Roman;sans-serif" w:hAnsi="Times New Roman;sans-serif"/>
          <w:b w:val="false"/>
          <w:i/>
          <w:color w:val="000000"/>
          <w:sz w:val="20"/>
        </w:rPr>
        <w:t>General and Administrative.</w:t>
      </w:r>
      <w:r>
        <w:rPr>
          <w:color w:val="000000"/>
        </w:rPr>
        <w:t xml:space="preserve"> </w:t>
      </w:r>
      <w:r>
        <w:rPr>
          <w:rFonts w:ascii="Times New Roman;sans-serif" w:hAnsi="Times New Roman;sans-serif"/>
          <w:b w:val="false"/>
          <w:color w:val="000000"/>
          <w:sz w:val="20"/>
        </w:rPr>
        <w:t>General and administrative expense consists primarily of personnel costs, including salaries, bonuses and benefits, and stock</w:t>
        <w:noBreakHyphen/>
        <w:t>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publicly-traded company.</w:t>
      </w:r>
    </w:p>
    <w:p>
      <w:pPr>
        <w:pStyle w:val="TextBody"/>
        <w:bidi w:val="0"/>
        <w:spacing w:lineRule="auto" w:line="288" w:before="0" w:after="180"/>
        <w:ind w:left="0" w:right="0" w:hanging="135"/>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interest income, interest expense, gains and losses on investments and gains and losses from foreign currency transactions.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Provision for Income Taxes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primarily of state income taxes in the United States and income taxes in certain foreign jurisdictions in which we conduct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U.S., U.K. and Ireland net deferred tax assets, as it is more likely than not that some or all of the deferred tax assets will not be realized.</w:t>
      </w: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Three and Six Months Ended July 31, 2023 Summary</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July 31, 2023</w:t>
      </w:r>
      <w:r>
        <w:rPr>
          <w:rFonts w:ascii="Times New Roman;sans-serif" w:hAnsi="Times New Roman;sans-serif"/>
          <w:b w:val="false"/>
          <w:color w:val="000000"/>
          <w:sz w:val="20"/>
          <w:shd w:fill="FFFFFF" w:val="clear"/>
        </w:rPr>
        <w:t xml:space="preserve">, our total revenue increased to </w:t>
      </w:r>
      <w:r>
        <w:rPr>
          <w:rFonts w:ascii="Times New Roman;sans-serif" w:hAnsi="Times New Roman;sans-serif"/>
          <w:b w:val="false"/>
          <w:color w:val="000000"/>
          <w:sz w:val="20"/>
        </w:rPr>
        <w:t>$423.8 million</w:t>
      </w:r>
      <w:r>
        <w:rPr>
          <w:color w:val="000000"/>
          <w:shd w:fill="FFFFFF" w:val="clear"/>
        </w:rPr>
        <w:t xml:space="preserve"> </w:t>
      </w:r>
      <w:r>
        <w:rPr>
          <w:rFonts w:ascii="Times New Roman;sans-serif" w:hAnsi="Times New Roman;sans-serif"/>
          <w:b w:val="false"/>
          <w:color w:val="000000"/>
          <w:sz w:val="20"/>
          <w:shd w:fill="FFFFFF" w:val="clear"/>
        </w:rPr>
        <w:t xml:space="preserve">as compared to </w:t>
      </w:r>
      <w:r>
        <w:rPr>
          <w:rFonts w:ascii="Times New Roman;sans-serif" w:hAnsi="Times New Roman;sans-serif"/>
          <w:b w:val="false"/>
          <w:color w:val="000000"/>
          <w:sz w:val="20"/>
        </w:rPr>
        <w:t>$303.7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July 31, 2022, primarily driven by an increase in subscription revenue from our Direct Sales Customers</w:t>
      </w:r>
      <w:r>
        <w:rPr>
          <w:rFonts w:ascii="Times New Roman;sans-serif" w:hAnsi="Times New Roman;sans-serif"/>
          <w:b w:val="false"/>
          <w:color w:val="000000"/>
          <w:sz w:val="20"/>
          <w:shd w:fill="FFFFFF" w:val="clear"/>
        </w:rPr>
        <w:t xml:space="preserve">. Our net loss decreased to </w:t>
      </w:r>
      <w:r>
        <w:rPr>
          <w:rFonts w:ascii="Times New Roman;sans-serif" w:hAnsi="Times New Roman;sans-serif"/>
          <w:b w:val="false"/>
          <w:color w:val="000000"/>
          <w:sz w:val="20"/>
        </w:rPr>
        <w:t>$37.6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July 31, 2023</w:t>
      </w:r>
      <w:r>
        <w:rPr>
          <w:color w:val="000000"/>
          <w:shd w:fill="FFFFFF" w:val="clear"/>
        </w:rPr>
        <w:t xml:space="preserve"> </w:t>
      </w:r>
      <w:r>
        <w:rPr>
          <w:rFonts w:ascii="Times New Roman;sans-serif" w:hAnsi="Times New Roman;sans-serif"/>
          <w:b w:val="false"/>
          <w:color w:val="000000"/>
          <w:sz w:val="20"/>
          <w:shd w:fill="FFFFFF" w:val="clear"/>
        </w:rPr>
        <w:t xml:space="preserve">as compared to </w:t>
      </w:r>
      <w:r>
        <w:rPr>
          <w:rFonts w:ascii="Times New Roman;sans-serif" w:hAnsi="Times New Roman;sans-serif"/>
          <w:b w:val="false"/>
          <w:color w:val="000000"/>
          <w:sz w:val="20"/>
        </w:rPr>
        <w:t>$118.9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months ended July 31, 2022, primarily driven by the increase in revenue, partially offset by higher sales and marketing spend and research and development costs during the three months ended July 31, 2023</w:t>
      </w:r>
      <w:r>
        <w:rPr>
          <w:rFonts w:ascii="Times New Roman;sans-serif" w:hAnsi="Times New Roman;sans-serif"/>
          <w:b w:val="false"/>
          <w:color w:val="000000"/>
          <w:sz w:val="20"/>
          <w:shd w:fill="FFFFFF" w:val="clear"/>
        </w:rPr>
        <w:t>.</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July 31, 2023</w:t>
      </w:r>
      <w:r>
        <w:rPr>
          <w:rFonts w:ascii="Times New Roman;sans-serif" w:hAnsi="Times New Roman;sans-serif"/>
          <w:b w:val="false"/>
          <w:color w:val="000000"/>
          <w:sz w:val="20"/>
          <w:shd w:fill="FFFFFF" w:val="clear"/>
        </w:rPr>
        <w:t xml:space="preserve">, our total revenue increased to </w:t>
      </w:r>
      <w:r>
        <w:rPr>
          <w:rFonts w:ascii="Times New Roman;sans-serif" w:hAnsi="Times New Roman;sans-serif"/>
          <w:b w:val="false"/>
          <w:color w:val="000000"/>
          <w:sz w:val="20"/>
        </w:rPr>
        <w:t>$792.1 million</w:t>
      </w:r>
      <w:r>
        <w:rPr>
          <w:color w:val="000000"/>
          <w:shd w:fill="FFFFFF" w:val="clear"/>
        </w:rPr>
        <w:t xml:space="preserve"> </w:t>
      </w:r>
      <w:r>
        <w:rPr>
          <w:rFonts w:ascii="Times New Roman;sans-serif" w:hAnsi="Times New Roman;sans-serif"/>
          <w:b w:val="false"/>
          <w:color w:val="000000"/>
          <w:sz w:val="20"/>
          <w:shd w:fill="FFFFFF" w:val="clear"/>
        </w:rPr>
        <w:t xml:space="preserve">as compared to </w:t>
      </w:r>
      <w:r>
        <w:rPr>
          <w:rFonts w:ascii="Times New Roman;sans-serif" w:hAnsi="Times New Roman;sans-serif"/>
          <w:b w:val="false"/>
          <w:color w:val="000000"/>
          <w:sz w:val="20"/>
        </w:rPr>
        <w:t>$589.1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July 31, 2022</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primarily driven by an increase in subscription revenue from our Direct Sales Customers</w:t>
      </w:r>
      <w:r>
        <w:rPr>
          <w:rFonts w:ascii="Times New Roman;sans-serif" w:hAnsi="Times New Roman;sans-serif"/>
          <w:b w:val="false"/>
          <w:color w:val="000000"/>
          <w:sz w:val="20"/>
          <w:shd w:fill="FFFFFF" w:val="clear"/>
        </w:rPr>
        <w:t xml:space="preserve">. Our net loss decreased to </w:t>
      </w:r>
      <w:r>
        <w:rPr>
          <w:rFonts w:ascii="Times New Roman;sans-serif" w:hAnsi="Times New Roman;sans-serif"/>
          <w:b w:val="false"/>
          <w:color w:val="000000"/>
          <w:sz w:val="20"/>
        </w:rPr>
        <w:t>$91.8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July 31, 2023</w:t>
      </w:r>
      <w:r>
        <w:rPr>
          <w:color w:val="000000"/>
          <w:shd w:fill="FFFFFF" w:val="clear"/>
        </w:rPr>
        <w:t xml:space="preserve"> </w:t>
      </w:r>
      <w:r>
        <w:rPr>
          <w:rFonts w:ascii="Times New Roman;sans-serif" w:hAnsi="Times New Roman;sans-serif"/>
          <w:b w:val="false"/>
          <w:color w:val="000000"/>
          <w:sz w:val="20"/>
          <w:shd w:fill="FFFFFF" w:val="clear"/>
        </w:rPr>
        <w:t xml:space="preserve">as compared to </w:t>
      </w:r>
      <w:r>
        <w:rPr>
          <w:rFonts w:ascii="Times New Roman;sans-serif" w:hAnsi="Times New Roman;sans-serif"/>
          <w:b w:val="false"/>
          <w:color w:val="000000"/>
          <w:sz w:val="20"/>
        </w:rPr>
        <w:t>$196.2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six months ended July 31, 2022</w:t>
      </w:r>
      <w:r>
        <w:rPr>
          <w:rFonts w:ascii="Times New Roman;sans-serif" w:hAnsi="Times New Roman;sans-serif"/>
          <w:b w:val="false"/>
          <w:color w:val="000000"/>
          <w:sz w:val="20"/>
          <w:shd w:fill="FFFFFF" w:val="clear"/>
        </w:rPr>
        <w:t xml:space="preserve">, primarily driven by the increase in revenue, partially offset by increased sales and marketing and research and development costs during the </w:t>
      </w:r>
      <w:r>
        <w:rPr>
          <w:rFonts w:ascii="Times New Roman;sans-serif" w:hAnsi="Times New Roman;sans-serif"/>
          <w:b w:val="false"/>
          <w:color w:val="000000"/>
          <w:sz w:val="20"/>
        </w:rPr>
        <w:t>six months ended July 31, 2023</w:t>
      </w:r>
      <w:r>
        <w:rPr>
          <w:rFonts w:ascii="Times New Roman;sans-serif" w:hAnsi="Times New Roman;sans-serif"/>
          <w:b w:val="false"/>
          <w:color w:val="000000"/>
          <w:sz w:val="20"/>
          <w:shd w:fill="FFFFFF" w:val="clear"/>
        </w:rPr>
        <w: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cash flow was $28.4 million and $(33.1) million for the six months ended July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in U.S. dollars (unaudited, in thousands) and as a percentage of our total revenue. Percentage of revenue figures are rounded and therefore may not subtotal exactly.</w:t>
      </w:r>
    </w:p>
    <w:tbl>
      <w:tblPr>
        <w:tblW w:w="9660" w:type="dxa"/>
        <w:jc w:val="left"/>
        <w:tblInd w:w="0" w:type="dxa"/>
        <w:tblLayout w:type="fixed"/>
        <w:tblCellMar>
          <w:top w:w="28" w:type="dxa"/>
          <w:left w:w="28" w:type="dxa"/>
          <w:bottom w:w="28" w:type="dxa"/>
          <w:right w:w="28" w:type="dxa"/>
        </w:tblCellMar>
      </w:tblPr>
      <w:tblGrid>
        <w:gridCol w:w="1413"/>
        <w:gridCol w:w="1242"/>
        <w:gridCol w:w="1245"/>
        <w:gridCol w:w="211"/>
        <w:gridCol w:w="826"/>
        <w:gridCol w:w="109"/>
        <w:gridCol w:w="109"/>
        <w:gridCol w:w="109"/>
        <w:gridCol w:w="109"/>
        <w:gridCol w:w="211"/>
        <w:gridCol w:w="901"/>
        <w:gridCol w:w="109"/>
        <w:gridCol w:w="109"/>
        <w:gridCol w:w="109"/>
        <w:gridCol w:w="109"/>
        <w:gridCol w:w="211"/>
        <w:gridCol w:w="826"/>
        <w:gridCol w:w="109"/>
        <w:gridCol w:w="109"/>
        <w:gridCol w:w="109"/>
        <w:gridCol w:w="109"/>
        <w:gridCol w:w="211"/>
        <w:gridCol w:w="90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Consolidated Statements of Operations Data:</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Subscription</w:t>
            </w:r>
            <w:r>
              <w:rPr>
                <w:rFonts w:ascii="Times New Roman;sans-serif" w:hAnsi="Times New Roman;sans-serif"/>
                <w:b w:val="false"/>
                <w:color w:val="000000"/>
                <w:sz w:val="13"/>
              </w:rPr>
              <w:t>(1)</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ans-serif" w:hAnsi="Times New Roman;sans-serif"/>
                <w:b w:val="false"/>
                <w:color w:val="000000"/>
                <w:sz w:val="20"/>
              </w:rPr>
              <w:t>Services</w:t>
            </w:r>
            <w:r>
              <w:rPr>
                <w:rFonts w:ascii="Times New Roman;sans-serif" w:hAnsi="Times New Roman;sans-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r>
              <w:rPr>
                <w:color w:val="000000"/>
              </w:rPr>
              <w:t xml:space="preserv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613,398 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35"/>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(118,865)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(196,159)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54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stock</w:t>
        <w:noBreakHyphen/>
        <w:t>based compensation expense as follows (unaudited, in thousands):</w:t>
      </w:r>
    </w:p>
    <w:tbl>
      <w:tblPr>
        <w:tblW w:w="8085" w:type="dxa"/>
        <w:jc w:val="left"/>
        <w:tblInd w:w="0" w:type="dxa"/>
        <w:tblLayout w:type="fixed"/>
        <w:tblCellMar>
          <w:top w:w="28" w:type="dxa"/>
          <w:left w:w="28" w:type="dxa"/>
          <w:bottom w:w="28" w:type="dxa"/>
          <w:right w:w="28" w:type="dxa"/>
        </w:tblCellMar>
      </w:tblPr>
      <w:tblGrid>
        <w:gridCol w:w="1081"/>
        <w:gridCol w:w="950"/>
        <w:gridCol w:w="954"/>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revenue—subscription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Cost of revenue—services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Sales and marketing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Research and development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General and administrative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16"/>
              </w:rPr>
            </w:pPr>
            <w:r>
              <w:rPr>
                <w:rFonts w:ascii="Times New Roman;sans-serif" w:hAnsi="Times New Roman;sans-serif"/>
                <w:b w:val="false"/>
                <w:color w:val="000000"/>
                <w:sz w:val="16"/>
              </w:rPr>
              <w:t>Total stock</w:t>
              <w:noBreakHyphen/>
              <w:t xml:space="preserve">based compensation expense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tbl>
      <w:tblPr>
        <w:tblW w:w="8386" w:type="dxa"/>
        <w:jc w:val="left"/>
        <w:tblInd w:w="0" w:type="dxa"/>
        <w:tblLayout w:type="fixed"/>
        <w:tblCellMar>
          <w:top w:w="28" w:type="dxa"/>
          <w:left w:w="28" w:type="dxa"/>
          <w:bottom w:w="28" w:type="dxa"/>
          <w:right w:w="28" w:type="dxa"/>
        </w:tblCellMar>
      </w:tblPr>
      <w:tblGrid>
        <w:gridCol w:w="1194"/>
        <w:gridCol w:w="1049"/>
        <w:gridCol w:w="1056"/>
        <w:gridCol w:w="240"/>
        <w:gridCol w:w="226"/>
        <w:gridCol w:w="464"/>
        <w:gridCol w:w="186"/>
        <w:gridCol w:w="186"/>
        <w:gridCol w:w="186"/>
        <w:gridCol w:w="240"/>
        <w:gridCol w:w="226"/>
        <w:gridCol w:w="464"/>
        <w:gridCol w:w="109"/>
        <w:gridCol w:w="109"/>
        <w:gridCol w:w="109"/>
        <w:gridCol w:w="232"/>
        <w:gridCol w:w="234"/>
        <w:gridCol w:w="418"/>
        <w:gridCol w:w="168"/>
        <w:gridCol w:w="168"/>
        <w:gridCol w:w="168"/>
        <w:gridCol w:w="232"/>
        <w:gridCol w:w="234"/>
        <w:gridCol w:w="488"/>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Percentage of Revenue Data:</w:t>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before provision for income taxes </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35"/>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July 31, 2023 and 2022</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Revenue</w:t>
      </w:r>
    </w:p>
    <w:tbl>
      <w:tblPr>
        <w:tblW w:w="7045" w:type="dxa"/>
        <w:jc w:val="left"/>
        <w:tblInd w:w="0" w:type="dxa"/>
        <w:tblLayout w:type="fixed"/>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 reflects increased demand for our platform and related services. Subscription revenue increased by $117.7 million primarily due to an increase of $109.5 million from our Direct Sales Customers, inclusive of the impact from Direct Sales Customers who were self-serve customers of MongoDB Atlas in the prior-year period. The increase in services revenue was driven primarily by the continued increase in delivery of consulting services.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Cost of Revenue, Gross Profit and Gross Margin Percentage</w:t>
      </w:r>
    </w:p>
    <w:tbl>
      <w:tblPr>
        <w:tblW w:w="7894" w:type="dxa"/>
        <w:jc w:val="left"/>
        <w:tblInd w:w="0" w:type="dxa"/>
        <w:tblLayout w:type="fixed"/>
        <w:tblCellMar>
          <w:top w:w="28" w:type="dxa"/>
          <w:left w:w="28" w:type="dxa"/>
          <w:bottom w:w="28" w:type="dxa"/>
          <w:right w:w="28" w:type="dxa"/>
        </w:tblCellMar>
      </w:tblPr>
      <w:tblGrid>
        <w:gridCol w:w="895"/>
        <w:gridCol w:w="787"/>
        <w:gridCol w:w="792"/>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cost of revenue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subscription cost of revenue was primarily due to a $9.2 million increase in third</w:t>
        <w:noBreakHyphen/>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$4.1 million increase in personnel costs and stock-based compensation associated with increased headcount in our support organization. The increase in services cost of revenue was primarily due to a $3.6 million increase in personnel costs and stock-based compensation associated with increased headcount in our services organization. Total headcount in our support and services organizations increased 20% from July 31, 2022 to July 31, 2023.</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gross margin improved to 75%. Our subscription gross margin increased to 79% driven primarily by efficiencies realized in managing our third-party cloud infrastructure costs. Our services gross margin decreased as higher services personnel costs and stock-based compensation more than offset the increase in services 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Sales and Marketing</w:t>
      </w:r>
    </w:p>
    <w:tbl>
      <w:tblPr>
        <w:tblW w:w="6835" w:type="dxa"/>
        <w:jc w:val="left"/>
        <w:tblInd w:w="0" w:type="dxa"/>
        <w:tblLayout w:type="fixed"/>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28"/>
        <w:gridCol w:w="128"/>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sales and marketing expense included $19.3 million from higher personnel costs and stock-based compensation, driven by an increase in our sales and marketing headcount to 2,202 as of July 31, 2023 from 2,159 as of July 31, 2022, which includes non-quota-carrying hires in sales operations, customer success and marketing. Sales and marketing expense also increased $3.6 million due to higher commissions expense. The increase in sales and marketing expense was partially offset by a decrease of $4.5 million in travel costs, due to certain in-person events occurring earlier this year compared to the prior year, and a decrease of $1.9 million in marketing expense, driven primarily by a shorter user conference in New York as compared to the prior year, following our transition to the MongoDB.local format of our user conferences.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Research and Development</w:t>
      </w:r>
    </w:p>
    <w:tbl>
      <w:tblPr>
        <w:tblW w:w="7346" w:type="dxa"/>
        <w:jc w:val="left"/>
        <w:tblInd w:w="0" w:type="dxa"/>
        <w:tblLayout w:type="fixed"/>
        <w:tblCellMar>
          <w:top w:w="28" w:type="dxa"/>
          <w:left w:w="28" w:type="dxa"/>
          <w:bottom w:w="28" w:type="dxa"/>
          <w:right w:w="28" w:type="dxa"/>
        </w:tblCellMar>
      </w:tblPr>
      <w:tblGrid>
        <w:gridCol w:w="852"/>
        <w:gridCol w:w="749"/>
        <w:gridCol w:w="75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 was primarily driven by a $18.5 million increase in personnel costs and stock-based compensation as we grew our research and development headcount by 15%. The increase in research and development expense was partially offset by lower computer hardware costs.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General and Administrative</w:t>
      </w:r>
    </w:p>
    <w:tbl>
      <w:tblPr>
        <w:tblW w:w="7031" w:type="dxa"/>
        <w:jc w:val="left"/>
        <w:tblInd w:w="0" w:type="dxa"/>
        <w:tblLayout w:type="fixed"/>
        <w:tblCellMar>
          <w:top w:w="28" w:type="dxa"/>
          <w:left w:w="28" w:type="dxa"/>
          <w:bottom w:w="28" w:type="dxa"/>
          <w:right w:w="28" w:type="dxa"/>
        </w:tblCellMar>
      </w:tblPr>
      <w:tblGrid>
        <w:gridCol w:w="852"/>
        <w:gridCol w:w="749"/>
        <w:gridCol w:w="75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 was due to higher costs to support the growth of our business. In particular, these higher costs were driven by an increase in general and administrative personnel headcount resulting in $7.1 million higher personnel costs and stock-based compensation. The increase in general and administrative expense was partially offset by lower computer hardware costs.</w:t>
      </w:r>
    </w:p>
    <w:p>
      <w:pPr>
        <w:pStyle w:val="TextBody"/>
        <w:bidi w:val="0"/>
        <w:spacing w:before="80" w:after="18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2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bl>
      <w:tblPr>
        <w:tblW w:w="6823" w:type="dxa"/>
        <w:jc w:val="left"/>
        <w:tblInd w:w="0" w:type="dxa"/>
        <w:tblLayout w:type="fixed"/>
        <w:tblCellMar>
          <w:top w:w="28" w:type="dxa"/>
          <w:left w:w="28" w:type="dxa"/>
          <w:bottom w:w="28" w:type="dxa"/>
          <w:right w:w="28" w:type="dxa"/>
        </w:tblCellMar>
      </w:tblPr>
      <w:tblGrid>
        <w:gridCol w:w="879"/>
        <w:gridCol w:w="773"/>
        <w:gridCol w:w="778"/>
        <w:gridCol w:w="211"/>
        <w:gridCol w:w="723"/>
        <w:gridCol w:w="109"/>
        <w:gridCol w:w="109"/>
        <w:gridCol w:w="109"/>
        <w:gridCol w:w="109"/>
        <w:gridCol w:w="211"/>
        <w:gridCol w:w="542"/>
        <w:gridCol w:w="109"/>
        <w:gridCol w:w="109"/>
        <w:gridCol w:w="109"/>
        <w:gridCol w:w="109"/>
        <w:gridCol w:w="211"/>
        <w:gridCol w:w="721"/>
        <w:gridCol w:w="109"/>
        <w:gridCol w:w="109"/>
        <w:gridCol w:w="109"/>
        <w:gridCol w:w="109"/>
        <w:gridCol w:w="136"/>
        <w:gridCol w:w="136"/>
        <w:gridCol w:w="19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for the three months ended July 31, 2023 improved primarily due to higher interest income from our short-term investments.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tbl>
      <w:tblPr>
        <w:tblW w:w="6671" w:type="dxa"/>
        <w:jc w:val="left"/>
        <w:tblInd w:w="0" w:type="dxa"/>
        <w:tblLayout w:type="fixed"/>
        <w:tblCellMar>
          <w:top w:w="28" w:type="dxa"/>
          <w:left w:w="28" w:type="dxa"/>
          <w:bottom w:w="28" w:type="dxa"/>
          <w:right w:w="28" w:type="dxa"/>
        </w:tblCellMar>
      </w:tblPr>
      <w:tblGrid>
        <w:gridCol w:w="841"/>
        <w:gridCol w:w="739"/>
        <w:gridCol w:w="744"/>
        <w:gridCol w:w="214"/>
        <w:gridCol w:w="626"/>
        <w:gridCol w:w="110"/>
        <w:gridCol w:w="110"/>
        <w:gridCol w:w="110"/>
        <w:gridCol w:w="110"/>
        <w:gridCol w:w="214"/>
        <w:gridCol w:w="626"/>
        <w:gridCol w:w="110"/>
        <w:gridCol w:w="109"/>
        <w:gridCol w:w="109"/>
        <w:gridCol w:w="109"/>
        <w:gridCol w:w="211"/>
        <w:gridCol w:w="466"/>
        <w:gridCol w:w="109"/>
        <w:gridCol w:w="109"/>
        <w:gridCol w:w="109"/>
        <w:gridCol w:w="109"/>
        <w:gridCol w:w="180"/>
        <w:gridCol w:w="181"/>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the provision for income taxes during the three months ended July 31, 2023 and 2022 was primarily due to an increase in foreign taxes as we continue our global expansion.</w:t>
      </w:r>
    </w:p>
    <w:p>
      <w:pPr>
        <w:pStyle w:val="TextBody"/>
        <w:bidi w:val="0"/>
        <w:spacing w:before="80" w:after="18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Comparison of the Six Months Ended July 31, 2023 and 2022</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Revenue</w:t>
      </w:r>
    </w:p>
    <w:tbl>
      <w:tblPr>
        <w:tblW w:w="7045" w:type="dxa"/>
        <w:jc w:val="left"/>
        <w:tblInd w:w="0" w:type="dxa"/>
        <w:tblLayout w:type="fixed"/>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0"/>
        <w:gridCol w:w="181"/>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growth reflects increased demand for our platform and related services. Subscription revenue increased by $197.9 million primarily due to an increase of $182.2 million from our Direct Sales Customers, inclusive of the impact from Direct Sales Customers who were self-serve customers of MongoDB Atlas in the prior-year period. The increase in services revenue was driven primarily by the continued increase in delivery of consulting services.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Cost of Revenue, Gross Profit and Gross Margin Percentage</w:t>
      </w:r>
    </w:p>
    <w:tbl>
      <w:tblPr>
        <w:tblW w:w="7894" w:type="dxa"/>
        <w:jc w:val="left"/>
        <w:tblInd w:w="0" w:type="dxa"/>
        <w:tblLayout w:type="fixed"/>
        <w:tblCellMar>
          <w:top w:w="28" w:type="dxa"/>
          <w:left w:w="28" w:type="dxa"/>
          <w:bottom w:w="28" w:type="dxa"/>
          <w:right w:w="28" w:type="dxa"/>
        </w:tblCellMar>
      </w:tblPr>
      <w:tblGrid>
        <w:gridCol w:w="895"/>
        <w:gridCol w:w="787"/>
        <w:gridCol w:w="792"/>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180"/>
        <w:gridCol w:w="181"/>
        <w:gridCol w:w="316"/>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cost of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136,004 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cost of revenue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cost of revenue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589,285 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subscription cost of revenue was primarily due to a $18.8 million increase in third</w:t>
        <w:noBreakHyphen/>
        <w:t>party cloud infrastructure costs, including costs associated with the growth of MongoDB Atlas. The increase in third-party infrastructure costs was partly offset by continued cost efficiencies realized as we scale MongoDB Atlas. In addition, subscription cost of revenue was higher due to a $7.6 million increase in personnel costs and stock-based compensation associated with increased headcount in our support organization. The increase in services cost of revenue was primarily due to a $8.1 million increase in personnel costs and stock-based compensation associated with increased headcount in our services organization. Total headcount in our support and services organizations increased 20% from July 31, 2022 to July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gross margin improved to 74%. Our subscription gross margin increased to 79% as efficiencies realized in managing our third-party cloud infrastructure costs more than offset the negative margin impact from the increasing percentage of revenue from MongoDB Atlas. Our services gross margin decreased as higher services personnel costs and stock-based compensation more than offset the increase in services 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Sales and Marketing</w:t>
      </w:r>
    </w:p>
    <w:tbl>
      <w:tblPr>
        <w:tblW w:w="6940" w:type="dxa"/>
        <w:jc w:val="left"/>
        <w:tblInd w:w="0" w:type="dxa"/>
        <w:tblLayout w:type="fixed"/>
        <w:tblCellMar>
          <w:top w:w="28" w:type="dxa"/>
          <w:left w:w="28" w:type="dxa"/>
          <w:bottom w:w="28" w:type="dxa"/>
          <w:right w:w="28" w:type="dxa"/>
        </w:tblCellMar>
      </w:tblPr>
      <w:tblGrid>
        <w:gridCol w:w="705"/>
        <w:gridCol w:w="620"/>
        <w:gridCol w:w="62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sales and marketing expense included $43.6 million from higher personnel costs and stock-based compensation, driven by an increase in our sales and marketing headcount to 2,202 as of July 31, 2023 from 2,159 as of July 31, 2022, which includes non-quota-carrying hires in sales operations, customer success and marketing. Sales and marketing expense also increased $7.1 million due to higher commissions expense. The increase in sales and marketing expense was partially offset by a decrease of $2.5 million in marketing expense, driven primarily by a shorter user conference in New York as compared to the prior year, following our transition to the MongoDB.local format of our user conferences.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Research and Development</w:t>
      </w:r>
    </w:p>
    <w:tbl>
      <w:tblPr>
        <w:tblW w:w="7346" w:type="dxa"/>
        <w:jc w:val="left"/>
        <w:tblInd w:w="0" w:type="dxa"/>
        <w:tblLayout w:type="fixed"/>
        <w:tblCellMar>
          <w:top w:w="28" w:type="dxa"/>
          <w:left w:w="28" w:type="dxa"/>
          <w:bottom w:w="28" w:type="dxa"/>
          <w:right w:w="28" w:type="dxa"/>
        </w:tblCellMar>
      </w:tblPr>
      <w:tblGrid>
        <w:gridCol w:w="852"/>
        <w:gridCol w:w="749"/>
        <w:gridCol w:w="75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research and development expense was primarily driven by a $37.3 million increase in personnel costs and stock-based compensation as we increased our research and development headcount by 15%. </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General and Administrative</w:t>
      </w:r>
    </w:p>
    <w:tbl>
      <w:tblPr>
        <w:tblW w:w="7031" w:type="dxa"/>
        <w:jc w:val="left"/>
        <w:tblInd w:w="0" w:type="dxa"/>
        <w:tblLayout w:type="fixed"/>
        <w:tblCellMar>
          <w:top w:w="28" w:type="dxa"/>
          <w:left w:w="28" w:type="dxa"/>
          <w:bottom w:w="28" w:type="dxa"/>
          <w:right w:w="28" w:type="dxa"/>
        </w:tblCellMar>
      </w:tblPr>
      <w:tblGrid>
        <w:gridCol w:w="852"/>
        <w:gridCol w:w="749"/>
        <w:gridCol w:w="754"/>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0"/>
        <w:gridCol w:w="181"/>
        <w:gridCol w:w="316"/>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88" w:before="0" w:after="4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 was due to higher costs to support the growth of our business. In particular, these higher costs were driven by an increase in general and administrative personnel headcount resulting in $13.8 million higher personnel costs and stock-based compensation. The increase in general and administrative expense was partially offset by lower computer hardware costs.</w:t>
      </w:r>
    </w:p>
    <w:p>
      <w:pPr>
        <w:pStyle w:val="TextBody"/>
        <w:bidi w:val="0"/>
        <w:spacing w:lineRule="auto" w:line="288" w:before="0" w:after="20"/>
        <w:ind w:left="0" w:right="0" w:hanging="135"/>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bl>
      <w:tblPr>
        <w:tblW w:w="6970" w:type="dxa"/>
        <w:jc w:val="left"/>
        <w:tblInd w:w="0" w:type="dxa"/>
        <w:tblLayout w:type="fixed"/>
        <w:tblCellMar>
          <w:top w:w="28" w:type="dxa"/>
          <w:left w:w="28" w:type="dxa"/>
          <w:bottom w:w="28" w:type="dxa"/>
          <w:right w:w="28" w:type="dxa"/>
        </w:tblCellMar>
      </w:tblPr>
      <w:tblGrid>
        <w:gridCol w:w="879"/>
        <w:gridCol w:w="773"/>
        <w:gridCol w:w="778"/>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136"/>
        <w:gridCol w:w="136"/>
        <w:gridCol w:w="19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for the six months ended July 31, 2023 improved primarily due to higher interest income from our short-term investments.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Provision for Income Taxes</w:t>
      </w:r>
    </w:p>
    <w:tbl>
      <w:tblPr>
        <w:tblW w:w="6790" w:type="dxa"/>
        <w:jc w:val="left"/>
        <w:tblInd w:w="0" w:type="dxa"/>
        <w:tblLayout w:type="fixed"/>
        <w:tblCellMar>
          <w:top w:w="28" w:type="dxa"/>
          <w:left w:w="28" w:type="dxa"/>
          <w:bottom w:w="28" w:type="dxa"/>
          <w:right w:w="28" w:type="dxa"/>
        </w:tblCellMar>
      </w:tblPr>
      <w:tblGrid>
        <w:gridCol w:w="841"/>
        <w:gridCol w:w="739"/>
        <w:gridCol w:w="74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(unaudited,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ind w:left="0" w:right="0" w:hanging="135"/>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the provision for income taxes during the six months ended July 31, 2023 and 2022, was primarily due to an increase in foreign taxes as we continued our global expansion.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our principal sources of liquidity were cash, cash equivalents, short-term investments and restricted cash totaling $1.9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pStyle w:val="TextBody"/>
        <w:bidi w:val="0"/>
        <w:spacing w:lineRule="auto" w:line="288" w:before="8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generated significant operating losses and negative cash flows from operations as reflected in our accumulated deficit and historical consolidated statements of cash flows. As of July 31, 2023, we had an accumulated deficit of $1.6 billion. We expect to continue to incur operating losses, may continue to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and recent volatility in the banking sector,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 (unaudited, in thousands):</w:t>
      </w:r>
    </w:p>
    <w:tbl>
      <w:tblPr>
        <w:tblW w:w="6789" w:type="dxa"/>
        <w:jc w:val="left"/>
        <w:tblInd w:w="0" w:type="dxa"/>
        <w:tblLayout w:type="fixed"/>
        <w:tblCellMar>
          <w:top w:w="28" w:type="dxa"/>
          <w:left w:w="28" w:type="dxa"/>
          <w:bottom w:w="28" w:type="dxa"/>
          <w:right w:w="28" w:type="dxa"/>
        </w:tblCellMar>
      </w:tblPr>
      <w:tblGrid>
        <w:gridCol w:w="1541"/>
        <w:gridCol w:w="1355"/>
        <w:gridCol w:w="1364"/>
        <w:gridCol w:w="211"/>
        <w:gridCol w:w="721"/>
        <w:gridCol w:w="109"/>
        <w:gridCol w:w="109"/>
        <w:gridCol w:w="109"/>
        <w:gridCol w:w="109"/>
        <w:gridCol w:w="211"/>
        <w:gridCol w:w="796"/>
        <w:gridCol w:w="154"/>
      </w:tblGrid>
      <w:tr>
        <w:trPr/>
        <w:tc>
          <w:tcPr>
            <w:tcW w:w="15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July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(used in) operating activities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Operating Activities</w:t>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during the six months ended July 31, 2023 was $28.4 million, driven primarily by an increase in our cash collections reflecting overall growth of our sales and expansion of our customer base. Accordingly, our accounts receivable decreased by $12.2 million. In addition, our net loss of $91.8 million, includes non</w:t>
        <w:noBreakHyphen/>
        <w:t>cash charges of $217.3 million for stock</w:t>
        <w:noBreakHyphen/>
        <w:t>based compensation and $8.5 million for depreciation and amortization. Partially offsetting these benefits to our operating cash flow were a decrease in deferred revenue of $91.4 million , as well as accretion of the discount on our short-term investments of $25.5 million.</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during the six months ended July 31, 2022 was $33.1 million. This was primarily driven by our net loss of $196.2 million, which was partially offset by non</w:t>
        <w:noBreakHyphen/>
        <w:t>cash charges of $180.1 million for stock</w:t>
        <w:noBreakHyphen/>
        <w:t>based compensation, $7.7 million for depreciation and amortization, $6.4 million for lease-related charges and $4.1 million for accretion of discount on our short-term investments. In addition, the continuing growth of our sales and our expanding customer base led to an increase in accounts receivable of $19.5 million and deferred commissions of $16.6 million.</w:t>
      </w:r>
    </w:p>
    <w:p>
      <w:pPr>
        <w:pStyle w:val="TextBody"/>
        <w:bidi w:val="0"/>
        <w:spacing w:before="0" w:after="0"/>
        <w:ind w:left="0" w:right="0" w:firstLine="720"/>
        <w:jc w:val="left"/>
        <w:rPr/>
      </w:pPr>
      <w:r>
        <w:rPr/>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Investing Activities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during the six months ended July 31, 2023 was $101.1 million, primarily due to maturities of marketable securities, net of purchases, of $104.4 million. The proceeds were partially offset by $2.1 million of additional investment in non-marketable securities and $1.3 million of cash used for purchases of property and equipment.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during the six months ended July 31, 2022 was $196.1 million, primarily due to proceeds from maturities of marketable securities, net of purchases, of $202.4 million. The proceeds were partially offset by $5.2 million of cash used for purchases of property and equipment and $1.1 million of additional investment in non-marketable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Financing Activities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six months ended July 31, 2023 was $20.6 million, due to proceeds from the issuance of common stock under the Employee Stock Purchase Plan and exercises of stock options, partly offset by principal repayments of finance leases.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six months ended July 31, 2022 was $16.9 million, due to proceeds from the issuance of common stock under the Employee Stock Purchase Plan and exercises of stock options, partly offset by principal repayments of finance leases.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 the past and expect in the future to experience seasonal fluctuations in our revenue and operating results from time to time. We may experience variability and reduced comparability of our quarterly revenue and operating results with respect to the timing and nature of certain of our contracts, particularly multi-year contracts that contain a term license. We may also experience fluctuations as MongoDB Atlas revenue is recorded on a consumption basis and varies with usage, including due to seasonal factors. As MongoDB Atlas revenue continues to increase as a percentage of total revenue, these fluctuations may have a greater impact on our results of operations. We believe that seasonal fluctuations that we have experienced in the past may continue in the future.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and Commitments </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During the six months ended July 31, 2023, there were no material changes outside the ordinary course of business to our contractual obligations and commitments from those disclosed in our 2023 Form 10-K. Refer to Note 6,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and Note 7,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in our Notes to Unaudited Condensed Consolidated Financial Statements included in Part I, Item 1 of this Quarterly Report on Form 10-Q for further details.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Estimates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estimates from those disclosed in Part II, Item 7, “Management’s Discussion and Analysis of Financial Condition and Results of Operations” of the 2023 Form 10-K.</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180" w:after="180"/>
        <w:ind w:left="0" w:right="0" w:hanging="945"/>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Interest Rate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primarily consist of bank deposits and money market funds, and our short-term investments consist of U.S. government treasury securities. As of July 31, 2023, we had cash, cash equivalents, restricted cash and short-term investments of $1.9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July 31, 2023.</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2020, we issued $1.15 billion aggregate principal amount of 0.25% convertible senior notes due 2026 in a private placement (the “2026 Notes”). The fair value of the 2026 Notes is subject to interest rate risk, market risk and other factors due to the conversion feature. The fair value of the 2026 Notes will generally increase as our common stock price increases and will generally decrease as our common stock price declines. The interest and market value changes affect the fair value of the 2026 Notes, but do not impact our financial position, cash flows or results of operations due to the fixed nature of the debt obligation. Additionally, we carry the 2026 Notes at face value less unamortized issuance costs on our balance sheet, and we present the fair value for required disclosure purposes only.</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Foreign Currency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either of the three-month periods ended July 31, 2023 and 2022.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pStyle w:val="TextBody"/>
        <w:bidi w:val="0"/>
        <w:spacing w:lineRule="auto" w:line="288" w:before="0" w:after="180"/>
        <w:jc w:val="left"/>
        <w:rPr>
          <w:rFonts w:ascii="Times New Roman;sans-serif" w:hAnsi="Times New Roman;sans-serif"/>
          <w:b w:val="false"/>
          <w:i/>
          <w:color w:val="2C2C2C"/>
          <w:sz w:val="20"/>
        </w:rPr>
      </w:pPr>
      <w:r>
        <w:rPr>
          <w:rFonts w:ascii="Times New Roman;sans-serif" w:hAnsi="Times New Roman;sans-serif"/>
          <w:b w:val="false"/>
          <w:i/>
          <w:color w:val="2C2C2C"/>
          <w:sz w:val="20"/>
        </w:rPr>
        <w:t>Market Risk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July 31, 2023 and January 31, 2023, the total amount of non-marketable securities included in other assets on our balance sheet was $13.1 million and $9.8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180" w:after="180"/>
        <w:ind w:left="0" w:right="0" w:hanging="99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ITEM 4. CONTROLS AND PROCEDURES.</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Evaluation of Disclosure Controls and Procedures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Our management, with the participation of our Chief Executive Officer and our Chief Financial Officer, evaluated the effectiveness of our disclosure controls and procedures as of </w:t>
      </w:r>
      <w:r>
        <w:rPr>
          <w:rFonts w:ascii="Times New Roman;sans-serif" w:hAnsi="Times New Roman;sans-serif"/>
          <w:b w:val="false"/>
          <w:color w:val="000000"/>
          <w:sz w:val="20"/>
        </w:rPr>
        <w:t>July 31, 2023</w:t>
      </w:r>
      <w:r>
        <w:rPr>
          <w:rFonts w:ascii="Times New Roman;sans-serif" w:hAnsi="Times New Roman;sans-serif"/>
          <w:b w:val="false"/>
          <w:color w:val="000000"/>
          <w:sz w:val="20"/>
          <w:shd w:fill="FFFFFF" w:val="clear"/>
        </w:rPr>
        <w:t xml:space="preserve">. Based on the evaluation of our disclosure controls and procedures as of </w:t>
      </w:r>
      <w:r>
        <w:rPr>
          <w:rFonts w:ascii="Times New Roman;sans-serif" w:hAnsi="Times New Roman;sans-serif"/>
          <w:b w:val="false"/>
          <w:color w:val="000000"/>
          <w:sz w:val="20"/>
        </w:rPr>
        <w:t>July 31, 2023</w:t>
      </w:r>
      <w:r>
        <w:rPr>
          <w:rFonts w:ascii="Times New Roman;sans-serif" w:hAnsi="Times New Roman;sans-serif"/>
          <w:b w:val="false"/>
          <w:color w:val="000000"/>
          <w:sz w:val="20"/>
          <w:shd w:fill="FFFFFF" w:val="clear"/>
        </w:rPr>
        <w:t>, our Chief Executive Officer and Chief Financial Officer concluded that, as of such date, our disclosure controls and procedures were effective at the reasonable assurance level.</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Changes in Internal Control Over Financial Reporting</w:t>
      </w:r>
    </w:p>
    <w:p>
      <w:pPr>
        <w:pStyle w:val="TextBody"/>
        <w:bidi w:val="0"/>
        <w:spacing w:lineRule="auto" w:line="288" w:before="0" w:after="180"/>
        <w:ind w:left="0" w:right="0" w:firstLine="540"/>
        <w:jc w:val="left"/>
        <w:rPr/>
      </w:pPr>
      <w:r>
        <w:rPr>
          <w:rFonts w:ascii="Times New Roman;sans-serif" w:hAnsi="Times New Roman;sans-serif"/>
          <w:b w:val="false"/>
          <w:color w:val="000000"/>
          <w:sz w:val="20"/>
          <w:shd w:fill="FFFFFF" w:val="clear"/>
        </w:rPr>
        <w:t xml:space="preserve">There was no change in our internal control over financial reporting identified in connection with the evaluation required by Rule 13a-15(d) and Rule 15d-15(d) of the Exchange Act that occurred during the </w:t>
      </w:r>
      <w:r>
        <w:rPr>
          <w:rFonts w:ascii="Times New Roman;sans-serif" w:hAnsi="Times New Roman;sans-serif"/>
          <w:b w:val="false"/>
          <w:color w:val="000000"/>
          <w:sz w:val="20"/>
        </w:rPr>
        <w:t>three months ended July 31, 2023</w:t>
      </w:r>
      <w:r>
        <w:rPr>
          <w:color w:val="000000"/>
          <w:shd w:fill="FFFFFF" w:val="clear"/>
        </w:rPr>
        <w:t xml:space="preserve"> </w:t>
      </w:r>
      <w:r>
        <w:rPr>
          <w:rFonts w:ascii="Times New Roman;sans-serif" w:hAnsi="Times New Roman;sans-serif"/>
          <w:b w:val="false"/>
          <w:color w:val="000000"/>
          <w:sz w:val="20"/>
          <w:shd w:fill="FFFFFF" w:val="clear"/>
        </w:rPr>
        <w:t>that has materially affected, or is reasonably likely to materially affect, our internal control over financial reporting.</w:t>
      </w:r>
    </w:p>
    <w:p>
      <w:pPr>
        <w:pStyle w:val="TextBody"/>
        <w:bidi w:val="0"/>
        <w:spacing w:lineRule="auto" w:line="288" w:before="0" w:after="18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Inherent Limitations on Effectiveness of Controls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180" w:after="18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 xml:space="preserve">ITEM 1. LEGAL PROCEEDINGS. </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information required to be set forth under this Item 1 is incorporated by reference to Note 7,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of the Notes to Condensed Consolidated Financial Statements included in this Form 10-Q.</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subject to legal proceedings and claims in the ordinary course of business. For example, on March 12, 2019, Realtime Data LLC (“Realtime”) filed a lawsuit against us in the United States District Court for the District of Delaware alleging that we are infringing three U.S. patents that it holds: U.S. Patent No. 9,116,908, U.S. Patent No. 9,667,751 and U.S. Patent No. 8,933,825. On May 4, 2021, in a consolidated action that includes Realtime's case against MongoDB, the District Court granted certain defendants' motion to dismiss without prejudice, finding that the patents are invalid under 35 U.S.C. § 101. Realtime filed an amended complaint against us on May 18, 2021, and we moved to dismiss that amended complaint on June 29, 2021. On August 23, 2021, the District Court granted our motion to dismiss. On August 25, 2021, Realtime filed a notice of appeal of the Delaware District Court’s order. Realtime filed its appellate brief on December 2, 2021 and the defendants (including MongoDB) filed a responsive brief on March 11, 2022. Realtime filed a reply brief on April 29, 2022. The oral argument took place before the U.S. Court of Appeals for the Federal Circuit on February 10, 2023. On August 2, 2023, the U.S. Court of Appeals for the Federal Circuit issued an opinion affirming the District Court's order in favor of MongoDB. We believe the Federal Circuit correctly decided the matter, and we intend to continue to vigorously defend ourselves in the event of future appellate proceedings and any other potential future claims.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ITEM 1A. RISK FACTORS.</w:t>
      </w:r>
    </w:p>
    <w:p>
      <w:pPr>
        <w:pStyle w:val="TextBody"/>
        <w:bidi w:val="0"/>
        <w:spacing w:lineRule="auto" w:line="288" w:before="0" w:after="18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and financial results are subject to various risks and uncertainties including those described below. You should consider carefully the risks and uncertainties described below, in addition to other information contained in this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 Factors Summary</w:t>
      </w:r>
    </w:p>
    <w:p>
      <w:pPr>
        <w:pStyle w:val="TextBody"/>
        <w:bidi w:val="0"/>
        <w:spacing w:lineRule="auto" w:line="288" w:before="0" w:after="18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have a limited operating history, which makes it difficult to predict our future results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have a history of losses and as our costs increase, we may not be able to generate sufficient revenue to achieve or sustain profitability.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currently face significant competition and expect that intense competition will continue.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decision to offer Community Server under the Server Side Public License (“SSPL”) may harm the adoption of Community Server.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could be negatively impacted if the GNU Affero General Public License Version 3 (the “AGPL”), the SSPL and other open source licenses under which some of our software is licensed are not enforceable.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licensing model for Community Server could negatively affect our ability to monetize and protect our intellectual property rights.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are not able to maintain and enhance our brand, especially among developers, our business and results of operations may be adversely affected.</w:t>
      </w:r>
    </w:p>
    <w:p>
      <w:pPr>
        <w:pStyle w:val="TextBody"/>
        <w:bidi w:val="0"/>
        <w:spacing w:lineRule="auto" w:line="276"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recent volatility in the banking sector, warfare and terrorist attacks on the United States, Europe, the Asia Pacific region or elsewhere, could cause a decrease in business investments, including spending on information technology, disrupt the timing and cadence of key industry and marketing events and otherwise could materially and adversely affect the growth of our business.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created uncertainty in the global capital markets and is expected to have further global economic consequences, including disruptions of the global supply chain and energy markets.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banking sector has recently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 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pStyle w:val="TextBody"/>
        <w:bidi w:val="0"/>
        <w:spacing w:before="0" w:after="0"/>
        <w:ind w:left="0" w:right="0" w:firstLine="54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makes it difficult to predict our future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as our costs increase, we may not be able to generate sufficient revenue to achieve or sustain profitability.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net losses in each period since our inception, including net losses of $345.4 million, $306.9 million and $266.9 million for the fiscal years ended January 31, 2023, 2022 and 2021, respectively. We had an accumulated deficit of $1.6 billion as of July 31, 2023.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three and six months ended July 31, 2023. If we are unable to continue to meet the demands of our customers and the developer community, our business operations, financial results and growth prospects will be materially and adversely affected. In addition, because our customer’s usage of MongoDB Atlas may vary for a 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offerings are term-based and a majority of our subscription contracts were one year in duration in fiscal year 2023.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sans-serif" w:hAnsi="Times New Roman;sans-serif"/>
          <w:b w:val="false"/>
          <w:i/>
          <w:color w:val="000000"/>
          <w:sz w:val="20"/>
        </w:rPr>
        <w:t>Unfavorable conditions in our industry or the global economy or reductions in information technology spending could limit our ability to grow our business and materially and adversely affect our results of operations.”</w:t>
      </w:r>
    </w:p>
    <w:p>
      <w:pPr>
        <w:pStyle w:val="TextBody"/>
        <w:bidi w:val="0"/>
        <w:spacing w:before="0" w:after="0"/>
        <w:ind w:left="0" w:right="0" w:firstLine="54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currently face significant competition and expect that intense competition will continue.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database software market, for both relational and non-relational database products, is highly competitive,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non-relational database software providers. In addition, other large software and internet companies may seek to enter our market.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do not effectively expand our sales and marketing organization, we may be unable to add new customers or increase sales to our existing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including as a result of the COVID-19 pandemic and remote work arrangements, and we may be unable to hire or retain sufficient numbers of qualified individuals in the future in the markets where we do business, particularly during the current period of heightened employee attrition in the United States and other countries.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adoption strategies include offering Community Server and a free tier of MongoDB Atlas and we may not be able to realize the intended benefits of these strategies.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decision to offer Community Server under the SSPL, may harm the adoption of Community Server.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 Server, which in turn could lead to reduced brand and product awareness, ultimately leading to a decline in paying customers and our ability to grow our business or achieve profitability may be harmed.</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could be negatively impacted if the AGPL, the SSPL and other open source licenses under which some of our software is licensed are not enforceable.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would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licensing model for Community Server could negatively affect our ability to monetize and protect our intellectual property rights.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software incorporates third-party open source software, which could negatively affect our ability to sell our products and subject us to possible litigation.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risks related to license requirements, the use of third-party open source software can lead to greater risks than the use of third-party commercial software, as open source licensors generally do not provide warranties, indemnities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risks could be difficult to eliminate or manage and if not addressed, could have a negative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not able to introduce new features or services successfully and to make enhancements to our software or services, our business and results of operations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success is highly dependent on our ability to penetrate the existing market for database products, as well as the growth and expansion of the market for database products.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future quarterly results may fluctuate significantly and if we fail to meet the expectations of analysts or investors, our stock price could decline substantially.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actual and anticipated growth rates of our revenue, customers and other key operating metrics;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new product announcements, pricing changes and other actions by competitors;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mix of revenue and associated costs attributable to sales where subscriptions are bundled with services versus sold on a standalone basis and sales by us and our partners;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attract new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effectively expand our sales and marketing capabilities and teams;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retain customers and expand their usage of our software, particularly for our largest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enforce the AGPL or SSPL;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delays in closing sales, including the timing of renewals, which may result in revenue being pushed into the next quarter, particularly because a large portion of our sales occur toward the end of each quarter;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timing of revenue recognition;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mix of revenue attributable to larger transactions as opposed to smaller transactions;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customers’ budgets and in the timing of their budgeting cycles and purchasing decisions;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customers’ consumption of our platform;</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customers and potential customers opting for alternative products, including developing their own in-house solutions, or opting to use only the free version of our products;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control costs, including our operating expenses;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timing and success of new products, features and services offered by us and our competitors or any other change in the competitive dynamics of our industry, including consolidation among competitors, customers or strategic partners;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security breaches or other security incidents, technical difficulties, or interruptions with respect to the delivery and use of our software;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failure to maintain the level of service uptime and performance required by our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collectability of receivables from customers and resellers, which may be hindered or delayed if these customers or resellers experience financial distress;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political and economic conditions, in domestic or international markets;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conditions, both domestically and internationally, including warfare and terrorist attacks on the United States and other regions in which we or our customers operate, such as the Russia-Ukraine conflict, as well as economic conditions specifically affecting industries in which our customers participate;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sales tax and other tax determinations by authorities in the jurisdictions in which we conduct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new accounting pronouncements;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fluctuations in stock-based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 between Russia and Ukraine,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six months ended July 31, 2023.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experienced rapid growth in our business, operations and employee headcount. For fiscal years 2023, 2022 and 2021, our total revenue was $1,284.0 million, $873.8 million and $590.4 million, respectively, representing a 47% and 48% growth rate, respectively. We expect to continue to expand our operations and employee headcount in the near term. Our success will depend in part on our ability to continue to grow and to manage this growth, domestically and internationally, effectively.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Cyberattacks, malicious internet-based activity, and online and offline fraud, and other similar activities threaten the confidentiality, integrity and availability of our personal, proprietary, confidential and other sensitive data and our information technology systems, and those of the third parties upon which we rely to help deliver services to our customers. Such threats are prevalent, increasing in frequency, evolving in nature and becoming increasingly difficult to detect.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operations and supply chain. We and the third parties upon which we rely may be subject to a variety of evolving threats, including but not limited to social-engineering attacks (including through phishing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attacks), malicious code (such as viruses and worms), malware (including as a result of advanced persistent threat intrusions), denial-of-service attacks (such as credential stuffing), credential harvesting, personnel misconduct or error, fraud, ransomware attacks, supply-chain attacks, software bugs, server malfunctions, software or hardware failures, loss of data or other information technology assets, adware, telecommunications failures, pandemics, earthquakes, fires, floods, and other similar threats.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the United States government has raised concerns about a potential increase in cyberattacks generally as a result of the military conflict between Russia and Ukraine and the related sanctions imposed by the United States and other countries.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 functionality of our business and collect, store, transmit and otherwise process increasingly large amounts of our and our customers’ information and data, which may include personal, proprietary, confidential or other sensitive data.</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or personal, proprietary, confidential or other sensitive information, or those of the third parties upon whom we rely. A security breach or other security incident could disrupt our ability (and that of third parties upon whom we rely) to provide our platform, products, and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personal, proprietary, confidential or other sensitive information.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(including our products), our efforts may not be successful. Further, we may experience delays in developing and deploying remedial measures designed to address any such identified vulnerabilities.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sales cycle may be long and is unpredictable and our sales efforts require considerable time and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sales force, in particular new sales people as we increase the size of our sales force;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discretionary nature of purchasing and budget cycles and decisions;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obstacles placed by a customer’s procurement process;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ability to convert users of our free offerings to paying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economic conditions and other factors impacting customer budgets;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customer evaluation of competing products during the purchasing process;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evolving customer demands.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be forced to reduce prices for our subscription offerings and as a result our revenue and results of operations will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attract new customers in a manner that is cost-effective and assures customer success, we will not be able to grow our business, which would adversely affect our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do attract new customers, the cost of new customer acquisition, product implementation and ongoing customer support may prove so high as to prevent us from achieving or sustaining profitability. For example, in fiscal years 2023, 2022 and 2021, total sales and marketing expense represented 54%, 54% and 55%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 .local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offer high quality support, our business and reputation could suffer.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Real or perceived errors, failures or bugs in our software could adversely affect our business, results of operations, financial condition and growth prospects.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failures or bugs in our software could also impair our ability to attract new customers, retain existing customers or expand their use of our software, which would adversely affect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Data privacy has become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 privacy and security policies, contracts, and other obligations that govern the processing of personal data by us and on our behalf.</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 For example, in August 2022 California’s Attorney General reached a settlement with Sephora, Inc. (“Sephora”) for failing to satisfy certain obligations under the CCPA, including the disclosure and processing of opt-out requests, with respect to the for using third-party tracking software on Sephora's website that could, among other things, create profiles about website visitors that the California Attorney General interpreted as a "sale" of customer information given the benefits that both the software provider and Sephora received from the relationship. This action may signal a priority of enforcement and interpretation that such use of analytics products on the internet may introduce new web-based marketing complexities and compliance challenges under the CCPA.</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There are also discussions in Congress of new federal data privacy and security laws to which we may become subject if they are enacted.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on July 26, 2023, the Securities and Exchange Commission (the “SEC”) adopted new cybersecurity disclosure rules for public companies that require disclosure regarding cybersecurity risk management (including the corporate board’s role in overseeing cybersecurity risks, management’s role and expertise in assessing and managing cybersecurity risks, and processes for assessing, identifying and managing cybersecurity risks) in annual reports. These new cybersecurity disclosure rules also require the disclosure of material cybersecurity incidents in a Form 8-K, generally within four days of determining an incident is material. We will be subject to such annual report disclosure requirements starting with our 2023 Form 10-K and we will be subject to such Form 8-K disclosure requirements starting December 18, 2023 or later, depending on the date of publication of the adopting release in the Federal Register.</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on May 12, 2021, the Biden administration issued an Executive Order requiring federal agencies to implement additional IT security measures, including, among other things, requiring agencies to adopt multifactor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Both of these laws broadly regulate the processing of personal data in a manner comparable to the GDPR, and violators of the LGPD and APPI face substantial penalties.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foreign data privacy and security laws, including, without limitation, the GDPR and U.K. GDPR, may restrict the cross-border transfer of personal data, such as transfers of data to the United States from the E.E.A.,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On July 10, 2023 the European Commission adopted an adequacy decision concluding that the United States ensures an adequate level of protection for personal data transferred from the EU to the U.S. under the EU-U.S. Data Privacy Framework. We are currently self-certified under the EU-U.S. Data Privacy Framework, however such new adequacy decision is likely to face challenge at the Court of Justice of the European Union. In addition, the U.K. similarly restricts personal data transfers outside of the U.K. jurisdiction to countries such as the United States that the U.K. government does not consider to provide an adequate level of personal data protection, and the U.K. government has adopted its own standard International Data Transfer Agreement for use under such circumstances, as well as an international data transfer addendum that can be used with the SCCs for the same purpose. While the EU-U.S. Data Privacy Framework does not apply to the U.K., the U.K. and U.S. governments announced on June 8, 2023 a commitment in principle to establish a data bridge for the U.K. Extension to the EU-U.S. Data Privacy Framework, to facilitate transfers of personal data from the U.K. to the U.S.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 make significant operational changes, limit the effectiveness of our marketing activities, divert the attention of our technology personnel, adversely affect our margins, and subject us to liabilities.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Separately, as the regulatory framework for machine learning technology and AI evolves, it is possible that new laws and regulations will be adopted, or that existing laws and regulations may be interpreted in ways that would affect our business and the ways in which we or our partners use AI and machine learning technology, our financial condition and our results of operations, including as a result of the cost to comply with such laws or regulations. 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upon our intellectual property rights. As of January 31, 2023, we had 68 issued patents and 37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our intellectual property rights.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An adverse determination of any litigation proceedings could put our intellectual property at risk of being invalidated or interpreted narrowly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have been and may in the future be, subject to intellectual property rights claims by third parties, which may be costly to defend, could require us to pay significant damages and could limit our ability to use certain technologies.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 For example, Realtime Data (“Realtime”) filed a lawsuit against us in the United States District Court for the District of Delaware in March 2019 alleging that we are infringing three U.S. patents that it holds: the 908 Patent, the 751 Patent and the 825 Patent. See the section titled “Part II, Item 1. Legal Proceedings.”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any aspect of our business that may ultimately be determined to infringe, misappropriate or otherwise violate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unable to maintain successful relationships with our partners, our business, results of operations and financial condition could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upon third-party cloud providers to host our cloud offering; any disruption of or interference with our use of third-party cloud providers would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Interruptions or performance problems associated with our technology and infrastructure may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or cyberattacks.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Incorrect or improper implementation or use of our software could result in customer dissatisfaction and harm our business, results of operations, financial condition and growth prospects.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meet our service level commitments, our business, results of operations and financial condition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 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and considering the current period of heightened employee attrition in the United States and other countries. Our recruiting efforts focus on elite organizations and our primary recruiting competition are well-known, high-paying technology companies. In response to competition, rising inflation rates and labor shortages, we may need to adjust employee compensation, which could affect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are not able to maintain and enhance our brand, especially among developers, our business and results of operations may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 .local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continue to maintain and develop our corporate culture, we may be unable to execute effectively and foster the innovation, creativity and entrepreneurial spirit we believe we need to support our growth, which could harm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depend and rely upon SaaS technologies from third parties to operate our business and interruptions or performance problems with these technologies may adversely affect our business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Indemnity provisions in various agreements could expose us to substantial liability for data breaches, intellectual property infringement and other losses.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Because our long-term growth strategy involves sales to customers outside the United States, our business is susceptible to risks associated with international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our revenue is derived internationally and we are susceptible to risks related to our international operations. In the fiscal years ended January 31, 2023, 2022 and 2021, total revenue generated from customers outside the United States was 45%, 46% and 44%, respectively, of our total revenue. We currently have international offices outside of North America in Europe, the Middle East and Africa (“EMEA”), the Asia-Pacific region and South America, 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changes in a specific country’s or region’s political or economic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need to adapt and localize our products for specific countries;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greater difficulty collecting accounts receivable and longer payment cycles;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unexpected changes in laws, regulatory requirements, taxes or trade laws;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shelter-in-place, occupancy limitations or similar orders, private travel limitation, or business disruption in regions affecting our operations, stemming from actual, imminent or perceived outbreak of contagious disease;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more stringent regulations relating to data privacy and security and the unauthorized use of, or access to, commercial and personal data, particularly in EMEA;</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differing labor regulations, especially in EMEA, where labor laws are generally more advantageous to employees as compared to the United States, including deemed hourly wage and overtime regulations in these locations;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challenges inherent in efficiently managing an increased number of employees over large geographic distances, including the need to implement appropriate systems, policies, benefits and compliance programs;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difficulties in managing a business in new markets with diverse cultures, languages, customs, legal systems, alternative dispute systems and regulatory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associated with international operations, including travel, real estate, infrastructure and legal compliance costs;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currency exchange rate fluctuations and the resulting effect on our revenue and expenses and the cost and risk of entering into hedging transactions if we chose to do so in the future;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 of other economic factors, including inflation, pricing and currency devaluation;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limitations on our ability to reinvest earnings from operations in one country to fund the capital needs of our operations in other countries;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laws and business practices favoring local competitors or general preferences for local vendors;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operating in new, developing or other markets in which there are significant uncertainties regarding the interpretation, application and enforceability of laws and regulations, including relating to contract and intellectual property rights;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limited or insufficient intellectual property protection or difficulties enforcing our intellectual property;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exposure to liabilities under anti-corruption and anti-money laundering laws, including the U.S. Foreign Corrupt Practices Act, U.K. Bribery Act and similar laws and regulations in other jurisdictions;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tax burdens and foreign exchange controls that could make it difficult to repatriate earnings and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currency exchange rates fluctuate substantially in the future, our financial results, which are reported in U.S. dollars, could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Changes in laws and regulations related to the internet or changes in the internet infrastructure itself may diminish the demand for our software and could have a negative impact on our business.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corporate structure and intercompany arrangements are subject to the tax laws of various jurisdictions and we could be obligated to pay additional taxes, which would harm our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expand through acquisitions or investments in strategic partnerships or transactions with other companies, each of which may divert our management’s attention, result in additional dilution to our stockholders, increase expenses, disrupt our operations, and harm our results of operations.</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will depend, in part, on our ability to grow our business in response to changing technologies, customer demands and competitive pressures. In some circumstances, we may choose to do so through acquisitions or investments in strategic partnerships or transactions with other companies, rather than through internal development. The identification of suitable acquisition candidates can be difficult, time-consuming and costly and we may not be able to successfully complete identified acquisitions.</w:t>
      </w:r>
    </w:p>
    <w:p>
      <w:pPr>
        <w:pStyle w:val="TextBody"/>
        <w:bidi w:val="0"/>
        <w:spacing w:before="0" w:after="0"/>
        <w:ind w:left="0" w:right="0" w:firstLine="72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risks we face in connection with any acquisitions or strategic investments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not be able to realize anticipated synergies;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acquisition or strategic investment may disrupt our ongoing business, divert resources, increase our expenses and distract our management;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encounter challenges integrating the employees of the acquired company into our company culture;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for international transactions, we may face additional challenges related to the integration of operations across different cultures and languages and the economic, political and regulatory risks associated with specific countries;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 may be unable to successfully sell any acquired products or increase adoption or usage of acquired products, or increase spend by acquired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use of cash to pay for acquisitions or strategic investment would limit other potential uses for our cash;</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if we incur debt to fund any acquisitions, such debt may subject us to material restrictions on our ability to conduct our business, including financial maintenance covenants;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if we issue a significant amount of equity securities in connection with future acquisitions, existing stockholders may be diluted and earnings per share may decrease.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of these risks could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risks associated with our non-marketable securities, including partial or complete loss of invested capital. Significant changes in the fair value of our private investment portfolio could negatively impact our financial results.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non-marketable equity securities in privately-held companies. The financial success of our investments in any privately-held company is typically dependent on a liquidity event, such as a public offering, acquisition or other favorable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market event reflecting appreciation to the cost of our initial investment. In addition, valuations of privately-held companies are inherently complex due to the lack of readily available market data.</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Failure to comply with anti-bribery, anti-corruption and anti-money laundering laws could subject us to penalties and other adverse consequences.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reported financial results may be adversely affected by changes in accounting principles generally accepted in the United States.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prove to be incorrect, our results of operations could be adversely affected.</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in the Notes to Unaudited Condensed Consolidated Financial Statements included in Part I, Item 1 of this Quarterly Report on Form 10-Q.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Statements and Unaudited Condensed Consolidated Financial Statements include those related to revenue recognition, allowances for doubtful accounts, the incremental borrowing rate related to our lease liabilities, stock-based compensation, fair value of the liability component of the convertible debt, fair value of common stock and redeemable convertible preferred stock warrants prior to the initial public offering,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operations or the growth of our business and we cannot be certain that this capital will be available on reasonable terms when required, or at all.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a multinational organization with a distributed workforce facing increasingly complex tax issues in many jurisdictions and we could be obligated to pay additional taxes in various jurisdictions.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enactment of legislation implementing changes in U.S. taxation of international business activities or the adoption of other tax reform policies could materially impact our financial position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the Organisation for Economic Co-operation and Development (the “OECD”), has issued guidelines that change long-standing tax principles and may introduce tax uncertainty as countries amend their tax laws to adopt certain parts of the guidelines. In December 2022, the EU reached unanimous agreement, in principle, to implement the global minimum tax. EU members will be required to institute local laws in 2023, which are intended to be effective for tax years beginning after 2023. Additional changes to global tax laws are likely to occur, and such changes may adversely affect our tax liability.</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losses to offset future taxable income may be subject to certain limitations.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January 31, 2023,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are subject to governmental export and import controls that could impair our ability to compete in international markets or subject us to liability if we violate the controls.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July 31, 2023,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pStyle w:val="TextBody"/>
        <w:bidi w:val="0"/>
        <w:spacing w:lineRule="auto" w:line="288" w:before="0" w:after="180"/>
        <w:jc w:val="left"/>
        <w:rPr/>
      </w:pPr>
      <w:r>
        <w:rPr>
          <w:rFonts w:ascii="Times New Roman;sans-serif" w:hAnsi="Times New Roman;sans-serif"/>
          <w:b/>
          <w:i/>
          <w:color w:val="000000"/>
          <w:sz w:val="20"/>
        </w:rPr>
        <w:t>We are subject to risks related to our environmental, social, and governance activities and disclosures</w:t>
      </w:r>
      <w:r>
        <w:rPr>
          <w:rFonts w:ascii="Times New Roman;sans-serif" w:hAnsi="Times New Roman;sans-serif"/>
          <w:b w:val="false"/>
          <w:color w:val="000000"/>
          <w:sz w:val="20"/>
        </w:rPr>
        <w:t>.</w:t>
      </w:r>
    </w:p>
    <w:p>
      <w:pPr>
        <w:pStyle w:val="TextBody"/>
        <w:bidi w:val="0"/>
        <w:spacing w:lineRule="auto" w:line="26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in the process of developing our sustainability initiatives. The implementation of such initiatives may require considerable investment and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w:t>
      </w:r>
    </w:p>
    <w:p>
      <w:pPr>
        <w:pStyle w:val="TextBody"/>
        <w:bidi w:val="0"/>
        <w:spacing w:lineRule="auto" w:line="26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is an increasing focus from regulators, certain investors and other stakeholders concerning environmental, social, and governance (“ESG”) matters, both in the United States and internationally. We communicate certain ESG-related initiatives and goals regarding environmental matters, diversity and other matters in our annually released Corporate Sustainability Report, on our website and elsewhere. Any of our current or future initiatives, goals and commitments could be difficult to achieve and costly to implement. We could fail to achieve, or be perceived to fail to achieve, our ESG-related initiatives, goals and commitments. In addition, we could be criticized for the timing, scope or nature of these initiatives, goals and commitments, or for any revisions to them.</w:t>
      </w:r>
    </w:p>
    <w:p>
      <w:pPr>
        <w:pStyle w:val="TextBody"/>
        <w:bidi w:val="0"/>
        <w:spacing w:lineRule="auto" w:line="26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in the United States and elsewhere may be substantial. Furthermore, industry and market practices may further develop to become even more robust than what is required under any new laws and regulations, and we may have to expend significant efforts and resources to keep up with market trends and stay competitive among our peers.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Social, ethical and security issues relating to the use of new and evolving technologies, such as AI, in our offerings or partnerships may result in reputational harm and liability.</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Social, ethical and security issues relating to the use of new and evolving technologies such as AI in our offerings or partnerships, may result in reputational harm and liability, and may cause us to incur additional research and development costs to resolve such issues. As with many innovations, AI presents risks and challenges that could affect its adoption, and therefore our business. If we enable or offer solutions that draw controversy due to their perceived or actual impact on society,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AI and machine learning may change the way our industry identifies and responds to cyber threats, and businesses that are slow to adopt or fail to adopt such new technologies may face a competitive disadvantage. The rapid evolution of AI will require the application of resources to develop, test and maintain any potential offerings or partnerships to help ensure that AI is implemented ethically in order to minimize unintended, harmful impact.</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common stock has been and is likely to continue to be volatile, which could cause the value of our common stock to decline.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actual or anticipated changes or fluctuations in our results of operations;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whether our results of operations meet the expectations of securities analysts or investors;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announcements of new products or technologies, commercial relationships, acquisitions or other events by us or our competitors;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how customers perceive the benefits of our product and future product offerings and releases;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departures of key personnel;</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 to time;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fluctuations in the trading volume of our shares or the size of our public float;</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sales of large blocks of our common stock;</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changes in actual or future expectations of investors or securities analysts;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significant data breach involving our software;</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litigation involving us, our industry, or both;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regulatory developments in the United States, foreign countries or both;</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general economic conditions and trends;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major catastrophic events in our domestic and foreign markets;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flash crashes,” “freeze flashes” or other glitches that disrupt trading on the securities exchange on which we are listed.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may fail to meet our publicly announced guidance or other expectations about our business and future operating results, which would cause our stock price to decline.</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release earnings guidance in our quarterly and annual earnings conference calls, quarterly and annual earnings releases, or otherwise, regarding our future performance that represents our management’s estimates as of the date of release.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 between Russia and Ukraine,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pStyle w:val="TextBody"/>
        <w:bidi w:val="0"/>
        <w:spacing w:before="0" w:after="0"/>
        <w:jc w:val="left"/>
        <w:rPr/>
      </w:pPr>
      <w:r>
        <w:rPr/>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issuance of additional capital stock in connection with financings, acquisitions, investments, our equity incentive plans or otherwise will dilute all other stockholders.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for the foreseeable future.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The requirements of being a public company may strain our resources, divert management's attention and affect our ability to attract and retain additional executive management and qualified board members.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or governing bodies due to ambiguities related to their application and practice, regulatory authorities may initiate legal proceedings against us and our business may be adversely affected.</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any action asserting a breach of fiduciary duty;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any action asserting a claim against us arising under the Delaware General Corporation Law, our amended and restated certificate of incorporation, or our amended and restated bylaws;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TextBody"/>
        <w:bidi w:val="0"/>
        <w:spacing w:lineRule="auto" w:line="288" w:before="0" w:after="180"/>
        <w:ind w:left="0" w:right="0" w:firstLine="540"/>
        <w:jc w:val="left"/>
        <w:rPr/>
      </w:pPr>
      <w:r>
        <w:rPr>
          <w:rFonts w:ascii="Times New Roman;sans-serif" w:hAnsi="Times New Roman;sans-serif"/>
          <w:b w:val="false"/>
          <w:color w:val="000000"/>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t>
      </w:r>
      <w:r>
        <w:rPr>
          <w:rFonts w:ascii="Times New Roman;sans-serif" w:hAnsi="Times New Roman;sans-serif"/>
          <w:b w:val="false"/>
          <w:color w:val="212529"/>
          <w:sz w:val="20"/>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Delaware law and our corporate charter and bylaws contain anti-takeover provisions that could delay or discourage takeover attempts that stockholders may consider favorable.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of substantial amounts of our common stock in the public markets, or the perception that they might occur, could cause the market price of our common stock to decline.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 substantial number of shares of our common stock into the public market, particularly sales by our directors, executive officers, and principal stockholders, or the perception that these sales might occur, could cause the market price of our common stock to decline.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 </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 substantial number of shares of our common stock is reserved for issuance upon the exercise of the 2026 Notes (as defined below). If we elect to satisfy our conversion obligation on the 2026 Notes solely in shares of our common stock upon conversion of the 2026 Notes, we will be required to deliver shares of our common stock, together with cash for any fractional share.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Outstanding Notes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incurred a significant amount of debt and may in the future incur additional indebtedness. We may not have sufficient cash flow from our business to make payments on our substantial debt when due.</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and July 2018, we issued $300.0 million aggregate principal amount of 0.75% convertible senior notes due 2024 (the “2024 Notes”), which were redeemed on December 3, 2021, in a private placement and in January 2020, we issued $1.15 billion aggregate principal amount of 0.25% convertible senior notes due 2026 (the “2026 Notes” and, together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2024 Notes, the “Notes”) in a private placement and concurrently repurchased for cash approximately $210.0 million of the aggregate principal amount of the 2024 Notes.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use a substantial portion of our cash flows from operations to pay interest and principal on our indebtedness. Our ability to make scheduled payments of the principal of, to pay interest on or to refinance our indebtedness, including the 2026 Notes,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and our subsidiaries may incur substantial additional debt in the future, subject to the restrictions contained in our future debt agreements, some of which may be secured debt. We are not restricted under the terms of the indentures governing the 2026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Notes that could have the effect of diminishing our ability to make payments on the Notes when due. Additionally, weakness and volatility in capital markets and the economy, in general or as a result of macroeconomic conditions such as rising inflation, could limit our access to capital markets and increase our costs of borrowing.</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conditional conversion feature of the 2026 Notes, if triggered, may adversely affect our financial condition and operating results.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2026 Notes is triggered, holders of the 2026 Notes will be entitled to convert their 2026 Notes at any time during specified periods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We also may not have enough available cash or be able to obtain financing at the time the 2026 Notes mature. Our failure to pay any cash payable on future conversions of the 2026 Notes as required by the indenture would constitute a default under the indenture for the 2026 Notes. In addition, even if holders of 2026 Notes do not elect to convert their 2026 Notes, we could be required under applicable accounting rules to reclassify all or a portion of the outstanding principal of the 2026 Notes as a current rather than long-term liability, which would result in a material reduction of our net working capital.</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conditional conversion feature of the 2026 Notes was triggered during the three months ended July 31, 2023, as the last reported sale price of our common stock was more than or equal to 130% of the applicable conversion price for at least 20 trading days in the period of 30 consecutive trading days ending on July 31, 2023 (the last trading day of the fiscal quarter). Therefore, the 2026 Notes are currently convertible at the option of the holders thereof, in whole or in part, from August 1, 2023 through October 31, 2023. Whether the 2026 Notes will be convertible following such fiscal quarter will depend on the continued satisfaction of this condition or another conversion condition in the future.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The capped call transactions may affect the value of the 2026 Notes and our common stock.</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pricing of the 2026 Notes, we entered into privately negotiated capped call transactions with certain counterparties. The capped call transactions cover, subject to customary adjustments, the number of shares of our common stock initially underlying the 2026 Notes. The capped call transactions are expected to offset the potential dilution to our common stock upon any conversion of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 including with certain investors in the 2026 Notes.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counterparties or their respective affiliates may modify their hedge positions by entering into or unwinding various derivatives with respect to our common stock and/or purchasing or selling our common stock or other securities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ours in secondary market transactions prior to the maturity of the 2026 Notes (and are likely to do so on each exercise date of the capped call transactions, which are scheduled to occur during the observation period relating to any conversion of the 2026 Notes on or after October 15, 2025), or following any termination of any portion of the capped call transactions in connection with any repurchase, redemption or early conversions of the 2026 Notes or otherwise. This activity could also cause or avoid an increase or a decrease in the market price of our common stock. We do not make any representation or prediction as to the direction or magnitude of any potential effect that the transactions described above may have on the price of shares of our common stock.</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45"/>
        <w:jc w:val="left"/>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lineRule="auto" w:line="312" w:before="0" w:after="18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(a)Recent Sales of Unregistered Equity Securities</w:t>
      </w:r>
    </w:p>
    <w:p>
      <w:pPr>
        <w:pStyle w:val="TextBody"/>
        <w:bidi w:val="0"/>
        <w:spacing w:lineRule="auto" w:line="288" w:before="0" w:after="1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(b)Use of Proceeds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None. </w:t>
      </w:r>
    </w:p>
    <w:p>
      <w:pPr>
        <w:pStyle w:val="TextBody"/>
        <w:bidi w:val="0"/>
        <w:spacing w:lineRule="auto" w:line="288" w:before="0" w:after="180"/>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(c)Issuer Purchases of Equity Securities</w:t>
      </w:r>
    </w:p>
    <w:p>
      <w:pPr>
        <w:pStyle w:val="TextBody"/>
        <w:bidi w:val="0"/>
        <w:spacing w:lineRule="auto" w:line="288" w:before="0" w:after="18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None. </w:t>
      </w:r>
    </w:p>
    <w:p>
      <w:pPr>
        <w:pStyle w:val="TextBody"/>
        <w:bidi w:val="0"/>
        <w:spacing w:before="0" w:after="18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rPr>
      </w:pPr>
      <w:r>
        <w:rPr>
          <w:rFonts w:ascii="Times New Roman;sans-serif" w:hAnsi="Times New Roman;sans-serif"/>
          <w:b/>
          <w:color w:val="000000"/>
          <w:sz w:val="24"/>
        </w:rPr>
        <w:t>ITEM 3. DEFAULTS UPON SENIOR SECURITIES.</w:t>
      </w:r>
    </w:p>
    <w:p>
      <w:pPr>
        <w:pStyle w:val="TextBody"/>
        <w:bidi w:val="0"/>
        <w:spacing w:lineRule="auto" w:line="288" w:before="12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rPr>
      </w:pPr>
      <w:r>
        <w:rPr>
          <w:rFonts w:ascii="Times New Roman;sans-serif" w:hAnsi="Times New Roman;sans-serif"/>
          <w:b/>
          <w:color w:val="000000"/>
          <w:sz w:val="24"/>
        </w:rPr>
        <w:t>ITEM 4. MINE SAFETY DISCLOSURES.</w:t>
      </w:r>
    </w:p>
    <w:p>
      <w:pPr>
        <w:pStyle w:val="TextBody"/>
        <w:bidi w:val="0"/>
        <w:spacing w:lineRule="auto" w:line="288" w:before="120" w:after="18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120" w:after="18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ind w:left="0" w:right="0" w:hanging="990"/>
        <w:jc w:val="left"/>
        <w:rPr>
          <w:rFonts w:ascii="Times New Roman;sans-serif" w:hAnsi="Times New Roman;sans-serif"/>
          <w:b/>
          <w:color w:val="000000"/>
          <w:sz w:val="24"/>
        </w:rPr>
      </w:pPr>
      <w:r>
        <w:rPr>
          <w:rFonts w:ascii="Times New Roman;sans-serif" w:hAnsi="Times New Roman;sans-serif"/>
          <w:b/>
          <w:color w:val="000000"/>
          <w:sz w:val="24"/>
        </w:rPr>
        <w:t>ITEM 5. OTHER INFORMATION.</w:t>
      </w:r>
    </w:p>
    <w:p>
      <w:pPr>
        <w:pStyle w:val="TextBody"/>
        <w:bidi w:val="0"/>
        <w:spacing w:lineRule="auto" w:line="268" w:before="0" w:after="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Rule 10b5-1 and Non-Rule 10b5-1 Trading Arrangements</w:t>
      </w:r>
    </w:p>
    <w:p>
      <w:pPr>
        <w:pStyle w:val="TextBody"/>
        <w:bidi w:val="0"/>
        <w:spacing w:before="0" w:after="0"/>
        <w:ind w:left="0" w:right="0" w:firstLine="495"/>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executive officers and directors of the Company may execute purchases and sales of the Company's common stock through Rule 10b5-1 equity trading plans and “non-Rule 10b5-1 equity trading arrangements” (as defined in Item 408(c) of Regulation S-K).</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31, 2023, three of our officers adopted the following Rule 10b5-1 trading arrangements.</w:t>
      </w:r>
    </w:p>
    <w:p>
      <w:pPr>
        <w:pStyle w:val="TextBody"/>
        <w:bidi w:val="0"/>
        <w:spacing w:before="0" w:after="0"/>
        <w:ind w:left="0" w:right="0" w:firstLine="72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9, 2023, Michael Gordon, our Chief Operating Officer and Chief Financial Officer adopted a trading plan intended to satisfy the conditions under Rule 10b5-1(c) of the Exchange Act. Mr. Gordon’s plan is for the sale of up to 80,000 shares of common stock underlying employee stock options and 26,635 shares of our common stock in amounts and prices determined in accordance with a formula set forth in the plan and terminates on the earlier of the date all the shares under the plan are sold and August 30, 2024, subject to early termination for certain specified events set forth in the plan.</w:t>
      </w:r>
    </w:p>
    <w:p>
      <w:pPr>
        <w:pStyle w:val="TextBody"/>
        <w:bidi w:val="0"/>
        <w:spacing w:before="0" w:after="0"/>
        <w:ind w:left="0" w:right="0" w:firstLine="450"/>
        <w:jc w:val="both"/>
        <w:rPr/>
      </w:pPr>
      <w:r>
        <w:rPr/>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26, 2023, Dev Ittycheria, our Chief Executive Officer adopted a trading plan intended to satisfy the conditions under Rule 10b5-1(c) of the Exchange Act. Mr. Ittycheria’s plan is for the sale of up to 400,000 shares of our common stock underlying employee stock options in amounts and prices determined in accordance with a formula set forth in the plan and terminates on the earlier of the date all the shares under the plan are sold and September 30, 2024, subject to early termination for certain specified events set forth in the plan.</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28, 2023, Cedric Pech, our Chief Revenue Officer adopted a trading plan intended to satisfy the conditions under Rule 10b5-1(c) of the Exchange Act. Mr. Pech’s plan is for the sale of up to 100% of the (net) shares of common stock resulting from the vesting of an aggregate of 31,708 RSUs and PSUs in amounts and prices determined in accordance with a formula set forth in the plan (net shares are net of tax withholding). The plan terminates on the earlier of the date all the shares under the plan are sold and July 31, 2024, subject to early termination for certain specified events set forth in the plan.</w:t>
      </w:r>
    </w:p>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his departure in June 2023, Mark Porter, our former Chief Technology Officer, terminated the sell-to-cover arrangement adopted under Rule 10b5-1(c) of the Exchange Act with respect to his tax obligations due in connection with the vesting of his restricted stock units with the Company.</w:t>
      </w:r>
    </w:p>
    <w:p>
      <w:pPr>
        <w:pStyle w:val="TextBody"/>
        <w:bidi w:val="0"/>
        <w:spacing w:lineRule="auto" w:line="288" w:before="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July 31, 2023, other than noted above, none of our executive officers or directors terminated or modified a 10b5-1 equity trading plan, or adopted, terminated, or modified any “non-Rule 10b5-1 equity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312" w:before="0" w:after="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268"/>
        <w:gridCol w:w="237"/>
        <w:gridCol w:w="238"/>
        <w:gridCol w:w="109"/>
        <w:gridCol w:w="109"/>
        <w:gridCol w:w="109"/>
        <w:gridCol w:w="1724"/>
        <w:gridCol w:w="1598"/>
        <w:gridCol w:w="1614"/>
        <w:gridCol w:w="109"/>
        <w:gridCol w:w="109"/>
        <w:gridCol w:w="109"/>
        <w:gridCol w:w="171"/>
        <w:gridCol w:w="171"/>
        <w:gridCol w:w="169"/>
        <w:gridCol w:w="339"/>
        <w:gridCol w:w="259"/>
        <w:gridCol w:w="225"/>
        <w:gridCol w:w="210"/>
        <w:gridCol w:w="210"/>
        <w:gridCol w:w="211"/>
        <w:gridCol w:w="217"/>
        <w:gridCol w:w="217"/>
        <w:gridCol w:w="218"/>
        <w:gridCol w:w="109"/>
        <w:gridCol w:w="109"/>
        <w:gridCol w:w="109"/>
        <w:gridCol w:w="269"/>
        <w:gridCol w:w="269"/>
        <w:gridCol w:w="390"/>
      </w:tblGrid>
      <w:tr>
        <w:trPr/>
        <w:tc>
          <w:tcPr>
            <w:tcW w:w="2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12"/>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Form</w:t>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File No.</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Exhibit</w:t>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Certificate of Retirement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001-38240</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333-220557</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9/21/2017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arkporterseparationagreem.htm">
              <w:r>
                <w:rPr>
                  <w:rStyle w:val="InternetLink"/>
                  <w:rFonts w:ascii="Times New Roman;sans-serif" w:hAnsi="Times New Roman;sans-serif"/>
                  <w:b w:val="false"/>
                  <w:color w:val="0000FF"/>
                  <w:sz w:val="20"/>
                  <w:u w:val="single"/>
                </w:rPr>
                <w:t>Separation Agreement, dated June 27, 2023, by and between the Registrant and Mark Porter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073123x10qxe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073123x10qxe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073123x10qx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db-073123x10qx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w:t>
              <w:br/>
              <w:t>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312" w:before="0" w:after="160"/>
        <w:jc w:val="left"/>
        <w:rPr/>
      </w:pPr>
      <w:hyperlink w:anchor="id8cdb78a364449b6a82ea35942048797_7">
        <w:r>
          <w:rPr>
            <w:rStyle w:val="InternetLink"/>
            <w:rFonts w:ascii="Times New Roman;sans-serif" w:hAnsi="Times New Roman;sans-serif"/>
            <w:b w:val="false"/>
            <w:color w:val="0000FF"/>
            <w:sz w:val="16"/>
            <w:u w:val="single"/>
          </w:rPr>
          <w:t>Table of Contents</w:t>
        </w:r>
      </w:hyperlink>
    </w:p>
    <w:p>
      <w:pPr>
        <w:pStyle w:val="TextBody"/>
        <w:bidi w:val="0"/>
        <w:spacing w:lineRule="auto" w:line="312" w:before="0" w:after="160"/>
        <w:jc w:val="center"/>
        <w:rPr>
          <w:rFonts w:ascii="Times New Roman;sans-serif" w:hAnsi="Times New Roman;sans-serif"/>
          <w:b/>
          <w:color w:val="000000"/>
          <w:sz w:val="20"/>
        </w:rPr>
      </w:pPr>
      <w:r>
        <w:rPr>
          <w:rFonts w:ascii="Times New Roman;sans-serif" w:hAnsi="Times New Roman;sans-serif"/>
          <w:b/>
          <w:color w:val="000000"/>
          <w:sz w:val="20"/>
        </w:rPr>
        <w:t>MONGODB, INC.</w:t>
      </w:r>
    </w:p>
    <w:p>
      <w:pPr>
        <w:pStyle w:val="TextBody"/>
        <w:bidi w:val="0"/>
        <w:spacing w:lineRule="auto" w:line="288" w:before="0" w:after="180"/>
        <w:ind w:left="0" w:right="0" w:firstLine="54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240" w:after="18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602" w:type="dxa"/>
        <w:jc w:val="center"/>
        <w:tblInd w:w="0" w:type="dxa"/>
        <w:tblLayout w:type="fixed"/>
        <w:tblCellMar>
          <w:top w:w="28" w:type="dxa"/>
          <w:left w:w="28" w:type="dxa"/>
          <w:bottom w:w="28" w:type="dxa"/>
          <w:right w:w="28" w:type="dxa"/>
        </w:tblCellMar>
      </w:tblPr>
      <w:tblGrid>
        <w:gridCol w:w="764"/>
        <w:gridCol w:w="673"/>
        <w:gridCol w:w="677"/>
        <w:gridCol w:w="175"/>
        <w:gridCol w:w="175"/>
        <w:gridCol w:w="175"/>
        <w:gridCol w:w="219"/>
        <w:gridCol w:w="219"/>
        <w:gridCol w:w="221"/>
        <w:gridCol w:w="1239"/>
        <w:gridCol w:w="1239"/>
        <w:gridCol w:w="1826"/>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MONGODB, INC.</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 2023</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Gordon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spacing w:before="0" w:after="18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ind w:left="0" w:right="0" w:firstLine="54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240"/>
        <w:jc w:val="left"/>
        <w:rPr/>
      </w:pPr>
      <w:r>
        <w:rPr/>
        <w:drawing>
          <wp:inline distT="0" distB="0" distL="0" distR="0">
            <wp:extent cx="1733550" cy="438150"/>
            <wp:effectExtent l="0" t="0" r="0" b="0"/>
            <wp:docPr id="7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 descr=""/>
                    <pic:cNvPicPr>
                      <a:picLocks noChangeAspect="1" noChangeArrowheads="1"/>
                    </pic:cNvPicPr>
                  </pic:nvPicPr>
                  <pic:blipFill>
                    <a:blip r:embed="rId5"/>
                    <a:stretch>
                      <a:fillRect/>
                    </a:stretch>
                  </pic:blipFill>
                  <pic:spPr bwMode="auto">
                    <a:xfrm>
                      <a:off x="0" y="0"/>
                      <a:ext cx="1733550" cy="438150"/>
                    </a:xfrm>
                    <a:prstGeom prst="rect">
                      <a:avLst/>
                    </a:prstGeom>
                  </pic:spPr>
                </pic:pic>
              </a:graphicData>
            </a:graphic>
          </wp:inline>
        </w:drawing>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June 27, 2023</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Mark Porter</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[via email]</w:t>
      </w:r>
    </w:p>
    <w:p>
      <w:pPr>
        <w:pStyle w:val="TextBody"/>
        <w:bidi w:val="0"/>
        <w:spacing w:lineRule="auto" w:line="288" w:before="0" w:after="240"/>
        <w:jc w:val="left"/>
        <w:rPr/>
      </w:pPr>
      <w:r>
        <w:rPr>
          <w:rFonts w:ascii="Arial;sans-serif" w:hAnsi="Arial;sans-serif"/>
          <w:b w:val="false"/>
          <w:color w:val="000000"/>
          <w:sz w:val="18"/>
        </w:rPr>
        <w:t xml:space="preserve">Re: Terms of </w:t>
      </w:r>
      <w:r>
        <w:rPr>
          <w:rFonts w:ascii="Arial;sans-serif" w:hAnsi="Arial;sans-serif"/>
          <w:b/>
          <w:color w:val="000000"/>
          <w:sz w:val="18"/>
        </w:rPr>
        <w:t>Separation</w:t>
      </w:r>
    </w:p>
    <w:p>
      <w:pPr>
        <w:pStyle w:val="TextBody"/>
        <w:bidi w:val="0"/>
        <w:spacing w:lineRule="auto" w:line="288" w:before="0" w:after="240"/>
        <w:ind w:left="0" w:right="0" w:hanging="10"/>
        <w:jc w:val="both"/>
        <w:rPr/>
      </w:pPr>
      <w:r>
        <w:rPr>
          <w:rFonts w:ascii="Arial;sans-serif" w:hAnsi="Arial;sans-serif"/>
          <w:b w:val="false"/>
          <w:color w:val="000000"/>
          <w:sz w:val="18"/>
        </w:rPr>
        <w:t xml:space="preserve">This letter confirms the agreement (“Agreement”) between you and MongoDB, Inc. (the “Company”) concerning the terms of your </w:t>
      </w:r>
      <w:r>
        <w:rPr>
          <w:rFonts w:ascii="Arial;sans-serif" w:hAnsi="Arial;sans-serif"/>
          <w:b/>
          <w:color w:val="000000"/>
          <w:sz w:val="18"/>
        </w:rPr>
        <w:t>separation a</w:t>
      </w:r>
      <w:r>
        <w:rPr>
          <w:rFonts w:ascii="Arial;sans-serif" w:hAnsi="Arial;sans-serif"/>
          <w:b w:val="false"/>
          <w:color w:val="000000"/>
          <w:sz w:val="18"/>
        </w:rPr>
        <w:t>nd offers you the separation compensation we discussed in exchange for a general release of claims and covenant not to sue.</w:t>
      </w:r>
    </w:p>
    <w:p>
      <w:pPr>
        <w:pStyle w:val="TextBody"/>
        <w:bidi w:val="0"/>
        <w:spacing w:lineRule="auto" w:line="288" w:before="0" w:after="240"/>
        <w:ind w:left="0" w:right="0" w:hanging="10"/>
        <w:jc w:val="both"/>
        <w:rPr/>
      </w:pPr>
      <w:r>
        <w:rPr>
          <w:rFonts w:ascii="Arial;sans-serif" w:hAnsi="Arial;sans-serif"/>
          <w:b w:val="false"/>
          <w:color w:val="000000"/>
          <w:sz w:val="18"/>
        </w:rPr>
        <w:t xml:space="preserve">1. </w:t>
      </w:r>
      <w:r>
        <w:rPr>
          <w:rFonts w:ascii="Arial;sans-serif" w:hAnsi="Arial;sans-serif"/>
          <w:b w:val="false"/>
          <w:color w:val="000000"/>
          <w:sz w:val="18"/>
          <w:u w:val="single"/>
        </w:rPr>
        <w:t>Separation Date</w:t>
      </w:r>
      <w:r>
        <w:rPr>
          <w:rFonts w:ascii="Arial;sans-serif" w:hAnsi="Arial;sans-serif"/>
          <w:b w:val="false"/>
          <w:color w:val="000000"/>
          <w:sz w:val="18"/>
        </w:rPr>
        <w:t>: July 3, 2023 is your last day of employment with the Company (the “Separation Date”).</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2. </w:t>
      </w:r>
      <w:r>
        <w:rPr>
          <w:rFonts w:ascii="Arial;sans-serif" w:hAnsi="Arial;sans-serif"/>
          <w:b w:val="false"/>
          <w:color w:val="000000"/>
          <w:sz w:val="18"/>
          <w:u w:val="single"/>
        </w:rPr>
        <w:t>Acknowledgment of Payment of Wages</w:t>
      </w:r>
      <w:r>
        <w:rPr>
          <w:rFonts w:ascii="Arial;sans-serif" w:hAnsi="Arial;sans-serif"/>
          <w:b w:val="false"/>
          <w:color w:val="000000"/>
          <w:sz w:val="18"/>
        </w:rPr>
        <w:t>: On the next regularly scheduled pay day following the Separation Date, the Company will pay you an amount that represents all of your salary earned through the Separation Date. Per the Company’s flexible time off program, paid time off is not accrued and is therefore not paid out upon separation from the Company. You acknowledge that, prior to the execution of this Agreement, you were not entitled to receive any additional money from the Company, and that the only payments and benefits that you are entitled to receive from the Company in the future are those specified in this Agreement.</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3. </w:t>
      </w:r>
      <w:r>
        <w:rPr>
          <w:rFonts w:ascii="Arial;sans-serif" w:hAnsi="Arial;sans-serif"/>
          <w:b w:val="false"/>
          <w:color w:val="000000"/>
          <w:sz w:val="18"/>
          <w:u w:val="single"/>
        </w:rPr>
        <w:t>Separation Compensation</w:t>
      </w:r>
      <w:r>
        <w:rPr>
          <w:rFonts w:ascii="Arial;sans-serif" w:hAnsi="Arial;sans-serif"/>
          <w:b w:val="false"/>
          <w:color w:val="000000"/>
          <w:sz w:val="18"/>
        </w:rPr>
        <w:t xml:space="preserve">: In exchange for your agreement to the general release and waiver of claims and covenant not to sue set forth below and your other promises herein, the Company agrees to provide you with the </w:t>
      </w:r>
      <w:r>
        <w:rPr>
          <w:rFonts w:ascii="Arial;sans-serif" w:hAnsi="Arial;sans-serif"/>
          <w:b/>
          <w:color w:val="000000"/>
          <w:sz w:val="18"/>
        </w:rPr>
        <w:t xml:space="preserve">Severance Benefits </w:t>
      </w:r>
      <w:r>
        <w:rPr>
          <w:rFonts w:ascii="Arial;sans-serif" w:hAnsi="Arial;sans-serif"/>
          <w:b w:val="false"/>
          <w:color w:val="000000"/>
          <w:sz w:val="18"/>
        </w:rPr>
        <w:t>(as defined in the Offer Letter, dated as of December 21, 2021 (“Offer Letter”), between you and the Company).</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By signing below, you acknowledge that you are receiving the separation compensation outlined in this paragraph in consideration for waiving your rights to claims referred to in this Agreement and that you would not otherwise be entitled to the separation compensation.</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4. </w:t>
      </w:r>
      <w:r>
        <w:rPr>
          <w:rFonts w:ascii="Arial;sans-serif" w:hAnsi="Arial;sans-serif"/>
          <w:b w:val="false"/>
          <w:color w:val="000000"/>
          <w:sz w:val="18"/>
          <w:u w:val="single"/>
        </w:rPr>
        <w:t>Return of Company Property</w:t>
      </w:r>
      <w:r>
        <w:rPr>
          <w:rFonts w:ascii="Arial;sans-serif" w:hAnsi="Arial;sans-serif"/>
          <w:b w:val="false"/>
          <w:color w:val="000000"/>
          <w:sz w:val="18"/>
        </w:rPr>
        <w:t>: You hereby warrant to the Company that you have returned to the Company all property or data of the Company of any type whatsoever that has been in your possession or control.</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5. </w:t>
      </w:r>
      <w:r>
        <w:rPr>
          <w:rFonts w:ascii="Arial;sans-serif" w:hAnsi="Arial;sans-serif"/>
          <w:b w:val="false"/>
          <w:color w:val="000000"/>
          <w:sz w:val="18"/>
          <w:u w:val="single"/>
        </w:rPr>
        <w:t>Proprietary Information</w:t>
      </w:r>
      <w:r>
        <w:rPr>
          <w:rFonts w:ascii="Arial;sans-serif" w:hAnsi="Arial;sans-serif"/>
          <w:b w:val="false"/>
          <w:color w:val="000000"/>
          <w:sz w:val="18"/>
        </w:rPr>
        <w:t>: You hereby acknowledge that you are bound by the attached Employee Invention Assignment, Confidentiality and Arbitration Agreement (</w:t>
      </w:r>
      <w:r>
        <w:rPr>
          <w:rFonts w:ascii="Arial;sans-serif" w:hAnsi="Arial;sans-serif"/>
          <w:b w:val="false"/>
          <w:color w:val="000000"/>
          <w:sz w:val="18"/>
          <w:u w:val="single"/>
        </w:rPr>
        <w:t xml:space="preserve">Exhibit A </w:t>
      </w:r>
      <w:r>
        <w:rPr>
          <w:rFonts w:ascii="Arial;sans-serif" w:hAnsi="Arial;sans-serif"/>
          <w:b w:val="false"/>
          <w:color w:val="000000"/>
          <w:sz w:val="18"/>
        </w:rPr>
        <w:t>hereto) and that as a result of your employment with the Company you have had access to the Company’s Proprietary Information (as defined in the agreement), that you will hold all Proprietary Information in strictest confidence and that you will not make use of such Proprietary Information on behalf of anyone. You further confirm that you have delivered to the Company all documents and data of any nature containing or pertaining to such Proprietary Information and that you have not taken with you any such documents or data or any reproduction thereof.</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6. </w:t>
      </w:r>
      <w:r>
        <w:rPr>
          <w:rFonts w:ascii="Arial;sans-serif" w:hAnsi="Arial;sans-serif"/>
          <w:b w:val="false"/>
          <w:color w:val="000000"/>
          <w:sz w:val="18"/>
          <w:u w:val="single"/>
        </w:rPr>
        <w:t>Equity</w:t>
      </w:r>
      <w:r>
        <w:rPr>
          <w:rFonts w:ascii="Arial;sans-serif" w:hAnsi="Arial;sans-serif"/>
          <w:b w:val="false"/>
          <w:color w:val="000000"/>
          <w:sz w:val="18"/>
        </w:rPr>
        <w:t>: Your rights concerning any unvested Restricted Stock Units will be governed by the applicable Restricted Stock Unit Agreements, except as otherwise set forth in your Offer Letter.</w:t>
      </w:r>
    </w:p>
    <w:p>
      <w:pPr>
        <w:pStyle w:val="TextBody"/>
        <w:bidi w:val="0"/>
        <w:spacing w:lineRule="auto" w:line="288" w:before="0" w:after="240"/>
        <w:ind w:left="0" w:right="0" w:hanging="10"/>
        <w:jc w:val="left"/>
        <w:rPr/>
      </w:pPr>
      <w:r>
        <w:rPr>
          <w:rFonts w:ascii="Arial;sans-serif" w:hAnsi="Arial;sans-serif"/>
          <w:b w:val="false"/>
          <w:color w:val="000000"/>
          <w:sz w:val="18"/>
        </w:rPr>
        <w:t xml:space="preserve">7. </w:t>
      </w:r>
      <w:r>
        <w:rPr>
          <w:rFonts w:ascii="Arial;sans-serif" w:hAnsi="Arial;sans-serif"/>
          <w:b w:val="false"/>
          <w:color w:val="000000"/>
          <w:sz w:val="18"/>
          <w:u w:val="single"/>
        </w:rPr>
        <w:t>General Release and Waiver of Claims</w:t>
      </w:r>
      <w:r>
        <w:rPr>
          <w:rFonts w:ascii="Arial;sans-serif" w:hAnsi="Arial;sans-serif"/>
          <w:b w:val="false"/>
          <w:color w:val="000000"/>
          <w:sz w:val="18"/>
        </w:rPr>
        <w:t>:</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a. The payments and promises set forth in this Agreement are in full satisfaction of all accrued</w: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 xml:space="preserve">salary, vacation pay, bonus and commission pay, profit-sharing, stock, stock options, restricted stock units or other ownership interest in the Company, termination benefits or other compensation to which you may be entitled by virtue of your employment with the Company or your separation from the Company. To the fullest extent permitted by law, you hereby release and waive any other claims you may have against the Company and its owners, agents, officers, shareholders, employees, directors, attorneys, subscribers, subsidiaries, affiliates, successors and assigns (collectively “Releasees”), whether known or not known, including, without limitation, claims under any employment laws, including, but not limited to, claims of unlawful discharge, breach of contract, breach of the covenant of good faith and fair dealing, fraud,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3"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violation of public policy, defamation, physical injury, emotional distress, claims for additional compensation or benefits arising out of your employment or your separation of employment, claims under Title VII of the 1964 Civil Rights Act, as amended, the New York Human Rights Law and any other applicable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w:t>
      </w:r>
    </w:p>
    <w:p>
      <w:pPr>
        <w:pStyle w:val="TextBody"/>
        <w:bidi w:val="0"/>
        <w:spacing w:lineRule="auto" w:line="288" w:before="0" w:after="0"/>
        <w:ind w:left="0" w:right="0" w:hanging="10"/>
        <w:jc w:val="both"/>
        <w:rPr>
          <w:rFonts w:ascii="Arial;sans-serif" w:hAnsi="Arial;sans-serif"/>
          <w:b w:val="false"/>
          <w:color w:val="000000"/>
          <w:sz w:val="18"/>
        </w:rPr>
      </w:pPr>
      <w:r>
        <w:rPr>
          <w:rFonts w:ascii="Arial;sans-serif" w:hAnsi="Arial;sans-serif"/>
          <w:b w:val="false"/>
          <w:color w:val="000000"/>
          <w:sz w:val="18"/>
        </w:rPr>
        <w:t>b. You hereby acknowledge that you are aware of the principle that a general release does not</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extend to claims that the releasor does not know or suspect to exist in his or her favor at the time of executing the release, which, if known by him or her, must have materially affected his or her settlement with the releasee. With knowledge of this principle, you hereby agree to expressly waive any rights you may have to that effect.</w:t>
      </w:r>
    </w:p>
    <w:p>
      <w:pPr>
        <w:pStyle w:val="TextBody"/>
        <w:bidi w:val="0"/>
        <w:spacing w:lineRule="auto" w:line="288" w:before="0" w:after="0"/>
        <w:ind w:left="0" w:right="0" w:hanging="10"/>
        <w:jc w:val="both"/>
        <w:rPr>
          <w:rFonts w:ascii="Arial;sans-serif" w:hAnsi="Arial;sans-serif"/>
          <w:b w:val="false"/>
          <w:color w:val="000000"/>
          <w:sz w:val="18"/>
        </w:rPr>
      </w:pPr>
      <w:r>
        <w:rPr>
          <w:rFonts w:ascii="Arial;sans-serif" w:hAnsi="Arial;sans-serif"/>
          <w:b w:val="false"/>
          <w:color w:val="000000"/>
          <w:sz w:val="18"/>
        </w:rPr>
        <w:t>c. You and the Company do not intend to release claims that you may not release as a matter of</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law, including but not limited to claims for indemnity, and any claims for enforcement of this Agreement. To the fullest extent permitted by law, any dispute regarding the scope of this general release shall be determined by an arbitrator under the procedures set forth in the arbitration clause below.</w:t>
      </w:r>
    </w:p>
    <w:p>
      <w:pPr>
        <w:pStyle w:val="TextBody"/>
        <w:bidi w:val="0"/>
        <w:spacing w:lineRule="auto" w:line="288" w:before="0" w:after="240"/>
        <w:ind w:left="0" w:right="0" w:hanging="10"/>
        <w:jc w:val="left"/>
        <w:rPr/>
      </w:pPr>
      <w:r>
        <w:rPr>
          <w:rFonts w:ascii="Arial;sans-serif" w:hAnsi="Arial;sans-serif"/>
          <w:b w:val="false"/>
          <w:color w:val="000000"/>
          <w:sz w:val="18"/>
        </w:rPr>
        <w:t xml:space="preserve">8. </w:t>
      </w:r>
      <w:r>
        <w:rPr>
          <w:rFonts w:ascii="Arial;sans-serif" w:hAnsi="Arial;sans-serif"/>
          <w:b w:val="false"/>
          <w:color w:val="000000"/>
          <w:sz w:val="18"/>
          <w:u w:val="single"/>
        </w:rPr>
        <w:t>Covenant Not to Sue</w:t>
      </w:r>
      <w:r>
        <w:rPr>
          <w:rFonts w:ascii="Arial;sans-serif" w:hAnsi="Arial;sans-serif"/>
          <w:b w:val="false"/>
          <w:color w:val="000000"/>
          <w:sz w:val="18"/>
        </w:rPr>
        <w:t>:</w:t>
      </w:r>
    </w:p>
    <w:p>
      <w:pPr>
        <w:pStyle w:val="TextBody"/>
        <w:bidi w:val="0"/>
        <w:spacing w:lineRule="auto" w:line="288" w:before="0" w:after="0"/>
        <w:ind w:left="0" w:right="0" w:hanging="10"/>
        <w:jc w:val="both"/>
        <w:rPr>
          <w:rFonts w:ascii="Arial;sans-serif" w:hAnsi="Arial;sans-serif"/>
          <w:b w:val="false"/>
          <w:color w:val="000000"/>
          <w:sz w:val="18"/>
        </w:rPr>
      </w:pPr>
      <w:r>
        <w:rPr>
          <w:rFonts w:ascii="Arial;sans-serif" w:hAnsi="Arial;sans-serif"/>
          <w:b w:val="false"/>
          <w:color w:val="000000"/>
          <w:sz w:val="18"/>
        </w:rPr>
        <w:t>a. To the fullest extent permitted by law, at no time subsequent to the execution of this Agreement</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will you pursue, or cause or knowingly permit the prosecution, in any state, federal or foreign court, or before any local, state, federal or foreign administrative agency, or any other tribunal, any charge, claim or action of any kind, nature and character whatsoever, known or unknown, which you may now have, have ever had, or may in the future have against Releasees, which is based in whole or in part on any matter covered by this Agreement.</w:t>
      </w:r>
    </w:p>
    <w:p>
      <w:pPr>
        <w:pStyle w:val="TextBody"/>
        <w:bidi w:val="0"/>
        <w:spacing w:lineRule="auto" w:line="288" w:before="0" w:after="0"/>
        <w:ind w:left="0" w:right="0" w:hanging="10"/>
        <w:jc w:val="both"/>
        <w:rPr>
          <w:rFonts w:ascii="Arial;sans-serif" w:hAnsi="Arial;sans-serif"/>
          <w:b w:val="false"/>
          <w:color w:val="000000"/>
          <w:sz w:val="18"/>
        </w:rPr>
      </w:pPr>
      <w:r>
        <w:rPr>
          <w:rFonts w:ascii="Arial;sans-serif" w:hAnsi="Arial;sans-serif"/>
          <w:b w:val="false"/>
          <w:color w:val="000000"/>
          <w:sz w:val="18"/>
        </w:rPr>
        <w:t>b. Nothing in this section shall prohibit you from filing a charge or complaint with a government</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agency where, as a matter of law, the parties may not restrict your ability to file such administrative complaints. However, you understand and agree that, by entering into this Agreement, you are releasing any and all individual claims for relief, and that any and all subsequent disputes between you and the Company shall be resolved through arbitration as provided below.</w:t>
      </w:r>
    </w:p>
    <w:p>
      <w:pPr>
        <w:pStyle w:val="TextBody"/>
        <w:bidi w:val="0"/>
        <w:spacing w:lineRule="auto" w:line="288" w:before="0" w:after="0"/>
        <w:ind w:left="0" w:right="0" w:hanging="10"/>
        <w:jc w:val="both"/>
        <w:rPr>
          <w:rFonts w:ascii="Arial;sans-serif" w:hAnsi="Arial;sans-serif"/>
          <w:b w:val="false"/>
          <w:color w:val="000000"/>
          <w:sz w:val="18"/>
        </w:rPr>
      </w:pPr>
      <w:r>
        <w:rPr>
          <w:rFonts w:ascii="Arial;sans-serif" w:hAnsi="Arial;sans-serif"/>
          <w:b w:val="false"/>
          <w:color w:val="000000"/>
          <w:sz w:val="18"/>
        </w:rPr>
        <w:t>c. Nothing in this section shall prohibit or impair you or the Company from complying with all</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applicable laws, nor shall this Agreement be construed to obligate either party to commit (or aid or abet in the commission of) any unlawful act.</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9. </w:t>
      </w:r>
      <w:r>
        <w:rPr>
          <w:rFonts w:ascii="Arial;sans-serif" w:hAnsi="Arial;sans-serif"/>
          <w:b w:val="false"/>
          <w:color w:val="000000"/>
          <w:sz w:val="18"/>
          <w:u w:val="single"/>
        </w:rPr>
        <w:t>Nondisparagement</w:t>
      </w:r>
      <w:r>
        <w:rPr>
          <w:rFonts w:ascii="Arial;sans-serif" w:hAnsi="Arial;sans-serif"/>
          <w:b w:val="false"/>
          <w:color w:val="000000"/>
          <w:sz w:val="18"/>
        </w:rPr>
        <w:t>: You agree that you will not disparage Releasees or their products, services, agents, representatives, directors, officers, shareholders, attorneys, employees, vendors, affiliates, successors or assigns, or any person acting by, through, under or in concert with any of them, with any written or oral statement. Nothing in this paragraph shall prohibit you from providing truthful information in response to a subpoena or other legal process.</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10. </w:t>
      </w:r>
      <w:r>
        <w:rPr>
          <w:rFonts w:ascii="Arial;sans-serif" w:hAnsi="Arial;sans-serif"/>
          <w:b w:val="false"/>
          <w:color w:val="000000"/>
          <w:sz w:val="18"/>
          <w:u w:val="single"/>
        </w:rPr>
        <w:t xml:space="preserve">Arbitration: </w:t>
      </w:r>
      <w:r>
        <w:rPr>
          <w:rFonts w:ascii="Arial;sans-serif" w:hAnsi="Arial;sans-serif"/>
          <w:b w:val="false"/>
          <w:color w:val="000000"/>
          <w:sz w:val="18"/>
        </w:rPr>
        <w:t>Except for any claim for injunctive relief out of a breach of a party’s obligations to protect the other’s proprietary information, the parties agree to arbitrate, in County, New York, any and all disputes or claims arising out of or related to the validity, enforceability, interpretation, performance or breach of this Agreement, whether sounding in tort,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11. </w:t>
      </w:r>
      <w:r>
        <w:rPr>
          <w:rFonts w:ascii="Arial;sans-serif" w:hAnsi="Arial;sans-serif"/>
          <w:b w:val="false"/>
          <w:color w:val="000000"/>
          <w:sz w:val="18"/>
          <w:u w:val="single"/>
        </w:rPr>
        <w:t>Attorneys’ Fees</w:t>
      </w:r>
      <w:r>
        <w:rPr>
          <w:rFonts w:ascii="Arial;sans-serif" w:hAnsi="Arial;sans-serif"/>
          <w:b w:val="false"/>
          <w:color w:val="000000"/>
          <w:sz w:val="18"/>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12. </w:t>
      </w:r>
      <w:r>
        <w:rPr>
          <w:rFonts w:ascii="Arial;sans-serif" w:hAnsi="Arial;sans-serif"/>
          <w:b w:val="false"/>
          <w:color w:val="000000"/>
          <w:sz w:val="18"/>
          <w:u w:val="single"/>
        </w:rPr>
        <w:t>Confidentiality</w:t>
      </w:r>
      <w:r>
        <w:rPr>
          <w:rFonts w:ascii="Arial;sans-serif" w:hAnsi="Arial;sans-serif"/>
          <w:b w:val="false"/>
          <w:color w:val="000000"/>
          <w:sz w:val="18"/>
        </w:rPr>
        <w:t>: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4"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240"/>
        <w:ind w:left="0" w:right="0" w:firstLine="720"/>
        <w:jc w:val="left"/>
        <w:rPr/>
      </w:pPr>
      <w:r>
        <w:rPr>
          <w:rFonts w:ascii="Arial;sans-serif" w:hAnsi="Arial;sans-serif"/>
          <w:b w:val="false"/>
          <w:color w:val="000000"/>
          <w:sz w:val="18"/>
        </w:rPr>
        <w:t xml:space="preserve">13. </w:t>
      </w:r>
      <w:r>
        <w:rPr>
          <w:rFonts w:ascii="Arial;sans-serif" w:hAnsi="Arial;sans-serif"/>
          <w:b w:val="false"/>
          <w:color w:val="000000"/>
          <w:sz w:val="18"/>
          <w:u w:val="single"/>
        </w:rPr>
        <w:t>No Admission of Liability</w:t>
      </w:r>
      <w:r>
        <w:rPr>
          <w:rFonts w:ascii="Arial;sans-serif" w:hAnsi="Arial;sans-serif"/>
          <w:b w:val="false"/>
          <w:color w:val="000000"/>
          <w:sz w:val="18"/>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the Federal Rules of Evidence 408 and/or any other state or federal provisions of similar effect.</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14. </w:t>
      </w:r>
      <w:r>
        <w:rPr>
          <w:rFonts w:ascii="Arial;sans-serif" w:hAnsi="Arial;sans-serif"/>
          <w:b w:val="false"/>
          <w:color w:val="000000"/>
          <w:sz w:val="18"/>
          <w:u w:val="single"/>
        </w:rPr>
        <w:t>Complete and Voluntary Agreement</w:t>
      </w:r>
      <w:r>
        <w:rPr>
          <w:rFonts w:ascii="Arial;sans-serif" w:hAnsi="Arial;sans-serif"/>
          <w:b w:val="false"/>
          <w:color w:val="000000"/>
          <w:sz w:val="18"/>
        </w:rPr>
        <w:t>: This Agreement, together with Exhibit A hereto, any Stock Option Agreements and any RSU Agreements, constitute the entire agreement between you and Releasees with respect to the subject matter hereof and supersedes all prior negotiations and agreements, whether written or oral, relating to such subject matter.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15. </w:t>
      </w:r>
      <w:r>
        <w:rPr>
          <w:rFonts w:ascii="Arial;sans-serif" w:hAnsi="Arial;sans-serif"/>
          <w:b w:val="false"/>
          <w:color w:val="000000"/>
          <w:sz w:val="18"/>
          <w:u w:val="single"/>
        </w:rPr>
        <w:t>Severability</w:t>
      </w:r>
      <w:r>
        <w:rPr>
          <w:rFonts w:ascii="Arial;sans-serif" w:hAnsi="Arial;sans-serif"/>
          <w:b w:val="false"/>
          <w:color w:val="000000"/>
          <w:sz w:val="18"/>
        </w:rPr>
        <w:t>: The provisions of this Agreement are severable, and if any part of it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16. </w:t>
      </w:r>
      <w:r>
        <w:rPr>
          <w:rFonts w:ascii="Arial;sans-serif" w:hAnsi="Arial;sans-serif"/>
          <w:b w:val="false"/>
          <w:color w:val="000000"/>
          <w:sz w:val="18"/>
          <w:u w:val="single"/>
        </w:rPr>
        <w:t>Modification; Counterparts; Facsimile/PDF Signatures</w:t>
      </w:r>
      <w:r>
        <w:rPr>
          <w:rFonts w:ascii="Arial;sans-serif" w:hAnsi="Arial;sans-serif"/>
          <w:b w:val="false"/>
          <w:color w:val="000000"/>
          <w:sz w:val="18"/>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equally admissible in any legal proceeding as if an original.</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17. </w:t>
      </w:r>
      <w:r>
        <w:rPr>
          <w:rFonts w:ascii="Arial;sans-serif" w:hAnsi="Arial;sans-serif"/>
          <w:b w:val="false"/>
          <w:color w:val="000000"/>
          <w:sz w:val="18"/>
          <w:u w:val="single"/>
        </w:rPr>
        <w:t>Review of Separation Agreement</w:t>
      </w:r>
      <w:r>
        <w:rPr>
          <w:rFonts w:ascii="Arial;sans-serif" w:hAnsi="Arial;sans-serif"/>
          <w:b w:val="false"/>
          <w:color w:val="000000"/>
          <w:sz w:val="18"/>
        </w:rPr>
        <w:t>: You understand that you may take up to twenty-one (21) days to consider this Agreement and, by signing below, affirm that you were advised to consult with an attorney prior to signing this agreement. You also understand you may revoke this Agreement within seven (7) days of signing this document and that the compensation to be paid to you pursuant to Paragraph 3 will be paid only at the end of that seven (7) day revocation period.</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18. </w:t>
      </w:r>
      <w:r>
        <w:rPr>
          <w:rFonts w:ascii="Arial;sans-serif" w:hAnsi="Arial;sans-serif"/>
          <w:b w:val="false"/>
          <w:color w:val="000000"/>
          <w:sz w:val="18"/>
          <w:u w:val="single"/>
        </w:rPr>
        <w:t>Effective Date</w:t>
      </w:r>
      <w:r>
        <w:rPr>
          <w:rFonts w:ascii="Arial;sans-serif" w:hAnsi="Arial;sans-serif"/>
          <w:b w:val="false"/>
          <w:color w:val="000000"/>
          <w:sz w:val="18"/>
        </w:rPr>
        <w:t>: This Agreement is effective on the eighth (8th) day after you sign it and without revocation by you.</w:t>
      </w:r>
    </w:p>
    <w:p>
      <w:pPr>
        <w:pStyle w:val="TextBody"/>
        <w:bidi w:val="0"/>
        <w:spacing w:lineRule="auto" w:line="288" w:before="0" w:after="240"/>
        <w:ind w:left="0" w:right="0" w:firstLine="720"/>
        <w:jc w:val="both"/>
        <w:rPr/>
      </w:pPr>
      <w:r>
        <w:rPr>
          <w:rFonts w:ascii="Arial;sans-serif" w:hAnsi="Arial;sans-serif"/>
          <w:b w:val="false"/>
          <w:color w:val="000000"/>
          <w:sz w:val="18"/>
        </w:rPr>
        <w:t xml:space="preserve">19. </w:t>
      </w:r>
      <w:r>
        <w:rPr>
          <w:rFonts w:ascii="Arial;sans-serif" w:hAnsi="Arial;sans-serif"/>
          <w:b w:val="false"/>
          <w:color w:val="000000"/>
          <w:sz w:val="18"/>
          <w:u w:val="single"/>
        </w:rPr>
        <w:t>Governing Law</w:t>
      </w:r>
      <w:r>
        <w:rPr>
          <w:rFonts w:ascii="Arial;sans-serif" w:hAnsi="Arial;sans-serif"/>
          <w:b w:val="false"/>
          <w:color w:val="000000"/>
          <w:sz w:val="18"/>
        </w:rPr>
        <w:t>: This Agreement shall be governed by and construed in accordance with the laws of the State of New York.</w:t>
      </w:r>
    </w:p>
    <w:p>
      <w:pPr>
        <w:pStyle w:val="TextBody"/>
        <w:bidi w:val="0"/>
        <w:spacing w:lineRule="auto" w:line="288" w:before="0" w:after="240"/>
        <w:ind w:left="0" w:right="0" w:firstLine="720"/>
        <w:jc w:val="both"/>
        <w:rPr>
          <w:rFonts w:ascii="Arial;sans-serif" w:hAnsi="Arial;sans-serif"/>
          <w:b w:val="false"/>
          <w:color w:val="000000"/>
          <w:sz w:val="18"/>
        </w:rPr>
      </w:pPr>
      <w:r>
        <w:rPr>
          <w:rFonts w:ascii="Arial;sans-serif" w:hAnsi="Arial;sans-serif"/>
          <w:b w:val="false"/>
          <w:color w:val="000000"/>
          <w:sz w:val="18"/>
        </w:rPr>
        <w:t>If you agree to abide by the terms outlined in this letter, please sign this letter below and also sign the attached copy and return it to me. I wish you the best in your future endeavors.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 xml:space="preserve">Sincerely, </w:t>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MongoDB, Inc.</w:t>
      </w:r>
    </w:p>
    <w:p>
      <w:pPr>
        <w:pStyle w:val="TextBody"/>
        <w:bidi w:val="0"/>
        <w:spacing w:lineRule="auto" w:line="288" w:before="0" w:after="0"/>
        <w:jc w:val="left"/>
        <w:rPr/>
      </w:pPr>
      <w:r>
        <w:rPr>
          <w:rFonts w:ascii="Arial;sans-serif" w:hAnsi="Arial;sans-serif"/>
          <w:b w:val="false"/>
          <w:color w:val="000000"/>
          <w:sz w:val="18"/>
        </w:rPr>
        <w:t xml:space="preserve">By: </w:t>
      </w:r>
      <w:r>
        <w:rPr>
          <w:rFonts w:ascii="Arial;sans-serif" w:hAnsi="Arial;sans-serif"/>
          <w:b w:val="false"/>
          <w:color w:val="000000"/>
          <w:sz w:val="18"/>
          <w:u w:val="single"/>
        </w:rPr>
        <w:t>/s/ Harsha Jalihal</w:t>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Harsha Jalihal</w:t>
      </w:r>
    </w:p>
    <w:p>
      <w:pPr>
        <w:pStyle w:val="TextBody"/>
        <w:bidi w:val="0"/>
        <w:spacing w:before="0" w:after="240"/>
        <w:ind w:left="0" w:right="0" w:hanging="10"/>
        <w:jc w:val="both"/>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READ, UNDERSTOOD AND AGREED</w:t>
      </w:r>
    </w:p>
    <w:p>
      <w:pPr>
        <w:pStyle w:val="TextBody"/>
        <w:bidi w:val="0"/>
        <w:spacing w:lineRule="auto" w:line="288" w:before="0" w:after="240"/>
        <w:jc w:val="left"/>
        <w:rPr/>
      </w:pPr>
      <w:r>
        <w:rPr>
          <w:rFonts w:ascii="Arial;sans-serif" w:hAnsi="Arial;sans-serif"/>
          <w:b w:val="false"/>
          <w:color w:val="000000"/>
          <w:sz w:val="18"/>
        </w:rPr>
        <w:t xml:space="preserve">Mark Porter: </w:t>
      </w:r>
      <w:r>
        <w:rPr>
          <w:rFonts w:ascii="Arial;sans-serif" w:hAnsi="Arial;sans-serif"/>
          <w:b w:val="false"/>
          <w:color w:val="000000"/>
          <w:sz w:val="18"/>
          <w:u w:val="single"/>
        </w:rPr>
        <w:t>/s/ Mark Porter</w:t>
      </w:r>
      <w:r>
        <w:rPr>
          <w:color w:val="000000"/>
          <w:u w:val="single"/>
        </w:rPr>
        <w:t xml:space="preserve"> </w:t>
      </w:r>
      <w:r>
        <w:rPr>
          <w:color w:val="000000"/>
        </w:rPr>
        <w:t>                </w:t>
      </w:r>
      <w:r>
        <w:rPr>
          <w:rFonts w:ascii="Arial;sans-serif" w:hAnsi="Arial;sans-serif"/>
          <w:b w:val="false"/>
          <w:color w:val="000000"/>
          <w:sz w:val="18"/>
        </w:rPr>
        <w:t xml:space="preserve">Date: </w:t>
      </w:r>
      <w:r>
        <w:rPr>
          <w:rFonts w:ascii="Arial;sans-serif" w:hAnsi="Arial;sans-serif"/>
          <w:b w:val="false"/>
          <w:color w:val="000000"/>
          <w:sz w:val="18"/>
          <w:u w:val="single"/>
        </w:rPr>
        <w:t>June 30, 2023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5"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before="0" w:after="240"/>
        <w:jc w:val="left"/>
        <w:rPr/>
      </w:pPr>
      <w:r>
        <w:rPr/>
        <w:drawing>
          <wp:inline distT="0" distB="0" distL="0" distR="0">
            <wp:extent cx="1733550" cy="438150"/>
            <wp:effectExtent l="0" t="0" r="0" b="0"/>
            <wp:docPr id="7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 descr=""/>
                    <pic:cNvPicPr>
                      <a:picLocks noChangeAspect="1" noChangeArrowheads="1"/>
                    </pic:cNvPicPr>
                  </pic:nvPicPr>
                  <pic:blipFill>
                    <a:blip r:embed="rId6"/>
                    <a:stretch>
                      <a:fillRect/>
                    </a:stretch>
                  </pic:blipFill>
                  <pic:spPr bwMode="auto">
                    <a:xfrm>
                      <a:off x="0" y="0"/>
                      <a:ext cx="1733550" cy="438150"/>
                    </a:xfrm>
                    <a:prstGeom prst="rect">
                      <a:avLst/>
                    </a:prstGeom>
                  </pic:spPr>
                </pic:pic>
              </a:graphicData>
            </a:graphic>
          </wp:inline>
        </w:drawing>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December 21, 2021</w:t>
      </w:r>
    </w:p>
    <w:p>
      <w:pPr>
        <w:pStyle w:val="TextBody"/>
        <w:bidi w:val="0"/>
        <w:spacing w:lineRule="auto" w:line="288" w:before="0" w:after="0"/>
        <w:ind w:left="0" w:right="0" w:hanging="14"/>
        <w:jc w:val="both"/>
        <w:rPr>
          <w:rFonts w:ascii="Arial;sans-serif" w:hAnsi="Arial;sans-serif"/>
          <w:b w:val="false"/>
          <w:color w:val="000000"/>
          <w:sz w:val="18"/>
        </w:rPr>
      </w:pPr>
      <w:r>
        <w:rPr>
          <w:rFonts w:ascii="Arial;sans-serif" w:hAnsi="Arial;sans-serif"/>
          <w:b w:val="false"/>
          <w:color w:val="000000"/>
          <w:sz w:val="18"/>
        </w:rPr>
        <w:t xml:space="preserve">Mark Porter </w:t>
      </w:r>
    </w:p>
    <w:p>
      <w:pPr>
        <w:pStyle w:val="TextBody"/>
        <w:bidi w:val="0"/>
        <w:spacing w:lineRule="auto" w:line="288" w:before="0" w:after="240"/>
        <w:ind w:left="0" w:right="0" w:hanging="14"/>
        <w:jc w:val="both"/>
        <w:rPr>
          <w:rFonts w:ascii="Arial;sans-serif" w:hAnsi="Arial;sans-serif"/>
          <w:b w:val="false"/>
          <w:color w:val="000000"/>
          <w:sz w:val="18"/>
        </w:rPr>
      </w:pPr>
      <w:r>
        <w:rPr>
          <w:rFonts w:ascii="Arial;sans-serif" w:hAnsi="Arial;sans-serif"/>
          <w:b w:val="false"/>
          <w:color w:val="000000"/>
          <w:sz w:val="18"/>
        </w:rPr>
        <w:t>[via email]</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Dear Mark,</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As you know, you are currently employed by MongoDB, Inc. (the “Company”) as its Chief Technology Officer pursuant to the terms of an offer letter from the Company dated June 27, 2020 (the “Offer Letter”). As discussed, you and the Company hereby agree to amend and restate the Offer Letter to memorialize the terms and conditions of your employment as an executive of the Company. The terms and conditions set forth in this offer letter agreement (the “Agreement”) will become effective as of the date hereof and will supersede and replace the terms and conditions set forth in the Offer Letter. You will continue to be based in Washington State, reporting to the Chief Executive Officer.</w: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Base Salary</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You will remain employed as a full-time salaried employee, compensated at the rate of $13,541 per semi-monthly pay period ($325,000 annually). Currently, the Company’s regular pay dates are the 15th and last day of each calendar month. If a pay date falls on a weekend or Federal/bank holiday, then the pay date will be on the previous business day. Said salary will be paid in accordance with the Company’s normal payroll practices as may exist from time to time and is subject to required and voluntary withholdings.</w: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Bonus</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In addition to your base salary, during your employment as Chief Technology Officer, you will continue to be eligible for an annual bonus with a target of $211,250 (or 65% of base salary) per annum paid semi-annually, and which will be based on achievement of Company performance goals to be determined by the Company in its sole discretion. Bonus is subject to required and voluntary withholdings and paid according to Company payroll practices. You must be employed on the bonus payment date to be eligible for the bonus payment, except as otherwise provided below.</w: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Equity</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You have previously been granted certain restricted stock units which will continue to be governed by the terms of the applicable equity incentive plan and award agreements. Eligibility for any future equity awards will be subject to the discretion of the Compensation Committee of the Board of Directors of the Company (the “Board”).</w: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Benefits</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As a regular full-time employee, you will continue to be eligible to participate in Company-sponsored medical, dental, vision, life insurance, short and long-term disability plans. The Company may discontinue or modify any such plans, programs or practices at any time, with or without notice.</w: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Arbitration</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You and the Company have previously executed the Company’s standard arbitration agreement that is contained in your Employee Invention Assignment, Confidentiality and Arbitration Agreement (the “Arbitration Agreement”), which agreement remains in full force and effect. You acknowledge and agree to all of the Company’s policies in effect during your employment with Company, including, but not limited to, the policies found in the MongoDB Employee Handbook and the Arbitration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At Will Employment</w:t>
      </w:r>
    </w:p>
    <w:p>
      <w:pPr>
        <w:pStyle w:val="TextBody"/>
        <w:bidi w:val="0"/>
        <w:spacing w:lineRule="auto" w:line="288" w:before="0" w:after="240"/>
        <w:ind w:left="0" w:right="0" w:hanging="10"/>
        <w:jc w:val="left"/>
        <w:rPr>
          <w:rFonts w:ascii="Arial;sans-serif" w:hAnsi="Arial;sans-serif"/>
          <w:b w:val="false"/>
          <w:color w:val="000000"/>
          <w:sz w:val="18"/>
        </w:rPr>
      </w:pPr>
      <w:r>
        <w:rPr>
          <w:rFonts w:ascii="Arial;sans-serif" w:hAnsi="Arial;sans-serif"/>
          <w:b w:val="false"/>
          <w:color w:val="000000"/>
          <w:sz w:val="18"/>
        </w:rPr>
        <w:t>Your employment relationship with the Company is “at-will.” That means you are free, at any time, for any reason, to end your employment with the Company and that the Company may do the same. Our agreement regarding employment-at-will may not be changed, except specifically in writing signed by the Chief Executive Officer and you.</w: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Termination</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Except as provided below, if you resign or the Company terminates your employment, or upon your death or disability, then (i) you will no longer vest in any equity awards, (ii) all payments of compensation by the Company to you hereunder will terminate immediately (except as to amounts already earned), and (iii) you will not be entitled to any severance benefits. In addition, you will resign from all positions and terminate any relationships as an employee, advisor, officer or director with the Company and any of its affiliates, each effective on the date of termination.</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In the event your employment with the Company is terminated by the Company without Cause (and other than as result of death or disability) or due to your resignation for Good Reason (collectively, an “Involuntary Termination”), then provided such Involuntary Termination constitutes a “separation from service” (as defined under Treasury Regulation Section 1.409A-1(h), without regard to any alternative definition thereunder, a “Separation from Service”), and provided that you remain in compliance with the terms of this Agreement, the Company will provide you with the following severance benefits (collectively, the “Severance Benefits”): (a) an amount equal to six (6) months of your then-current base salary to be paid in equal installments on the Company’s normal payroll schedule over the six (6) month period immediately following the date of Separation from Service; and (b) provided that you timely elect continued coverage under COBRA, the Company will pay your COBRA premiums to continue your coverage (including coverage for eligible dependents, if applicable) (“COBRA Premiums”) through the period (the “COBRA Premium Period”) starting on your Separation from Service date and ending on the earliest to occur of: (i) six (6) months following your Separation from Service; (ii) the date 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notify the Company of such event. Notwithstanding the foregoing, if the Company determines, in its sole discretion, that it cannot pay the COBRA</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Premiums without a substantial risk of violating applicable law (including, without limitation, Section 2716 of the Public Health Service Act), the Company will in lieu thereof provide to you a taxable monthly payment in an amount equal to the monthly COBRA premium that you would be required to pay to continue your group health coverage in effect on the date of your employment termination (which amount will be based on the premium for the first month of COBRA coverage), which payments will be made on the last day of each month regardless of whether you elect COBRA continuation coverage and will end on the earlier of (x) the date upon which you obtain other employment or (y) the last day of the 6th calendar month following your Separation from Service date.</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 xml:space="preserve">If your Involuntary Termination occurs either in connection with a Change in Control (as defined in the Company’s 2016 Equity Incentive Plan), or within three (3) months prior to or within twelve (12) months following the closing of a Change in Control, and such termination qualifies as a Separation from Service, and provided that you remain in compliance with the terms of this Agreement, then you will be entitled to the Severance Benefits provided for above, and the following additional benefits: (a) an amount equal to six (6) months of your then-current “cash-eligible” annual target bonus to be paid in equal installments on the Company’s normal payroll schedule over the six (6) month period immediately following the date of Separation from Service, which, for the avoidance of doubt, shall be in addition to payment of (i) any earned but unpaid annual bonus for the fiscal year preceding the fiscal year in which such Separation from Service occurs based on actual performance, as determined by the Compensation Committee and (ii) an annual bonus for the fiscal year in which the Separation from Service occurs, prorated to your date of Separation from Service and determined based on the greater of target performance or actual performance as of your date of Separation from Service, as determined by the Compensation Committee; (b) 100% of all of your then-outstanding time-based unvested Company equity awards will accelerate and will be deemed vested and exercisable (if applicable) as of your date of Separation from Service; and (c) 100% of all of your then-outstanding performance-based unvested Company equity awards will accelerate and will be deemed vested and exercisable (if applicable) based on the greater of your target performance rate or actual performance as of your date of Separation from Service (collectively, the “Change in Control Severance Benefits”), including any performance-based unvested awards granted pursuant to the Company’s Senior Leadership Equity Bonus Program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(or similar annual bonus program that may be adopted in the future) (an “Equity Bonus Program”). For the avoidance of doubt, if you have elected to receive your annual bonus in equity in lieu of cash pursuant to an Equity Bonus Program, and have received an equity grant as a result of this election, your annual bonus for the performance period for which you made the election will no longer be considered “cash-eligible” for purposes of subsection (a) of this paragraph; provided however, that for any period for which you have elected to receive your annual bonus in equity in lieu of cash pursuant to an Equity Bonus Program, and for which the Company has not yet granted an equity award to you as of the date of Separation of Service, then such election shall be void, and your annual bonus for such period shall be “cash-eligible” in accordance with subsection (a) of this paragraph.</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The receipt of the Severance Benefits or the Change in Control Severance Benefits, as applicable, provided above will be subject to you signing and not revoking a separation agreement and release of claims in a form similar to that attached hereto as Exhibit A (as amended to reflect the reason for the separation and any changes to the law) (the “Separation Agreement”) within the time period set forth therein, which will not exceed 50 days from the date of your Separation from Service (the “Release Period”). No Severance Benefits or Change in Control Severance Benefits, as applicable, will be paid or provided until the Separation Agreement becomes effective. If the Release Period described in the preceding sentence spans two calendar years, then payment of the Severance Benefits or the Change in Control Severance Benefits, as applicable, will in any event commence in the second calendar year. You will also resign from all positions and terminate any relationships as an employee, advisor, officer or director with the Company and any of its affiliates, each effective on the date of termination.</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For purposes of this Agreement, “Cause” will mean termination based upon (i) your willful failure to follow lawful directions communicated to you by the Chief Executive Officer or otherwise to perform your duties to the Company; (ii) the willful or intentional engaging by you in conduct which is injurious to the Company or its reputation, business or business relationships, monetarily or otherwise; (iii) your commission of an act of fraud, misappropriation or embezzlement with respect to the Company or the Company’s business; (iv) your conviction of, or a plea of guilty or nolo contendere to, a felony or a crime of moral turpitude (meaning an extreme departure from ordinary standards of honesty, good morals, justice or ethics as to be shocking in the moral sense of community); (v) your habitual drunkenness or use of illegal substances; (vi) a material breach by you of your obligations under this Agreement, including (without limitation) your obligations specified in your Employee Invention Assignment Agreement, Confidentiality and Arbitration Agreement that is not cured (to the extent curable) within 15 days of the Company providing written notice of such material breach; or (vii) your commission of an act of gross neglect or gross misconduct in connection with the performance of your duties.</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For purposes of this Agreement, “Good Reason” means the occurrence of one of the following events without your written consent: (i) a material diminution by the Company in your title or the nature or scope of your responsibilities, duties or authority with the Company, (ii) a material reduction of your base salary, (iii) a relocation of your principal place of employment that increases your one-way commute by more than 50 miles as compared to your then-current principal place of employment prior to such relocation (it being understood that you are expected to spend material amounts of time in the Company’s other offices as part of your duties hereunder), or (iv) failure by the Company to ensure that a successor entity assumes this Agreement; provided, however, that to resign for Good Reason, you must (1) provide written notice to the Company’s General Counsel within 30 days after the first occurrence of the event giving rise to Good Reason setting forth the basis for your resignation, (2) allow the Company at least 30 days from receipt of such written notice to cure such event, and (3) if such event is not reasonably cured with such period, your resignation from all positions you then hold with the Company is effective not later than 60 days after the expiration of the cure period.</w: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Section 280G</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 xml:space="preserve">If any payment or benefit (including payments and benefits pursuant to this Agreement) that you would receive from the Company or otherwise in connection with a Change in Control (the “Transaction Payment”) would (i) constitute a “parachute payment” within the meaning of Section 280G of the Internal Revenue Code of 1986, as amended (the “Code”) and (ii) but for this sentence, be subject to the excise tax imposed by Section 4999 of the Code (the “Excise Tax”), then the Company will cause to be determined, before any amounts of the Transaction Payment are paid to you, which of the following two alternative forms of payment would result in your receipt, on an after-tax basis, of the greater amount of the Transaction Payment notwithstanding that all or some portion of the Transaction Payment may be subject to the Excise Tax: (1) payment in full of the entire amount of the Transaction Payment (a “Full Payment”), or (2) payment of only a part of the Transaction Payment so that you receive the largest payment possible without the imposition of the Excise Tax (a “Reduced Payment”). For purposes of determining whether to make a Full Payment or a Reduced Payment, the Company will cause to be taken into account all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federal, state and local income and employment taxes and the Excise Tax (all computed at the highest applicable marginal rate, net of the maximum reduction in federal income taxes which could be obtained from a deduction of such state and local taxes). If a Reduced Payment is made, (x) you will have no rights to any additional payments and/or benefits constituting the Transaction Payment, and (y) reduction in payments and/or benefits will occur in the manner that results in the greatest economic benefit to you as determined in this paragraph. If more than one method of reduction will result in the same economic benefit, the portions of the Transaction Payment will be reduced pro rata. Unless you and the Company otherwise agree in writing, any determination required under this section will be made in writing by the Company’s independent public accountants (the “Accountants”), whose determination will be conclusive and binding upon you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You and the Company will furnish to the Accountants such information and documents as the Accountants may reasonably request in order to make a determination under this section. The Company will bear all costs the Accountants may reasonably incur in connection with any calculations contemplated by this section as well as any costs incurred by you with the Accountants for tax planning under Sections 280G and 4999 of the Code.</w:t>
      </w:r>
    </w:p>
    <w:p>
      <w:pPr>
        <w:pStyle w:val="TextBody"/>
        <w:bidi w:val="0"/>
        <w:spacing w:lineRule="auto" w:line="288" w:before="0" w:after="240"/>
        <w:ind w:left="0" w:right="0" w:hanging="10"/>
        <w:jc w:val="left"/>
        <w:rPr>
          <w:rFonts w:ascii="Arial;sans-serif" w:hAnsi="Arial;sans-serif"/>
          <w:b/>
          <w:color w:val="000000"/>
          <w:sz w:val="18"/>
        </w:rPr>
      </w:pPr>
      <w:r>
        <w:rPr>
          <w:rFonts w:ascii="Arial;sans-serif" w:hAnsi="Arial;sans-serif"/>
          <w:b/>
          <w:color w:val="000000"/>
          <w:sz w:val="18"/>
        </w:rPr>
        <w:t>Section 409A</w:t>
      </w:r>
    </w:p>
    <w:p>
      <w:pPr>
        <w:pStyle w:val="TextBody"/>
        <w:bidi w:val="0"/>
        <w:spacing w:lineRule="auto" w:line="288" w:before="0" w:after="240"/>
        <w:ind w:left="0" w:right="0" w:hanging="10"/>
        <w:jc w:val="both"/>
        <w:rPr>
          <w:rFonts w:ascii="Arial;sans-serif" w:hAnsi="Arial;sans-serif"/>
          <w:b w:val="false"/>
          <w:color w:val="000000"/>
          <w:sz w:val="18"/>
        </w:rPr>
      </w:pPr>
      <w:r>
        <w:rPr>
          <w:rFonts w:ascii="Arial;sans-serif" w:hAnsi="Arial;sans-serif"/>
          <w:b w:val="false"/>
          <w:color w:val="000000"/>
          <w:sz w:val="18"/>
        </w:rPr>
        <w:t>It is intended that all of the severance benefits and other payments payable under this Agreement satisfy, to the greatest extent possible, the exemptions from the application of Section 409A of the Code (“Section 409A”) provided under Treasury Regulations 1.409A-1(b)(4), 1.409A-1(b)(5) and 1.409A-1(b)(9), and this Agreement will be construed to the greatest extent possible as consistent with those provisions, and to the extent not so exempt, this Agreement (and any definitions hereunder) will be construed in a manner that complies with Section 409A. For purposes of Section 409A (including, without limitation, for purposes of Treasury Regulation Section 1.409A-2(b)(2)(iii)), your right to receive any installment payments under this Agreement (whether severance payments, reimbursements or otherwise) will be treated as a right to receive a series of separate payments and, accordingly, each installment payment hereunder will at all times be considered a separate and distinct payment. Notwithstanding any provision to the contrary in this Agreement, if you are deemed by the Company at the time of your Separation from Service to be a “specified employee” for purposes of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Section 409A(a)(2)(B)(i) and the related adverse taxation under Section 409A, such payments will not be provided to you prior to the earliest of (i) the expiration of the six-month period measured from the date of your Separation from Service with the Company, (ii) the date of your death or (iii) such earlier date as permitted under Section 409A without the imposition of adverse taxation. Upon the first business day following the expiration of such time period, all payments deferred pursuant to this section will be paid in a lump sum to you, and any remaining payments due will be paid as otherwise provided herein or in the applicable agreement. No interest will be due on any amounts so deferred.</w:t>
      </w:r>
    </w:p>
    <w:p>
      <w:pPr>
        <w:pStyle w:val="TextBody"/>
        <w:bidi w:val="0"/>
        <w:spacing w:lineRule="auto" w:line="288" w:before="0" w:after="0"/>
        <w:ind w:left="0" w:right="0" w:hanging="10"/>
        <w:jc w:val="both"/>
        <w:rPr>
          <w:rFonts w:ascii="Arial;sans-serif" w:hAnsi="Arial;sans-serif"/>
          <w:b w:val="false"/>
          <w:color w:val="000000"/>
          <w:sz w:val="18"/>
        </w:rPr>
      </w:pPr>
      <w:r>
        <w:rPr>
          <w:rFonts w:ascii="Arial;sans-serif" w:hAnsi="Arial;sans-serif"/>
          <w:b w:val="false"/>
          <w:color w:val="000000"/>
          <w:sz w:val="18"/>
        </w:rPr>
        <w:t>We look forward to your continued contributions to the growth and success of MongoDB over the coming years.</w:t>
      </w:r>
    </w:p>
    <w:p>
      <w:pPr>
        <w:pStyle w:val="TextBody"/>
        <w:bidi w:val="0"/>
        <w:spacing w:lineRule="auto" w:line="288" w:before="0" w:after="0"/>
        <w:ind w:left="0" w:right="0" w:hanging="10"/>
        <w:jc w:val="both"/>
        <w:rPr>
          <w:rFonts w:ascii="Arial;sans-serif" w:hAnsi="Arial;sans-serif"/>
          <w:b w:val="false"/>
          <w:color w:val="000000"/>
          <w:sz w:val="18"/>
        </w:rPr>
      </w:pPr>
      <w:r>
        <w:rPr>
          <w:rFonts w:ascii="Arial;sans-serif" w:hAnsi="Arial;sans-serif"/>
          <w:b w:val="false"/>
          <w:color w:val="000000"/>
          <w:sz w:val="18"/>
        </w:rPr>
        <w:t>Sincerely,</w:t>
      </w:r>
    </w:p>
    <w:p>
      <w:pPr>
        <w:pStyle w:val="TextBody"/>
        <w:bidi w:val="0"/>
        <w:spacing w:lineRule="auto" w:line="288" w:before="0" w:after="0"/>
        <w:ind w:left="0" w:right="0" w:hanging="10"/>
        <w:jc w:val="both"/>
        <w:rPr>
          <w:rFonts w:ascii="Arial;sans-serif" w:hAnsi="Arial;sans-serif"/>
          <w:b w:val="false"/>
          <w:color w:val="000000"/>
          <w:sz w:val="18"/>
        </w:rPr>
      </w:pPr>
      <w:r>
        <w:rPr>
          <w:rFonts w:ascii="Arial;sans-serif" w:hAnsi="Arial;sans-serif"/>
          <w:b w:val="false"/>
          <w:color w:val="000000"/>
          <w:sz w:val="18"/>
        </w:rPr>
        <w:t>MongoDB, Inc.</w:t>
      </w:r>
    </w:p>
    <w:p>
      <w:pPr>
        <w:pStyle w:val="TextBody"/>
        <w:bidi w:val="0"/>
        <w:spacing w:before="0" w:after="0"/>
        <w:jc w:val="both"/>
        <w:rPr/>
      </w:pPr>
      <w:r>
        <w:rPr/>
      </w:r>
    </w:p>
    <w:p>
      <w:pPr>
        <w:pStyle w:val="TextBody"/>
        <w:bidi w:val="0"/>
        <w:spacing w:lineRule="auto" w:line="288" w:before="0" w:after="0"/>
        <w:ind w:left="0" w:right="0" w:hanging="10"/>
        <w:jc w:val="left"/>
        <w:rPr/>
      </w:pPr>
      <w:r>
        <w:rPr>
          <w:rFonts w:ascii="Arial;sans-serif" w:hAnsi="Arial;sans-serif"/>
          <w:b w:val="false"/>
          <w:color w:val="000000"/>
          <w:sz w:val="18"/>
          <w:u w:val="single"/>
        </w:rPr>
        <w:t>/s/ Andrew Stephens</w:t>
      </w:r>
      <w:r>
        <w:rPr>
          <w:color w:val="000000"/>
        </w:rPr>
        <w:t>                </w:t>
      </w:r>
      <w:r>
        <w:rPr>
          <w:rFonts w:ascii="Arial;sans-serif" w:hAnsi="Arial;sans-serif"/>
          <w:b w:val="false"/>
          <w:color w:val="000000"/>
          <w:sz w:val="18"/>
          <w:u w:val="single"/>
        </w:rPr>
        <w:t>12/21/2021</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Name: Andrew Stephens                Date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Title: General Counsel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 hereby acknowledge my acceptance of continued employment with MongoDB pursuant to the terms and conditions contained in this Agreement.</w:t>
      </w:r>
    </w:p>
    <w:p>
      <w:pPr>
        <w:pStyle w:val="TextBody"/>
        <w:bidi w:val="0"/>
        <w:spacing w:lineRule="auto" w:line="288" w:before="0" w:after="0"/>
        <w:jc w:val="left"/>
        <w:rPr/>
      </w:pPr>
      <w:r>
        <w:rPr>
          <w:rFonts w:ascii="Arial;sans-serif" w:hAnsi="Arial;sans-serif"/>
          <w:b w:val="false"/>
          <w:color w:val="000000"/>
          <w:sz w:val="18"/>
          <w:u w:val="single"/>
        </w:rPr>
        <w:t>/s/ Mark Porter</w:t>
      </w:r>
      <w:r>
        <w:rPr>
          <w:color w:val="000000"/>
        </w:rPr>
        <w:t>                    </w:t>
      </w:r>
      <w:r>
        <w:rPr>
          <w:rFonts w:ascii="Arial;sans-serif" w:hAnsi="Arial;sans-serif"/>
          <w:b w:val="false"/>
          <w:color w:val="000000"/>
          <w:sz w:val="18"/>
          <w:u w:val="single"/>
        </w:rPr>
        <w:t>12/25/2021</w:t>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Mark Porter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00" w:before="0" w:after="0"/>
                        <w:jc w:val="right"/>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Executive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Dev Ittycheria,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MongoDB, Inc. (the “registrant”);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386"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219"/>
        <w:gridCol w:w="219"/>
        <w:gridCol w:w="221"/>
        <w:gridCol w:w="937"/>
        <w:gridCol w:w="937"/>
        <w:gridCol w:w="133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5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20"/>
                        <w:ind w:left="0" w:right="0" w:firstLine="54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by the Chief Financial Officer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Gordon, certify that: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MongoDB, Inc. (the “registrant”);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481"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219"/>
        <w:gridCol w:w="219"/>
        <w:gridCol w:w="221"/>
        <w:gridCol w:w="1258"/>
        <w:gridCol w:w="1258"/>
        <w:gridCol w:w="178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Gordon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Dev Ittycheria, certify, pursuant to 18 U.S.C. Section 1350, as adopted pursuant to Section 906 of the Sarbanes-Oxley Act of 2002, that the Quarterly Report on Form 10-Q of MongoDB, Inc. for the period ended July 31, 2023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6386"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219"/>
        <w:gridCol w:w="219"/>
        <w:gridCol w:w="221"/>
        <w:gridCol w:w="937"/>
        <w:gridCol w:w="937"/>
        <w:gridCol w:w="133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 Ittycheria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 Ittycheria</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Gordon, certify, pursuant to 18 U.S.C. Section 1350, as adopted pursuant to Section 906 of the Sarbanes-Oxley Act of 2002, that the Quarterly Report on Form 10-Q of MongoDB, Inc. for the period ended July 31, 2023 fully complies with the requirements of Section 13(a) or 15(d) of the Securities Exchange Act of 1934, as amended, and that information contained in such Quarterly Report on Form 10-Q fairly presents, in all material respects, the financial condition and results of operations of MongoDB, Inc.</w:t>
      </w:r>
    </w:p>
    <w:p>
      <w:pPr>
        <w:pStyle w:val="TextBody"/>
        <w:bidi w:val="0"/>
        <w:spacing w:lineRule="auto" w:line="288" w:before="0" w:after="0"/>
        <w:jc w:val="left"/>
        <w:rPr>
          <w:color w:val="000000"/>
        </w:rPr>
      </w:pPr>
      <w:r>
        <w:rPr>
          <w:color w:val="000000"/>
        </w:rPr>
        <w:t> </w:t>
      </w:r>
    </w:p>
    <w:tbl>
      <w:tblPr>
        <w:tblW w:w="7481" w:type="dxa"/>
        <w:jc w:val="center"/>
        <w:tblInd w:w="0" w:type="dxa"/>
        <w:tblLayout w:type="fixed"/>
        <w:tblCellMar>
          <w:top w:w="28" w:type="dxa"/>
          <w:left w:w="28" w:type="dxa"/>
          <w:bottom w:w="28" w:type="dxa"/>
          <w:right w:w="28" w:type="dxa"/>
        </w:tblCellMar>
      </w:tblPr>
      <w:tblGrid>
        <w:gridCol w:w="764"/>
        <w:gridCol w:w="673"/>
        <w:gridCol w:w="677"/>
        <w:gridCol w:w="134"/>
        <w:gridCol w:w="134"/>
        <w:gridCol w:w="136"/>
        <w:gridCol w:w="219"/>
        <w:gridCol w:w="219"/>
        <w:gridCol w:w="221"/>
        <w:gridCol w:w="1258"/>
        <w:gridCol w:w="1258"/>
        <w:gridCol w:w="1788"/>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September 1,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Gordon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Gordon</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and Chief Financial Officer</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Quarterly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Quarterly Report on Form 10-Q),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41816/000110465917063753/a17-24439_1ex3d1.htm" TargetMode="External"/><Relationship Id="rId3" Type="http://schemas.openxmlformats.org/officeDocument/2006/relationships/hyperlink" Target="http://www.sec.gov/Archives/edgar/data/1441816/000144181620000114/mdb-certificateofretir.htm" TargetMode="External"/><Relationship Id="rId4" Type="http://schemas.openxmlformats.org/officeDocument/2006/relationships/hyperlink" Target="http://www.sec.gov/Archives/edgar/data/1441816/000104746917006014/a2233365zex-3_4.htm" TargetMode="External"/><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50467</Words>
  <Characters>279187</Characters>
  <CharactersWithSpaces>327903</CharactersWithSpaces>
  <Paragraphs>3147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