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ind w:left="4940"/>
        <w:spacing w:after="0"/>
        <w:rPr>
          <w:sz w:val="20"/>
          <w:szCs w:val="20"/>
          <w:color w:val="auto"/>
        </w:rPr>
      </w:pPr>
      <w:r>
        <w:rPr>
          <w:rFonts w:ascii="Arial" w:cs="Arial" w:eastAsia="Arial" w:hAnsi="Arial"/>
          <w:sz w:val="14"/>
          <w:szCs w:val="14"/>
          <w:color w:val="auto"/>
        </w:rPr>
        <w:t>___________________</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June 29, 2021</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___________________</w:t>
      </w:r>
    </w:p>
    <w:p>
      <w:pPr>
        <w:spacing w:after="0" w:line="133" w:lineRule="exact"/>
        <w:rPr>
          <w:sz w:val="24"/>
          <w:szCs w:val="24"/>
          <w:color w:val="auto"/>
        </w:rPr>
      </w:pPr>
    </w:p>
    <w:tbl>
      <w:tblPr>
        <w:tblLayout w:type="fixed"/>
        <w:tblInd w:w="520" w:type="dxa"/>
        <w:tblCellMar>
          <w:top w:w="0" w:type="dxa"/>
          <w:left w:w="0" w:type="dxa"/>
          <w:bottom w:w="0" w:type="dxa"/>
          <w:right w:w="0" w:type="dxa"/>
        </w:tblCellMar>
      </w:tblPr>
      <w:tr>
        <w:trPr>
          <w:trHeight w:val="248"/>
        </w:trPr>
        <w:tc>
          <w:tcPr>
            <w:tcW w:w="2880" w:type="dxa"/>
            <w:vAlign w:val="bottom"/>
          </w:tcPr>
          <w:p>
            <w:pPr>
              <w:jc w:val="center"/>
              <w:ind w:right="79"/>
              <w:spacing w:after="0"/>
              <w:rPr>
                <w:sz w:val="20"/>
                <w:szCs w:val="20"/>
                <w:color w:val="auto"/>
              </w:rPr>
            </w:pPr>
            <w:r>
              <w:rPr>
                <w:rFonts w:ascii="Arial" w:cs="Arial" w:eastAsia="Arial" w:hAnsi="Arial"/>
                <w:sz w:val="20"/>
                <w:szCs w:val="20"/>
                <w:b w:val="1"/>
                <w:bCs w:val="1"/>
                <w:color w:val="auto"/>
                <w:w w:val="91"/>
              </w:rPr>
              <w:t>Delaware</w:t>
            </w:r>
          </w:p>
        </w:tc>
        <w:tc>
          <w:tcPr>
            <w:tcW w:w="4740" w:type="dxa"/>
            <w:vAlign w:val="bottom"/>
          </w:tcPr>
          <w:p>
            <w:pPr>
              <w:jc w:val="center"/>
              <w:ind w:right="239"/>
              <w:spacing w:after="0"/>
              <w:rPr>
                <w:sz w:val="20"/>
                <w:szCs w:val="20"/>
                <w:color w:val="auto"/>
              </w:rPr>
            </w:pPr>
            <w:r>
              <w:rPr>
                <w:rFonts w:ascii="Arial" w:cs="Arial" w:eastAsia="Arial" w:hAnsi="Arial"/>
                <w:sz w:val="20"/>
                <w:szCs w:val="20"/>
                <w:b w:val="1"/>
                <w:bCs w:val="1"/>
                <w:color w:val="auto"/>
                <w:w w:val="89"/>
              </w:rPr>
              <w:t>001-38240</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26-1463205</w:t>
            </w:r>
          </w:p>
        </w:tc>
      </w:tr>
      <w:tr>
        <w:trPr>
          <w:trHeight w:val="126"/>
        </w:trPr>
        <w:tc>
          <w:tcPr>
            <w:tcW w:w="2880" w:type="dxa"/>
            <w:vAlign w:val="bottom"/>
          </w:tcPr>
          <w:p>
            <w:pPr>
              <w:jc w:val="center"/>
              <w:ind w:right="79"/>
              <w:spacing w:after="0" w:line="126" w:lineRule="exact"/>
              <w:rPr>
                <w:sz w:val="20"/>
                <w:szCs w:val="20"/>
                <w:color w:val="auto"/>
              </w:rPr>
            </w:pPr>
            <w:r>
              <w:rPr>
                <w:rFonts w:ascii="Arial" w:cs="Arial" w:eastAsia="Arial" w:hAnsi="Arial"/>
                <w:sz w:val="13"/>
                <w:szCs w:val="13"/>
                <w:b w:val="1"/>
                <w:bCs w:val="1"/>
                <w:color w:val="auto"/>
                <w:w w:val="87"/>
              </w:rPr>
              <w:t>(State or Other Jurisdiction</w:t>
            </w:r>
          </w:p>
        </w:tc>
        <w:tc>
          <w:tcPr>
            <w:tcW w:w="4740" w:type="dxa"/>
            <w:vAlign w:val="bottom"/>
          </w:tcPr>
          <w:p>
            <w:pPr>
              <w:jc w:val="center"/>
              <w:ind w:right="239"/>
              <w:spacing w:after="0" w:line="126" w:lineRule="exact"/>
              <w:rPr>
                <w:sz w:val="20"/>
                <w:szCs w:val="20"/>
                <w:color w:val="auto"/>
              </w:rPr>
            </w:pPr>
            <w:r>
              <w:rPr>
                <w:rFonts w:ascii="Arial" w:cs="Arial" w:eastAsia="Arial" w:hAnsi="Arial"/>
                <w:sz w:val="13"/>
                <w:szCs w:val="13"/>
                <w:b w:val="1"/>
                <w:bCs w:val="1"/>
                <w:color w:val="auto"/>
                <w:w w:val="88"/>
              </w:rPr>
              <w:t>(Commission File Number)</w:t>
            </w:r>
          </w:p>
        </w:tc>
        <w:tc>
          <w:tcPr>
            <w:tcW w:w="1720" w:type="dxa"/>
            <w:vAlign w:val="bottom"/>
          </w:tcPr>
          <w:p>
            <w:pPr>
              <w:jc w:val="center"/>
              <w:ind w:left="663"/>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880" w:type="dxa"/>
            <w:vAlign w:val="bottom"/>
          </w:tcPr>
          <w:p>
            <w:pPr>
              <w:jc w:val="center"/>
              <w:ind w:right="79"/>
              <w:spacing w:after="0"/>
              <w:rPr>
                <w:sz w:val="20"/>
                <w:szCs w:val="20"/>
                <w:color w:val="auto"/>
              </w:rPr>
            </w:pPr>
            <w:r>
              <w:rPr>
                <w:rFonts w:ascii="Arial" w:cs="Arial" w:eastAsia="Arial" w:hAnsi="Arial"/>
                <w:sz w:val="13"/>
                <w:szCs w:val="13"/>
                <w:b w:val="1"/>
                <w:bCs w:val="1"/>
                <w:color w:val="auto"/>
                <w:w w:val="88"/>
              </w:rPr>
              <w:t>of Incorporation)</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89"/>
              </w:rPr>
              <w:t>Identification No.)</w:t>
            </w:r>
          </w:p>
        </w:tc>
      </w:tr>
      <w:tr>
        <w:trPr>
          <w:trHeight w:val="474"/>
        </w:trPr>
        <w:tc>
          <w:tcPr>
            <w:tcW w:w="2880" w:type="dxa"/>
            <w:vAlign w:val="bottom"/>
          </w:tcPr>
          <w:p>
            <w:pPr>
              <w:spacing w:after="0"/>
              <w:rPr>
                <w:sz w:val="20"/>
                <w:szCs w:val="20"/>
                <w:color w:val="auto"/>
              </w:rPr>
            </w:pPr>
            <w:r>
              <w:rPr>
                <w:rFonts w:ascii="Arial" w:cs="Arial" w:eastAsia="Arial" w:hAnsi="Arial"/>
                <w:sz w:val="20"/>
                <w:szCs w:val="20"/>
                <w:b w:val="1"/>
                <w:bCs w:val="1"/>
                <w:color w:val="auto"/>
              </w:rPr>
              <w:t>1633 Broadway, 38th Floor</w:t>
            </w:r>
          </w:p>
        </w:tc>
        <w:tc>
          <w:tcPr>
            <w:tcW w:w="4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1"/>
        </w:trPr>
        <w:tc>
          <w:tcPr>
            <w:tcW w:w="2880" w:type="dxa"/>
            <w:vAlign w:val="bottom"/>
          </w:tcPr>
          <w:p>
            <w:pPr>
              <w:ind w:left="460"/>
              <w:spacing w:after="0"/>
              <w:rPr>
                <w:sz w:val="20"/>
                <w:szCs w:val="20"/>
                <w:color w:val="auto"/>
              </w:rPr>
            </w:pPr>
            <w:r>
              <w:rPr>
                <w:rFonts w:ascii="Arial" w:cs="Arial" w:eastAsia="Arial" w:hAnsi="Arial"/>
                <w:sz w:val="20"/>
                <w:szCs w:val="20"/>
                <w:b w:val="1"/>
                <w:bCs w:val="1"/>
                <w:color w:val="auto"/>
              </w:rPr>
              <w:t>New York, NY</w:t>
            </w:r>
          </w:p>
        </w:tc>
        <w:tc>
          <w:tcPr>
            <w:tcW w:w="4740" w:type="dxa"/>
            <w:vAlign w:val="bottom"/>
          </w:tcPr>
          <w:p>
            <w:pPr>
              <w:spacing w:after="0"/>
              <w:rPr>
                <w:sz w:val="22"/>
                <w:szCs w:val="22"/>
                <w:color w:val="auto"/>
              </w:rPr>
            </w:pPr>
          </w:p>
        </w:tc>
        <w:tc>
          <w:tcPr>
            <w:tcW w:w="1720" w:type="dxa"/>
            <w:vAlign w:val="bottom"/>
          </w:tcPr>
          <w:p>
            <w:pPr>
              <w:jc w:val="right"/>
              <w:ind w:right="163"/>
              <w:spacing w:after="0"/>
              <w:rPr>
                <w:sz w:val="20"/>
                <w:szCs w:val="20"/>
                <w:color w:val="auto"/>
              </w:rPr>
            </w:pPr>
            <w:r>
              <w:rPr>
                <w:rFonts w:ascii="Arial" w:cs="Arial" w:eastAsia="Arial" w:hAnsi="Arial"/>
                <w:sz w:val="20"/>
                <w:szCs w:val="20"/>
                <w:b w:val="1"/>
                <w:bCs w:val="1"/>
                <w:color w:val="auto"/>
              </w:rPr>
              <w:t>10019</w:t>
            </w:r>
          </w:p>
        </w:tc>
      </w:tr>
      <w:tr>
        <w:trPr>
          <w:trHeight w:val="164"/>
        </w:trPr>
        <w:tc>
          <w:tcPr>
            <w:tcW w:w="2880" w:type="dxa"/>
            <w:vAlign w:val="bottom"/>
          </w:tcPr>
          <w:p>
            <w:pPr>
              <w:jc w:val="center"/>
              <w:ind w:right="79"/>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90"/>
              </w:rPr>
              <w:t>(Zip Code)</w:t>
            </w:r>
          </w:p>
        </w:tc>
      </w:tr>
      <w:tr>
        <w:trPr>
          <w:trHeight w:val="484"/>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Arial" w:cs="Arial" w:eastAsia="Arial" w:hAnsi="Arial"/>
                <w:sz w:val="20"/>
                <w:szCs w:val="20"/>
                <w:b w:val="1"/>
                <w:bCs w:val="1"/>
                <w:color w:val="auto"/>
                <w:w w:val="89"/>
              </w:rPr>
              <w:t>646-727-4092</w:t>
            </w:r>
          </w:p>
        </w:tc>
        <w:tc>
          <w:tcPr>
            <w:tcW w:w="1720" w:type="dxa"/>
            <w:vAlign w:val="bottom"/>
          </w:tcPr>
          <w:p>
            <w:pPr>
              <w:spacing w:after="0"/>
              <w:rPr>
                <w:sz w:val="24"/>
                <w:szCs w:val="24"/>
                <w:color w:val="auto"/>
              </w:rPr>
            </w:pPr>
          </w:p>
        </w:tc>
      </w:tr>
      <w:tr>
        <w:trPr>
          <w:trHeight w:val="164"/>
        </w:trPr>
        <w:tc>
          <w:tcPr>
            <w:tcW w:w="2880" w:type="dxa"/>
            <w:vAlign w:val="bottom"/>
          </w:tcPr>
          <w:p>
            <w:pPr>
              <w:spacing w:after="0"/>
              <w:rPr>
                <w:sz w:val="14"/>
                <w:szCs w:val="14"/>
                <w:color w:val="auto"/>
              </w:rPr>
            </w:pPr>
          </w:p>
        </w:tc>
        <w:tc>
          <w:tcPr>
            <w:tcW w:w="4740" w:type="dxa"/>
            <w:vAlign w:val="bottom"/>
          </w:tcPr>
          <w:p>
            <w:pPr>
              <w:jc w:val="center"/>
              <w:ind w:right="219"/>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1720" w:type="dxa"/>
            <w:vAlign w:val="bottom"/>
          </w:tcPr>
          <w:p>
            <w:pPr>
              <w:spacing w:after="0"/>
              <w:rPr>
                <w:sz w:val="14"/>
                <w:szCs w:val="14"/>
                <w:color w:val="auto"/>
              </w:rPr>
            </w:pPr>
          </w:p>
        </w:tc>
      </w:tr>
      <w:tr>
        <w:trPr>
          <w:trHeight w:val="376"/>
        </w:trPr>
        <w:tc>
          <w:tcPr>
            <w:tcW w:w="2880" w:type="dxa"/>
            <w:vAlign w:val="bottom"/>
          </w:tcPr>
          <w:p>
            <w:pPr>
              <w:spacing w:after="0"/>
              <w:rPr>
                <w:sz w:val="24"/>
                <w:szCs w:val="24"/>
                <w:color w:val="auto"/>
              </w:rPr>
            </w:pPr>
          </w:p>
        </w:tc>
        <w:tc>
          <w:tcPr>
            <w:tcW w:w="4740" w:type="dxa"/>
            <w:vAlign w:val="bottom"/>
          </w:tcPr>
          <w:p>
            <w:pPr>
              <w:jc w:val="center"/>
              <w:ind w:right="219"/>
              <w:spacing w:after="0"/>
              <w:rPr>
                <w:sz w:val="20"/>
                <w:szCs w:val="20"/>
                <w:color w:val="auto"/>
              </w:rPr>
            </w:pPr>
            <w:r>
              <w:rPr>
                <w:rFonts w:ascii="Arial" w:cs="Arial" w:eastAsia="Arial" w:hAnsi="Arial"/>
                <w:sz w:val="20"/>
                <w:szCs w:val="20"/>
                <w:b w:val="1"/>
                <w:bCs w:val="1"/>
                <w:color w:val="auto"/>
                <w:w w:val="91"/>
              </w:rPr>
              <w:t>Not Applicable</w:t>
            </w:r>
          </w:p>
        </w:tc>
        <w:tc>
          <w:tcPr>
            <w:tcW w:w="1720" w:type="dxa"/>
            <w:vAlign w:val="bottom"/>
          </w:tcPr>
          <w:p>
            <w:pPr>
              <w:spacing w:after="0"/>
              <w:rPr>
                <w:sz w:val="24"/>
                <w:szCs w:val="24"/>
                <w:color w:val="auto"/>
              </w:rPr>
            </w:pPr>
          </w:p>
        </w:tc>
      </w:tr>
      <w:tr>
        <w:trPr>
          <w:trHeight w:val="160"/>
        </w:trPr>
        <w:tc>
          <w:tcPr>
            <w:tcW w:w="2880" w:type="dxa"/>
            <w:vAlign w:val="bottom"/>
          </w:tcPr>
          <w:p>
            <w:pPr>
              <w:spacing w:after="0"/>
              <w:rPr>
                <w:sz w:val="13"/>
                <w:szCs w:val="13"/>
                <w:color w:val="auto"/>
              </w:rPr>
            </w:pPr>
          </w:p>
        </w:tc>
        <w:tc>
          <w:tcPr>
            <w:tcW w:w="4740" w:type="dxa"/>
            <w:vAlign w:val="bottom"/>
          </w:tcPr>
          <w:p>
            <w:pPr>
              <w:jc w:val="center"/>
              <w:ind w:right="219"/>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20" w:type="dxa"/>
            <w:vAlign w:val="bottom"/>
          </w:tcPr>
          <w:p>
            <w:pPr>
              <w:spacing w:after="0"/>
              <w:rPr>
                <w:sz w:val="13"/>
                <w:szCs w:val="13"/>
                <w:color w:val="auto"/>
              </w:rPr>
            </w:pPr>
          </w:p>
        </w:tc>
      </w:tr>
    </w:tbl>
    <w:p>
      <w:pPr>
        <w:ind w:left="4940"/>
        <w:spacing w:after="0"/>
        <w:rPr>
          <w:sz w:val="20"/>
          <w:szCs w:val="20"/>
          <w:color w:val="auto"/>
        </w:rPr>
      </w:pPr>
      <w:r>
        <w:rPr>
          <w:rFonts w:ascii="Arial" w:cs="Arial" w:eastAsia="Arial" w:hAnsi="Arial"/>
          <w:sz w:val="14"/>
          <w:szCs w:val="14"/>
          <w:color w:val="auto"/>
        </w:rPr>
        <w:t>___________________</w:t>
      </w:r>
    </w:p>
    <w:p>
      <w:pPr>
        <w:spacing w:after="0" w:line="15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80" w:firstLine="48"/>
        <w:spacing w:after="0" w:line="435" w:lineRule="auto"/>
        <w:tabs>
          <w:tab w:leader="none" w:pos="3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69"/>
        </w:trPr>
        <w:tc>
          <w:tcPr>
            <w:tcW w:w="3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Class A Common Stock, par value $0.001</w:t>
            </w:r>
          </w:p>
        </w:tc>
        <w:tc>
          <w:tcPr>
            <w:tcW w:w="120" w:type="dxa"/>
            <w:vAlign w:val="bottom"/>
          </w:tcPr>
          <w:p>
            <w:pPr>
              <w:spacing w:after="0"/>
              <w:rPr>
                <w:sz w:val="14"/>
                <w:szCs w:val="14"/>
                <w:color w:val="auto"/>
              </w:rPr>
            </w:pPr>
          </w:p>
        </w:tc>
        <w:tc>
          <w:tcPr>
            <w:tcW w:w="3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MDB</w:t>
            </w:r>
          </w:p>
        </w:tc>
        <w:tc>
          <w:tcPr>
            <w:tcW w:w="100" w:type="dxa"/>
            <w:vAlign w:val="bottom"/>
          </w:tcPr>
          <w:p>
            <w:pPr>
              <w:spacing w:after="0"/>
              <w:rPr>
                <w:sz w:val="14"/>
                <w:szCs w:val="14"/>
                <w:color w:val="auto"/>
              </w:rPr>
            </w:pPr>
          </w:p>
        </w:tc>
        <w:tc>
          <w:tcPr>
            <w:tcW w:w="3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The Nasdaq Stock Market LLC</w:t>
            </w:r>
          </w:p>
        </w:tc>
      </w:tr>
      <w:tr>
        <w:trPr>
          <w:trHeight w:val="284"/>
        </w:trPr>
        <w:tc>
          <w:tcPr>
            <w:tcW w:w="34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per share</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firstLine="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259"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2" w:lineRule="exact"/>
        <w:rPr>
          <w:sz w:val="20"/>
          <w:szCs w:val="20"/>
          <w:color w:val="auto"/>
        </w:rPr>
      </w:pPr>
    </w:p>
    <w:p>
      <w:pPr>
        <w:jc w:val="both"/>
        <w:ind w:firstLine="445"/>
        <w:spacing w:after="0" w:line="336" w:lineRule="auto"/>
        <w:rPr>
          <w:sz w:val="20"/>
          <w:szCs w:val="20"/>
          <w:color w:val="auto"/>
        </w:rPr>
      </w:pPr>
      <w:r>
        <w:rPr>
          <w:rFonts w:ascii="Arial" w:cs="Arial" w:eastAsia="Arial" w:hAnsi="Arial"/>
          <w:sz w:val="17"/>
          <w:szCs w:val="17"/>
          <w:color w:val="auto"/>
        </w:rPr>
        <w:t>On June 29, 2021 MongoDB, Inc. (the “Company”) held its Annual Meeting of Stockholders (“Annual Meeting”). At the Annual Meeting, the Company’s stockholders voted on the three proposals set forth below. A more detailed description of each proposal is set forth in the Company’s Proxy Statement filed with the Securities and Exchange Commission on May 17, 2021. Preliminary voting results are set forth below. These preliminary voting results will ultimately be updated through the filing of an amendment to this Current Report on Form 8-K to reflect the final certification of results from the Company’s inspector of election (the “Inspector of Election”). There can be no assurance that the outcome of the final results certified by the Inspector of Election will be consistent with the outcome of the preliminary voting results set forth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62" w:lineRule="exact"/>
        <w:rPr>
          <w:sz w:val="20"/>
          <w:szCs w:val="20"/>
          <w:color w:val="auto"/>
        </w:rPr>
      </w:pPr>
    </w:p>
    <w:p>
      <w:pPr>
        <w:jc w:val="both"/>
        <w:ind w:firstLine="445"/>
        <w:spacing w:after="0" w:line="310" w:lineRule="auto"/>
        <w:rPr>
          <w:sz w:val="20"/>
          <w:szCs w:val="20"/>
          <w:color w:val="auto"/>
        </w:rPr>
      </w:pPr>
      <w:r>
        <w:rPr>
          <w:rFonts w:ascii="Arial" w:cs="Arial" w:eastAsia="Arial" w:hAnsi="Arial"/>
          <w:sz w:val="18"/>
          <w:szCs w:val="18"/>
          <w:color w:val="auto"/>
        </w:rPr>
        <w:t>Each of Roelof Botha, Dev Ittycheria and John McMahon was elected to serve as a Class I director of the Company’s Board of Directors until the 2024 Annual Meeting of Stockholders and until his successor has been duly elected, or if sooner, until the director’s death, resignation or removal, by the following votes:</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Nominee</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300" w:type="dxa"/>
            <w:vAlign w:val="bottom"/>
            <w:gridSpan w:val="2"/>
          </w:tcPr>
          <w:p>
            <w:pPr>
              <w:ind w:left="620"/>
              <w:spacing w:after="0"/>
              <w:rPr>
                <w:sz w:val="20"/>
                <w:szCs w:val="20"/>
                <w:color w:val="auto"/>
              </w:rPr>
            </w:pPr>
            <w:r>
              <w:rPr>
                <w:rFonts w:ascii="Arial" w:cs="Arial" w:eastAsia="Arial" w:hAnsi="Arial"/>
                <w:sz w:val="14"/>
                <w:szCs w:val="14"/>
                <w:b w:val="1"/>
                <w:bCs w:val="1"/>
                <w:color w:val="auto"/>
              </w:rPr>
              <w:t>Votes Withheld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37"/>
        </w:trPr>
        <w:tc>
          <w:tcPr>
            <w:tcW w:w="2460" w:type="dxa"/>
            <w:vAlign w:val="bottom"/>
          </w:tcPr>
          <w:p>
            <w:pPr>
              <w:jc w:val="center"/>
              <w:spacing w:after="0"/>
              <w:rPr>
                <w:sz w:val="20"/>
                <w:szCs w:val="20"/>
                <w:color w:val="auto"/>
              </w:rPr>
            </w:pPr>
            <w:r>
              <w:rPr>
                <w:rFonts w:ascii="Arial" w:cs="Arial" w:eastAsia="Arial" w:hAnsi="Arial"/>
                <w:sz w:val="18"/>
                <w:szCs w:val="18"/>
                <w:color w:val="auto"/>
                <w:w w:val="92"/>
              </w:rPr>
              <w:t>Roelof Botha</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34,980,929</w:t>
            </w:r>
          </w:p>
        </w:tc>
        <w:tc>
          <w:tcPr>
            <w:tcW w:w="1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12,548,583</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r>
        <w:trPr>
          <w:trHeight w:val="270"/>
        </w:trPr>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Dev Ittycheria</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41,172,217</w:t>
            </w:r>
          </w:p>
        </w:tc>
        <w:tc>
          <w:tcPr>
            <w:tcW w:w="1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6,357,295</w:t>
            </w:r>
          </w:p>
        </w:tc>
        <w:tc>
          <w:tcPr>
            <w:tcW w:w="1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r>
        <w:trPr>
          <w:trHeight w:val="270"/>
        </w:trPr>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John McMahon</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41,325,630</w:t>
            </w:r>
          </w:p>
        </w:tc>
        <w:tc>
          <w:tcPr>
            <w:tcW w:w="1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6,203,882</w:t>
            </w:r>
          </w:p>
        </w:tc>
        <w:tc>
          <w:tcPr>
            <w:tcW w:w="1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Approval, on a non-binding advisory basis, of the compensation of the Company’s named executive officers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stockholders approved, on a non-binding advisory basis, the compensation of the Company’s named executive officers, by the following votes:</w:t>
      </w:r>
    </w:p>
    <w:p>
      <w:pPr>
        <w:spacing w:after="0" w:line="172"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220" w:type="dxa"/>
            <w:vAlign w:val="bottom"/>
            <w:gridSpan w:val="2"/>
          </w:tcPr>
          <w:p>
            <w:pPr>
              <w:ind w:left="640"/>
              <w:spacing w:after="0"/>
              <w:rPr>
                <w:sz w:val="20"/>
                <w:szCs w:val="20"/>
                <w:color w:val="auto"/>
              </w:rPr>
            </w:pPr>
            <w:r>
              <w:rPr>
                <w:rFonts w:ascii="Arial" w:cs="Arial" w:eastAsia="Arial" w:hAnsi="Arial"/>
                <w:sz w:val="14"/>
                <w:szCs w:val="14"/>
                <w:b w:val="1"/>
                <w:bCs w:val="1"/>
                <w:color w:val="auto"/>
              </w:rPr>
              <w:t>Votes Against</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Abstentions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37"/>
        </w:trPr>
        <w:tc>
          <w:tcPr>
            <w:tcW w:w="2460" w:type="dxa"/>
            <w:vAlign w:val="bottom"/>
          </w:tcPr>
          <w:p>
            <w:pPr>
              <w:jc w:val="right"/>
              <w:ind w:right="759"/>
              <w:spacing w:after="0"/>
              <w:rPr>
                <w:sz w:val="20"/>
                <w:szCs w:val="20"/>
                <w:color w:val="auto"/>
              </w:rPr>
            </w:pPr>
            <w:r>
              <w:rPr>
                <w:rFonts w:ascii="Arial" w:cs="Arial" w:eastAsia="Arial" w:hAnsi="Arial"/>
                <w:sz w:val="18"/>
                <w:szCs w:val="18"/>
                <w:color w:val="auto"/>
              </w:rPr>
              <w:t>37,013,648</w:t>
            </w:r>
          </w:p>
        </w:tc>
        <w:tc>
          <w:tcPr>
            <w:tcW w:w="10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10,455,505</w:t>
            </w:r>
          </w:p>
        </w:tc>
        <w:tc>
          <w:tcPr>
            <w:tcW w:w="100" w:type="dxa"/>
            <w:vAlign w:val="bottom"/>
          </w:tcPr>
          <w:p>
            <w:pPr>
              <w:spacing w:after="0"/>
              <w:rPr>
                <w:sz w:val="20"/>
                <w:szCs w:val="20"/>
                <w:color w:val="auto"/>
              </w:rPr>
            </w:pPr>
          </w:p>
        </w:tc>
        <w:tc>
          <w:tcPr>
            <w:tcW w:w="2200" w:type="dxa"/>
            <w:vAlign w:val="bottom"/>
          </w:tcPr>
          <w:p>
            <w:pPr>
              <w:jc w:val="right"/>
              <w:ind w:right="779"/>
              <w:spacing w:after="0"/>
              <w:rPr>
                <w:sz w:val="20"/>
                <w:szCs w:val="20"/>
                <w:color w:val="auto"/>
              </w:rPr>
            </w:pPr>
            <w:r>
              <w:rPr>
                <w:rFonts w:ascii="Arial" w:cs="Arial" w:eastAsia="Arial" w:hAnsi="Arial"/>
                <w:sz w:val="18"/>
                <w:szCs w:val="18"/>
                <w:color w:val="auto"/>
              </w:rPr>
              <w:t>60,359</w:t>
            </w:r>
          </w:p>
        </w:tc>
        <w:tc>
          <w:tcPr>
            <w:tcW w:w="100" w:type="dxa"/>
            <w:vAlign w:val="bottom"/>
          </w:tcPr>
          <w:p>
            <w:pPr>
              <w:spacing w:after="0"/>
              <w:rPr>
                <w:sz w:val="20"/>
                <w:szCs w:val="20"/>
                <w:color w:val="auto"/>
              </w:rPr>
            </w:pPr>
          </w:p>
        </w:tc>
        <w:tc>
          <w:tcPr>
            <w:tcW w:w="2140" w:type="dxa"/>
            <w:vAlign w:val="bottom"/>
          </w:tcPr>
          <w:p>
            <w:pPr>
              <w:jc w:val="right"/>
              <w:ind w:right="639"/>
              <w:spacing w:after="0"/>
              <w:rPr>
                <w:sz w:val="20"/>
                <w:szCs w:val="20"/>
                <w:color w:val="auto"/>
              </w:rPr>
            </w:pPr>
            <w:r>
              <w:rPr>
                <w:rFonts w:ascii="Arial" w:cs="Arial" w:eastAsia="Arial" w:hAnsi="Arial"/>
                <w:sz w:val="18"/>
                <w:szCs w:val="18"/>
                <w:color w:val="auto"/>
              </w:rPr>
              <w:t>7,619,717</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Ratification of the selection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stockholders ratified the selection of PricewaterhouseCoopers LLP as the Company’s independent registered public accounting firm for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Company’s fiscal year ending January 31, 2022, by the following votes: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 For</w:t>
            </w: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Votes Against</w:t>
            </w:r>
          </w:p>
        </w:tc>
        <w:tc>
          <w:tcPr>
            <w:tcW w:w="430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8"/>
              </w:rPr>
              <w:t>Abstentions</w:t>
            </w:r>
          </w:p>
        </w:tc>
      </w:tr>
      <w:tr>
        <w:trPr>
          <w:trHeight w:val="52"/>
        </w:trPr>
        <w:tc>
          <w:tcPr>
            <w:tcW w:w="2060" w:type="dxa"/>
            <w:vAlign w:val="bottom"/>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r>
      <w:tr>
        <w:trPr>
          <w:trHeight w:val="224"/>
        </w:trPr>
        <w:tc>
          <w:tcPr>
            <w:tcW w:w="2060" w:type="dxa"/>
            <w:vAlign w:val="bottom"/>
          </w:tcPr>
          <w:p>
            <w:pPr>
              <w:spacing w:after="0"/>
              <w:rPr>
                <w:sz w:val="19"/>
                <w:szCs w:val="19"/>
                <w:color w:val="auto"/>
              </w:rPr>
            </w:pPr>
          </w:p>
        </w:tc>
        <w:tc>
          <w:tcPr>
            <w:tcW w:w="2360" w:type="dxa"/>
            <w:vAlign w:val="bottom"/>
          </w:tcPr>
          <w:p>
            <w:pPr>
              <w:jc w:val="right"/>
              <w:ind w:right="699"/>
              <w:spacing w:after="0"/>
              <w:rPr>
                <w:sz w:val="20"/>
                <w:szCs w:val="20"/>
                <w:color w:val="auto"/>
              </w:rPr>
            </w:pPr>
            <w:r>
              <w:rPr>
                <w:rFonts w:ascii="Arial" w:cs="Arial" w:eastAsia="Arial" w:hAnsi="Arial"/>
                <w:sz w:val="18"/>
                <w:szCs w:val="18"/>
                <w:color w:val="auto"/>
              </w:rPr>
              <w:t>54,911,064</w:t>
            </w:r>
          </w:p>
        </w:tc>
        <w:tc>
          <w:tcPr>
            <w:tcW w:w="120" w:type="dxa"/>
            <w:vAlign w:val="bottom"/>
          </w:tcPr>
          <w:p>
            <w:pPr>
              <w:spacing w:after="0"/>
              <w:rPr>
                <w:sz w:val="19"/>
                <w:szCs w:val="19"/>
                <w:color w:val="auto"/>
              </w:rPr>
            </w:pPr>
          </w:p>
        </w:tc>
        <w:tc>
          <w:tcPr>
            <w:tcW w:w="2280" w:type="dxa"/>
            <w:vAlign w:val="bottom"/>
          </w:tcPr>
          <w:p>
            <w:pPr>
              <w:jc w:val="right"/>
              <w:ind w:right="779"/>
              <w:spacing w:after="0"/>
              <w:rPr>
                <w:sz w:val="20"/>
                <w:szCs w:val="20"/>
                <w:color w:val="auto"/>
              </w:rPr>
            </w:pPr>
            <w:r>
              <w:rPr>
                <w:rFonts w:ascii="Arial" w:cs="Arial" w:eastAsia="Arial" w:hAnsi="Arial"/>
                <w:sz w:val="18"/>
                <w:szCs w:val="18"/>
                <w:color w:val="auto"/>
              </w:rPr>
              <w:t>222,903</w:t>
            </w:r>
          </w:p>
        </w:tc>
        <w:tc>
          <w:tcPr>
            <w:tcW w:w="120" w:type="dxa"/>
            <w:vAlign w:val="bottom"/>
          </w:tcPr>
          <w:p>
            <w:pPr>
              <w:spacing w:after="0"/>
              <w:rPr>
                <w:sz w:val="19"/>
                <w:szCs w:val="19"/>
                <w:color w:val="auto"/>
              </w:rPr>
            </w:pPr>
          </w:p>
        </w:tc>
        <w:tc>
          <w:tcPr>
            <w:tcW w:w="2260" w:type="dxa"/>
            <w:vAlign w:val="bottom"/>
          </w:tcPr>
          <w:p>
            <w:pPr>
              <w:jc w:val="right"/>
              <w:ind w:right="819"/>
              <w:spacing w:after="0"/>
              <w:rPr>
                <w:sz w:val="20"/>
                <w:szCs w:val="20"/>
                <w:color w:val="auto"/>
              </w:rPr>
            </w:pPr>
            <w:r>
              <w:rPr>
                <w:rFonts w:ascii="Arial" w:cs="Arial" w:eastAsia="Arial" w:hAnsi="Arial"/>
                <w:sz w:val="18"/>
                <w:szCs w:val="18"/>
                <w:color w:val="auto"/>
              </w:rPr>
              <w:t>15,262</w:t>
            </w:r>
          </w:p>
        </w:tc>
        <w:tc>
          <w:tcPr>
            <w:tcW w:w="2040" w:type="dxa"/>
            <w:vAlign w:val="bottom"/>
          </w:tcPr>
          <w:p>
            <w:pPr>
              <w:spacing w:after="0"/>
              <w:rPr>
                <w:sz w:val="19"/>
                <w:szCs w:val="19"/>
                <w:color w:val="auto"/>
              </w:rPr>
            </w:pPr>
          </w:p>
        </w:tc>
      </w:tr>
      <w:tr>
        <w:trPr>
          <w:trHeight w:val="1478"/>
        </w:trPr>
        <w:tc>
          <w:tcPr>
            <w:tcW w:w="2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tabs>
          <w:tab w:leader="none" w:pos="5420" w:val="left"/>
          <w:tab w:leader="none" w:pos="6140" w:val="left"/>
        </w:tabs>
        <w:rPr>
          <w:sz w:val="20"/>
          <w:szCs w:val="20"/>
          <w:color w:val="auto"/>
        </w:rPr>
      </w:pPr>
      <w:r>
        <w:rPr>
          <w:rFonts w:ascii="Arial" w:cs="Arial" w:eastAsia="Arial" w:hAnsi="Arial"/>
          <w:sz w:val="18"/>
          <w:szCs w:val="18"/>
          <w:color w:val="auto"/>
        </w:rPr>
        <w:t>Dated: June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Andrew Stephens</w:t>
      </w:r>
    </w:p>
    <w:p>
      <w:pPr>
        <w:ind w:left="61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General Counsel and Secretary</w:t>
      </w:r>
    </w:p>
    <w:sectPr>
      <w:pgSz w:w="11900" w:h="16838" w:orient="portrait"/>
      <w:cols w:equalWidth="0" w:num="1">
        <w:col w:w="10780"/>
      </w:cols>
      <w:pgMar w:left="320" w:top="89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2021-06-29T12:32:39Z</dcterms:created>
  <dcterms:modified xsi:type="dcterms:W3CDTF">2021-06-29T12:32:39Z</dcterms:modified>
</cp:coreProperties>
</file>