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BERRY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17,002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84,788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11,500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security represents restricted stock units ("RSUs"). Each RSU represents a contingent right to receive one share of Common Stock of the Issuer. This RSU award vests in equal quarterly installments over four years measured from April 1, 2026,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 shares purchased under the Issuer's Employee Stock Purchase Plan on December 15, 2025. Such shares were not previously reportable under Section 16. This number excludes 11,500 shares previously reported as owned directly by the Reporting Person that are instead held by The Berry Family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Berry Family Trust, a revocable trust of which the Reporting Person is a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Gahee Lee,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908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2026-03-19T16:51:40Z</dcterms:created>
  <dcterms:modified xsi:type="dcterms:W3CDTF">2026-03-19T16:51:40Z</dcterms:modified>
</cp:coreProperties>
</file>