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5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 xml:space="preserve">WASHINGTON, DC 20549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p>
      <w:pPr>
        <w:pStyle w:val="TextBody"/>
        <w:bidi w:val="0"/>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(Mark One) </w:t>
      </w:r>
    </w:p>
    <w:p>
      <w:pPr>
        <w:pStyle w:val="TextBody"/>
        <w:bidi w:val="0"/>
        <w:spacing w:lineRule="auto" w:line="288" w:before="0" w:after="120"/>
        <w:jc w:val="left"/>
        <w:rPr/>
      </w:pPr>
      <w:r>
        <w:rPr>
          <w:color w:val="000000"/>
        </w:rPr>
        <w:t>☑    </w:t>
      </w:r>
      <w:r>
        <w:rPr>
          <w:rFonts w:ascii="Times New Roman;sans-serif" w:hAnsi="Times New Roman;sans-serif"/>
          <w:b/>
          <w:color w:val="000000"/>
          <w:sz w:val="22"/>
        </w:rPr>
        <w:t xml:space="preserve">ANNUAL REPORT PURSUANT TO SECTION 13 OR 15(d) OF THE SECURITIES EXCHANGE ACT OF 1934 </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January 31, 2024</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OR </w:t>
      </w:r>
    </w:p>
    <w:p>
      <w:pPr>
        <w:pStyle w:val="TextBody"/>
        <w:bidi w:val="0"/>
        <w:spacing w:lineRule="auto" w:line="288" w:before="0" w:after="120"/>
        <w:jc w:val="left"/>
        <w:rPr/>
      </w:pPr>
      <w:r>
        <w:rPr>
          <w:color w:val="000000"/>
        </w:rPr>
        <w:t>☐    </w:t>
      </w:r>
      <w:r>
        <w:rPr>
          <w:rFonts w:ascii="Times New Roman;sans-serif" w:hAnsi="Times New Roman;sans-serif"/>
          <w:b/>
          <w:color w:val="000000"/>
          <w:sz w:val="22"/>
        </w:rPr>
        <w:t xml:space="preserve">TRANSITION REPORT PURSUANT TO SECTION 13 OR 15(d) OF THE SECURITIES EXCHANGE ACT OF 1934 </w:t>
      </w:r>
    </w:p>
    <w:p>
      <w:pPr>
        <w:pStyle w:val="TextBody"/>
        <w:bidi w:val="0"/>
        <w:spacing w:lineRule="auto" w:line="288" w:before="0" w:after="120"/>
        <w:jc w:val="center"/>
        <w:rPr/>
      </w:pPr>
      <w:r>
        <w:rPr>
          <w:rFonts w:ascii="Times New Roman;sans-serif" w:hAnsi="Times New Roman;sans-serif"/>
          <w:b w:val="false"/>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val="false"/>
          <w:color w:val="000000"/>
          <w:sz w:val="20"/>
        </w:rPr>
        <w:t xml:space="preserve">to </w:t>
      </w:r>
      <w:r>
        <w:rPr>
          <w:color w:val="000000"/>
          <w:u w:val="single"/>
        </w:rPr>
        <w:t>        </w:t>
      </w:r>
    </w:p>
    <w:p>
      <w:pPr>
        <w:pStyle w:val="TextBody"/>
        <w:bidi w:val="0"/>
        <w:spacing w:lineRule="auto" w:line="288" w:before="0" w:after="120"/>
        <w:jc w:val="center"/>
        <w:rPr/>
      </w:pPr>
      <w:r>
        <w:rPr>
          <w:rFonts w:ascii="Times New Roman;sans-serif" w:hAnsi="Times New Roman;sans-serif"/>
          <w:b w:val="false"/>
          <w:color w:val="000000"/>
          <w:sz w:val="20"/>
        </w:rPr>
        <w:t>Commission File Number:</w:t>
      </w:r>
      <w:r>
        <w:rPr>
          <w:color w:val="000000"/>
        </w:rPr>
        <w:t xml:space="preserve"> </w:t>
      </w:r>
      <w:r>
        <w:rPr>
          <w:rFonts w:ascii="Times New Roman;sans-serif" w:hAnsi="Times New Roman;sans-serif"/>
          <w:b/>
          <w:color w:val="000000"/>
          <w:sz w:val="20"/>
        </w:rPr>
        <w:t xml:space="preserve">001-38240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MONGODB, INC. </w:t>
      </w:r>
    </w:p>
    <w:p>
      <w:pPr>
        <w:pStyle w:val="TextBody"/>
        <w:bidi w:val="0"/>
        <w:spacing w:lineRule="auto" w:line="288" w:before="0" w:after="0"/>
        <w:jc w:val="center"/>
        <w:rPr/>
      </w:pPr>
      <w:r>
        <w:rPr>
          <w:rFonts w:ascii="Times New Roman;sans-serif" w:hAnsi="Times New Roman;sans-serif"/>
          <w:b w:val="false"/>
          <w:color w:val="000000"/>
          <w:sz w:val="16"/>
        </w:rPr>
        <w:t>(Exact name of registrant as specified in its charter)</w:t>
      </w:r>
      <w:r>
        <w:rPr>
          <w:color w:val="000000"/>
        </w:rPr>
        <w:t xml:space="preserve"> </w:t>
      </w:r>
    </w:p>
    <w:p>
      <w:pPr>
        <w:pStyle w:val="TextBody"/>
        <w:bidi w:val="0"/>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tbl>
      <w:tblPr>
        <w:tblW w:w="4735" w:type="dxa"/>
        <w:jc w:val="center"/>
        <w:tblInd w:w="0" w:type="dxa"/>
        <w:tblLayout w:type="fixed"/>
        <w:tblCellMar>
          <w:top w:w="28" w:type="dxa"/>
          <w:left w:w="28" w:type="dxa"/>
          <w:bottom w:w="28" w:type="dxa"/>
          <w:right w:w="28" w:type="dxa"/>
        </w:tblCellMar>
      </w:tblPr>
      <w:tblGrid>
        <w:gridCol w:w="592"/>
        <w:gridCol w:w="519"/>
        <w:gridCol w:w="519"/>
        <w:gridCol w:w="425"/>
        <w:gridCol w:w="425"/>
        <w:gridCol w:w="444"/>
        <w:gridCol w:w="109"/>
        <w:gridCol w:w="109"/>
        <w:gridCol w:w="109"/>
        <w:gridCol w:w="433"/>
        <w:gridCol w:w="433"/>
        <w:gridCol w:w="618"/>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26-1463205</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(I.R.S. Employer </w:t>
              <w:br/>
              <w:t>Identification No.)</w:t>
            </w:r>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1633 Broadway</w:t>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38th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10019</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60"/>
        <w:ind w:left="0" w:right="0" w:firstLine="54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646-727-4092 </w:t>
      </w:r>
    </w:p>
    <w:p>
      <w:pPr>
        <w:pStyle w:val="TextBody"/>
        <w:bidi w:val="0"/>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before="0" w:after="0"/>
        <w:ind w:left="0" w:right="0" w:firstLine="54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12(g) of the Act: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(Title of class)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12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120"/>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12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12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9115" w:type="dxa"/>
        <w:jc w:val="center"/>
        <w:tblInd w:w="0" w:type="dxa"/>
        <w:tblLayout w:type="fixed"/>
        <w:tblCellMar>
          <w:top w:w="28" w:type="dxa"/>
          <w:left w:w="28" w:type="dxa"/>
          <w:bottom w:w="28" w:type="dxa"/>
          <w:right w:w="28" w:type="dxa"/>
        </w:tblCellMar>
      </w:tblPr>
      <w:tblGrid>
        <w:gridCol w:w="868"/>
        <w:gridCol w:w="763"/>
        <w:gridCol w:w="768"/>
        <w:gridCol w:w="1353"/>
        <w:gridCol w:w="1353"/>
        <w:gridCol w:w="1358"/>
        <w:gridCol w:w="759"/>
        <w:gridCol w:w="759"/>
        <w:gridCol w:w="762"/>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120"/>
              <w:jc w:val="left"/>
              <w:rPr/>
            </w:pPr>
            <w:r>
              <w:rPr>
                <w:color w:val="000000"/>
              </w:rPr>
              <w:t>☐   </w:t>
            </w:r>
            <w:r>
              <w:rPr>
                <w:rFonts w:ascii="Times New Roman;sans-serif" w:hAnsi="Times New Roman;sans-serif"/>
                <w:b w:val="false"/>
                <w:color w:val="000000"/>
                <w:sz w:val="20"/>
              </w:rPr>
              <w:t>(Do not check if a small reporting company)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0" w:after="120"/>
        <w:jc w:val="left"/>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76"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76"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pStyle w:val="TextBody"/>
        <w:bidi w:val="0"/>
        <w:spacing w:lineRule="auto" w:line="276" w:before="0" w:after="12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held by non-affiliates of the registrant, based on the closing price of the registrant’s shares of common stock as reported by The Nasdaq Global Market on July 31, 2023 (the last business day of the registrant’s second fiscal quarter), was approximately $29.1 billion.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13, 2024, there were 72,831,108 shares of the registrant’s common stock, par value $0.001 per share, outstanding.</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relating to its 2024 annual meeting of shareholders (the “2024 Proxy Statement”) are incorporated by reference into Part III of this Annual Report on Form 10-K where indicated. The 2024 Proxy Statement will be filed with the U.S. Securities and Exchange Commission within 120 days after the end of the registrant’s fiscal year ended January 31,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January 31, 2024 </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89"/>
        <w:gridCol w:w="254"/>
        <w:gridCol w:w="255"/>
        <w:gridCol w:w="2965"/>
        <w:gridCol w:w="2955"/>
        <w:gridCol w:w="2973"/>
        <w:gridCol w:w="149"/>
        <w:gridCol w:w="149"/>
        <w:gridCol w:w="216"/>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00"/>
              <w:ind w:left="0" w:right="0" w:hanging="135"/>
              <w:jc w:val="center"/>
              <w:rPr/>
            </w:pPr>
            <w:hyperlink w:anchor="if037d429900d4d61abd62467a6714403_10">
              <w:r>
                <w:rPr>
                  <w:rStyle w:val="InternetLink"/>
                  <w:rFonts w:ascii="Times New Roman;sans-serif" w:hAnsi="Times New Roman;sans-serif"/>
                  <w:b/>
                  <w:color w:val="0000FF"/>
                  <w:sz w:val="20"/>
                  <w:u w:val="single"/>
                </w:rPr>
                <w:t>PART I</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3">
              <w:r>
                <w:rPr>
                  <w:rStyle w:val="InternetLink"/>
                  <w:rFonts w:ascii="Times New Roman;sans-serif" w:hAnsi="Times New Roman;sans-serif"/>
                  <w:b w:val="false"/>
                  <w:color w:val="0000FF"/>
                  <w:sz w:val="20"/>
                  <w:u w:val="single"/>
                </w:rPr>
                <w:t>Item 1.</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3">
              <w:r>
                <w:rPr>
                  <w:rStyle w:val="InternetLink"/>
                  <w:rFonts w:ascii="Times New Roman;sans-serif" w:hAnsi="Times New Roman;sans-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3">
              <w:r>
                <w:rPr>
                  <w:rStyle w:val="InternetLink"/>
                  <w:rFonts w:ascii="Times New Roman;sans-serif" w:hAnsi="Times New Roman;sans-serif"/>
                  <w:b w:val="false"/>
                  <w:color w:val="0000FF"/>
                  <w:sz w:val="20"/>
                  <w:u w:val="single"/>
                </w:rPr>
                <w:t>2</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6">
              <w:r>
                <w:rPr>
                  <w:rStyle w:val="InternetLink"/>
                  <w:rFonts w:ascii="Times New Roman;sans-serif" w:hAnsi="Times New Roman;sans-serif"/>
                  <w:b w:val="false"/>
                  <w:color w:val="0000FF"/>
                  <w:sz w:val="20"/>
                  <w:u w:val="single"/>
                </w:rPr>
                <w:t>Item 1A.</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6">
              <w:r>
                <w:rPr>
                  <w:rStyle w:val="InternetLink"/>
                  <w:rFonts w:ascii="Times New Roman;sans-serif" w:hAnsi="Times New Roman;sans-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6">
              <w:r>
                <w:rPr>
                  <w:rStyle w:val="InternetLink"/>
                  <w:rFonts w:ascii="Times New Roman;sans-serif" w:hAnsi="Times New Roman;sans-serif"/>
                  <w:b w:val="false"/>
                  <w:color w:val="0000FF"/>
                  <w:sz w:val="20"/>
                  <w:u w:val="single"/>
                </w:rPr>
                <w:t>14</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9">
              <w:r>
                <w:rPr>
                  <w:rStyle w:val="InternetLink"/>
                  <w:rFonts w:ascii="Times New Roman;sans-serif" w:hAnsi="Times New Roman;sans-serif"/>
                  <w:b w:val="false"/>
                  <w:color w:val="0000FF"/>
                  <w:sz w:val="20"/>
                  <w:u w:val="single"/>
                </w:rPr>
                <w:t>Item 1B.</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9">
              <w:r>
                <w:rPr>
                  <w:rStyle w:val="InternetLink"/>
                  <w:rFonts w:ascii="Times New Roman;sans-serif" w:hAnsi="Times New Roman;sans-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9">
              <w:r>
                <w:rPr>
                  <w:rStyle w:val="InternetLink"/>
                  <w:rFonts w:ascii="Times New Roman;sans-serif" w:hAnsi="Times New Roman;sans-serif"/>
                  <w:b w:val="false"/>
                  <w:color w:val="0000FF"/>
                  <w:sz w:val="20"/>
                  <w:u w:val="single"/>
                </w:rPr>
                <w:t>47</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099511629305">
              <w:r>
                <w:rPr>
                  <w:rStyle w:val="InternetLink"/>
                  <w:rFonts w:ascii="Times New Roman;sans-serif" w:hAnsi="Times New Roman;sans-serif"/>
                  <w:b w:val="false"/>
                  <w:color w:val="0000FF"/>
                  <w:sz w:val="20"/>
                  <w:u w:val="single"/>
                </w:rPr>
                <w:t>Item 1C.</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099511629305">
              <w:r>
                <w:rPr>
                  <w:rStyle w:val="InternetLink"/>
                  <w:rFonts w:ascii="Times New Roman;sans-serif" w:hAnsi="Times New Roman;sans-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099511629305">
              <w:r>
                <w:rPr>
                  <w:rStyle w:val="InternetLink"/>
                  <w:rFonts w:ascii="Times New Roman;sans-serif" w:hAnsi="Times New Roman;sans-serif"/>
                  <w:b w:val="false"/>
                  <w:color w:val="0000FF"/>
                  <w:sz w:val="20"/>
                  <w:u w:val="single"/>
                </w:rPr>
                <w:t>46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22">
              <w:r>
                <w:rPr>
                  <w:rStyle w:val="InternetLink"/>
                  <w:rFonts w:ascii="Times New Roman;sans-serif" w:hAnsi="Times New Roman;sans-serif"/>
                  <w:b w:val="false"/>
                  <w:color w:val="0000FF"/>
                  <w:sz w:val="20"/>
                  <w:u w:val="single"/>
                </w:rPr>
                <w:t>Item 2.</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22">
              <w:r>
                <w:rPr>
                  <w:rStyle w:val="InternetLink"/>
                  <w:rFonts w:ascii="Times New Roman;sans-serif" w:hAnsi="Times New Roman;sans-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22">
              <w:r>
                <w:rPr>
                  <w:rStyle w:val="InternetLink"/>
                  <w:rFonts w:ascii="Times New Roman;sans-serif" w:hAnsi="Times New Roman;sans-serif"/>
                  <w:b w:val="false"/>
                  <w:color w:val="0000FF"/>
                  <w:sz w:val="20"/>
                  <w:u w:val="single"/>
                </w:rPr>
                <w:t>48</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25">
              <w:r>
                <w:rPr>
                  <w:rStyle w:val="InternetLink"/>
                  <w:rFonts w:ascii="Times New Roman;sans-serif" w:hAnsi="Times New Roman;sans-serif"/>
                  <w:b w:val="false"/>
                  <w:color w:val="0000FF"/>
                  <w:sz w:val="20"/>
                  <w:u w:val="single"/>
                </w:rPr>
                <w:t>Item 3.</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25">
              <w:r>
                <w:rPr>
                  <w:rStyle w:val="InternetLink"/>
                  <w:rFonts w:ascii="Times New Roman;sans-serif" w:hAnsi="Times New Roman;sans-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25">
              <w:r>
                <w:rPr>
                  <w:rStyle w:val="InternetLink"/>
                  <w:rFonts w:ascii="Times New Roman;sans-serif" w:hAnsi="Times New Roman;sans-serif"/>
                  <w:b w:val="false"/>
                  <w:color w:val="0000FF"/>
                  <w:sz w:val="20"/>
                  <w:u w:val="single"/>
                </w:rPr>
                <w:t>49</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28">
              <w:r>
                <w:rPr>
                  <w:rStyle w:val="InternetLink"/>
                  <w:rFonts w:ascii="Times New Roman;sans-serif" w:hAnsi="Times New Roman;sans-serif"/>
                  <w:b w:val="false"/>
                  <w:color w:val="0000FF"/>
                  <w:sz w:val="20"/>
                  <w:u w:val="single"/>
                </w:rPr>
                <w:t>Item 4.</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28">
              <w:r>
                <w:rPr>
                  <w:rStyle w:val="InternetLink"/>
                  <w:rFonts w:ascii="Times New Roman;sans-serif" w:hAnsi="Times New Roman;sans-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28">
              <w:r>
                <w:rPr>
                  <w:rStyle w:val="InternetLink"/>
                  <w:rFonts w:ascii="Times New Roman;sans-serif" w:hAnsi="Times New Roman;sans-serif"/>
                  <w:b w:val="false"/>
                  <w:color w:val="0000FF"/>
                  <w:sz w:val="20"/>
                  <w:u w:val="single"/>
                </w:rPr>
                <w:t>49</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00"/>
              <w:ind w:left="0" w:right="0" w:hanging="135"/>
              <w:jc w:val="center"/>
              <w:rPr/>
            </w:pPr>
            <w:hyperlink w:anchor="if037d429900d4d61abd62467a6714403_31">
              <w:r>
                <w:rPr>
                  <w:rStyle w:val="InternetLink"/>
                  <w:rFonts w:ascii="Times New Roman;sans-serif" w:hAnsi="Times New Roman;sans-serif"/>
                  <w:b/>
                  <w:color w:val="0000FF"/>
                  <w:sz w:val="20"/>
                  <w:u w:val="single"/>
                </w:rPr>
                <w:t>PART II</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34">
              <w:r>
                <w:rPr>
                  <w:rStyle w:val="InternetLink"/>
                  <w:rFonts w:ascii="Times New Roman;sans-serif" w:hAnsi="Times New Roman;sans-serif"/>
                  <w:b w:val="false"/>
                  <w:color w:val="0000FF"/>
                  <w:sz w:val="20"/>
                  <w:u w:val="single"/>
                </w:rPr>
                <w:t>Item 5.</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3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34">
              <w:r>
                <w:rPr>
                  <w:rStyle w:val="InternetLink"/>
                  <w:rFonts w:ascii="Times New Roman;sans-serif" w:hAnsi="Times New Roman;sans-serif"/>
                  <w:b w:val="false"/>
                  <w:color w:val="0000FF"/>
                  <w:sz w:val="20"/>
                  <w:u w:val="single"/>
                </w:rPr>
                <w:t>50</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37">
              <w:r>
                <w:rPr>
                  <w:rStyle w:val="InternetLink"/>
                  <w:rFonts w:ascii="Times New Roman;sans-serif" w:hAnsi="Times New Roman;sans-serif"/>
                  <w:b w:val="false"/>
                  <w:color w:val="0000FF"/>
                  <w:sz w:val="20"/>
                  <w:u w:val="single"/>
                </w:rPr>
                <w:t>Item 6.</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37">
              <w:r>
                <w:rPr>
                  <w:rStyle w:val="InternetLink"/>
                  <w:rFonts w:ascii="Times New Roman;sans-serif" w:hAnsi="Times New Roman;sans-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37">
              <w:r>
                <w:rPr>
                  <w:rStyle w:val="InternetLink"/>
                  <w:rFonts w:ascii="Times New Roman;sans-serif" w:hAnsi="Times New Roman;sans-serif"/>
                  <w:b w:val="false"/>
                  <w:color w:val="0000FF"/>
                  <w:sz w:val="20"/>
                  <w:u w:val="single"/>
                </w:rPr>
                <w:t>51</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40">
              <w:r>
                <w:rPr>
                  <w:rStyle w:val="InternetLink"/>
                  <w:rFonts w:ascii="Times New Roman;sans-serif" w:hAnsi="Times New Roman;sans-serif"/>
                  <w:b w:val="false"/>
                  <w:color w:val="0000FF"/>
                  <w:sz w:val="20"/>
                  <w:u w:val="single"/>
                </w:rPr>
                <w:t>Item 7.</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4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40">
              <w:r>
                <w:rPr>
                  <w:rStyle w:val="InternetLink"/>
                  <w:rFonts w:ascii="Times New Roman;sans-serif" w:hAnsi="Times New Roman;sans-serif"/>
                  <w:b w:val="false"/>
                  <w:color w:val="0000FF"/>
                  <w:sz w:val="20"/>
                  <w:u w:val="single"/>
                </w:rPr>
                <w:t>52</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76">
              <w:r>
                <w:rPr>
                  <w:rStyle w:val="InternetLink"/>
                  <w:rFonts w:ascii="Times New Roman;sans-serif" w:hAnsi="Times New Roman;sans-serif"/>
                  <w:b w:val="false"/>
                  <w:color w:val="0000FF"/>
                  <w:sz w:val="20"/>
                  <w:u w:val="single"/>
                </w:rPr>
                <w:t>Item 7A.</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76">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76">
              <w:r>
                <w:rPr>
                  <w:rStyle w:val="InternetLink"/>
                  <w:rFonts w:ascii="Times New Roman;sans-serif" w:hAnsi="Times New Roman;sans-serif"/>
                  <w:b w:val="false"/>
                  <w:color w:val="0000FF"/>
                  <w:sz w:val="20"/>
                  <w:u w:val="single"/>
                </w:rPr>
                <w:t>64</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79">
              <w:r>
                <w:rPr>
                  <w:rStyle w:val="InternetLink"/>
                  <w:rFonts w:ascii="Times New Roman;sans-serif" w:hAnsi="Times New Roman;sans-serif"/>
                  <w:b w:val="false"/>
                  <w:color w:val="0000FF"/>
                  <w:sz w:val="20"/>
                  <w:u w:val="single"/>
                </w:rPr>
                <w:t>Item 8.</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79">
              <w:r>
                <w:rPr>
                  <w:rStyle w:val="InternetLink"/>
                  <w:rFonts w:ascii="Times New Roman;sans-serif" w:hAnsi="Times New Roman;sans-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79">
              <w:r>
                <w:rPr>
                  <w:rStyle w:val="InternetLink"/>
                  <w:rFonts w:ascii="Times New Roman;sans-serif" w:hAnsi="Times New Roman;sans-serif"/>
                  <w:b w:val="false"/>
                  <w:color w:val="0000FF"/>
                  <w:sz w:val="20"/>
                  <w:u w:val="single"/>
                </w:rPr>
                <w:t>66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54">
              <w:r>
                <w:rPr>
                  <w:rStyle w:val="InternetLink"/>
                  <w:rFonts w:ascii="Times New Roman;sans-serif" w:hAnsi="Times New Roman;sans-serif"/>
                  <w:b w:val="false"/>
                  <w:color w:val="0000FF"/>
                  <w:sz w:val="20"/>
                  <w:u w:val="single"/>
                </w:rPr>
                <w:t>Item 9.</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5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54">
              <w:r>
                <w:rPr>
                  <w:rStyle w:val="InternetLink"/>
                  <w:rFonts w:ascii="Times New Roman;sans-serif" w:hAnsi="Times New Roman;sans-serif"/>
                  <w:b w:val="false"/>
                  <w:color w:val="0000FF"/>
                  <w:sz w:val="20"/>
                  <w:u w:val="single"/>
                </w:rPr>
                <w:t>104</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57">
              <w:r>
                <w:rPr>
                  <w:rStyle w:val="InternetLink"/>
                  <w:rFonts w:ascii="Times New Roman;sans-serif" w:hAnsi="Times New Roman;sans-serif"/>
                  <w:b w:val="false"/>
                  <w:color w:val="0000FF"/>
                  <w:sz w:val="20"/>
                  <w:u w:val="single"/>
                </w:rPr>
                <w:t>Item 9A.</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57">
              <w:r>
                <w:rPr>
                  <w:rStyle w:val="InternetLink"/>
                  <w:rFonts w:ascii="Times New Roman;sans-serif" w:hAnsi="Times New Roman;sans-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57">
              <w:r>
                <w:rPr>
                  <w:rStyle w:val="InternetLink"/>
                  <w:rFonts w:ascii="Times New Roman;sans-serif" w:hAnsi="Times New Roman;sans-serif"/>
                  <w:b w:val="false"/>
                  <w:color w:val="0000FF"/>
                  <w:sz w:val="20"/>
                  <w:u w:val="single"/>
                </w:rPr>
                <w:t>104</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60">
              <w:r>
                <w:rPr>
                  <w:rStyle w:val="InternetLink"/>
                  <w:rFonts w:ascii="Times New Roman;sans-serif" w:hAnsi="Times New Roman;sans-serif"/>
                  <w:b w:val="false"/>
                  <w:color w:val="0000FF"/>
                  <w:sz w:val="20"/>
                  <w:u w:val="single"/>
                </w:rPr>
                <w:t>Item 9B.</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60">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60">
              <w:r>
                <w:rPr>
                  <w:rStyle w:val="InternetLink"/>
                  <w:rFonts w:ascii="Times New Roman;sans-serif" w:hAnsi="Times New Roman;sans-serif"/>
                  <w:b w:val="false"/>
                  <w:color w:val="0000FF"/>
                  <w:sz w:val="20"/>
                  <w:u w:val="single"/>
                </w:rPr>
                <w:t>105</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63">
              <w:r>
                <w:rPr>
                  <w:rStyle w:val="InternetLink"/>
                  <w:rFonts w:ascii="Times New Roman;sans-serif" w:hAnsi="Times New Roman;sans-serif"/>
                  <w:b w:val="false"/>
                  <w:color w:val="0000FF"/>
                  <w:sz w:val="20"/>
                  <w:u w:val="single"/>
                </w:rPr>
                <w:t>Item 9C.</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63">
              <w:r>
                <w:rPr>
                  <w:rStyle w:val="InternetLink"/>
                  <w:rFonts w:ascii="Times New Roman;sans-serif" w:hAnsi="Times New Roman;sans-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63">
              <w:r>
                <w:rPr>
                  <w:rStyle w:val="InternetLink"/>
                  <w:rFonts w:ascii="Times New Roman;sans-serif" w:hAnsi="Times New Roman;sans-serif"/>
                  <w:b w:val="false"/>
                  <w:color w:val="0000FF"/>
                  <w:sz w:val="20"/>
                  <w:u w:val="single"/>
                </w:rPr>
                <w:t>105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00"/>
              <w:ind w:left="0" w:right="0" w:hanging="135"/>
              <w:jc w:val="center"/>
              <w:rPr/>
            </w:pPr>
            <w:hyperlink w:anchor="if037d429900d4d61abd62467a6714403_166">
              <w:r>
                <w:rPr>
                  <w:rStyle w:val="InternetLink"/>
                  <w:rFonts w:ascii="Times New Roman;sans-serif" w:hAnsi="Times New Roman;sans-serif"/>
                  <w:b/>
                  <w:color w:val="0000FF"/>
                  <w:sz w:val="20"/>
                  <w:u w:val="single"/>
                </w:rPr>
                <w:t>PART III</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69">
              <w:r>
                <w:rPr>
                  <w:rStyle w:val="InternetLink"/>
                  <w:rFonts w:ascii="Times New Roman;sans-serif" w:hAnsi="Times New Roman;sans-serif"/>
                  <w:b w:val="false"/>
                  <w:color w:val="0000FF"/>
                  <w:sz w:val="20"/>
                  <w:u w:val="single"/>
                </w:rPr>
                <w:t>Item 10.</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69">
              <w:r>
                <w:rPr>
                  <w:rStyle w:val="InternetLink"/>
                  <w:rFonts w:ascii="Times New Roman;sans-serif" w:hAnsi="Times New Roman;sans-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69">
              <w:r>
                <w:rPr>
                  <w:rStyle w:val="InternetLink"/>
                  <w:rFonts w:ascii="Times New Roman;sans-serif" w:hAnsi="Times New Roman;sans-serif"/>
                  <w:b w:val="false"/>
                  <w:color w:val="0000FF"/>
                  <w:sz w:val="20"/>
                  <w:u w:val="single"/>
                </w:rPr>
                <w:t>106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72">
              <w:r>
                <w:rPr>
                  <w:rStyle w:val="InternetLink"/>
                  <w:rFonts w:ascii="Times New Roman;sans-serif" w:hAnsi="Times New Roman;sans-serif"/>
                  <w:b w:val="false"/>
                  <w:color w:val="0000FF"/>
                  <w:sz w:val="20"/>
                  <w:u w:val="single"/>
                </w:rPr>
                <w:t>Item 11.</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72">
              <w:r>
                <w:rPr>
                  <w:rStyle w:val="InternetLink"/>
                  <w:rFonts w:ascii="Times New Roman;sans-serif" w:hAnsi="Times New Roman;sans-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72">
              <w:r>
                <w:rPr>
                  <w:rStyle w:val="InternetLink"/>
                  <w:rFonts w:ascii="Times New Roman;sans-serif" w:hAnsi="Times New Roman;sans-serif"/>
                  <w:b w:val="false"/>
                  <w:color w:val="0000FF"/>
                  <w:sz w:val="20"/>
                  <w:u w:val="single"/>
                </w:rPr>
                <w:t>106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75">
              <w:r>
                <w:rPr>
                  <w:rStyle w:val="InternetLink"/>
                  <w:rFonts w:ascii="Times New Roman;sans-serif" w:hAnsi="Times New Roman;sans-serif"/>
                  <w:b w:val="false"/>
                  <w:color w:val="0000FF"/>
                  <w:sz w:val="20"/>
                  <w:u w:val="single"/>
                </w:rPr>
                <w:t>Item 12.</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7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75">
              <w:r>
                <w:rPr>
                  <w:rStyle w:val="InternetLink"/>
                  <w:rFonts w:ascii="Times New Roman;sans-serif" w:hAnsi="Times New Roman;sans-serif"/>
                  <w:b w:val="false"/>
                  <w:color w:val="0000FF"/>
                  <w:sz w:val="20"/>
                  <w:u w:val="single"/>
                </w:rPr>
                <w:t>106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78">
              <w:r>
                <w:rPr>
                  <w:rStyle w:val="InternetLink"/>
                  <w:rFonts w:ascii="Times New Roman;sans-serif" w:hAnsi="Times New Roman;sans-serif"/>
                  <w:b w:val="false"/>
                  <w:color w:val="0000FF"/>
                  <w:sz w:val="20"/>
                  <w:u w:val="single"/>
                </w:rPr>
                <w:t>Item 13.</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7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78">
              <w:r>
                <w:rPr>
                  <w:rStyle w:val="InternetLink"/>
                  <w:rFonts w:ascii="Times New Roman;sans-serif" w:hAnsi="Times New Roman;sans-serif"/>
                  <w:b w:val="false"/>
                  <w:color w:val="0000FF"/>
                  <w:sz w:val="20"/>
                  <w:u w:val="single"/>
                </w:rPr>
                <w:t>106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81">
              <w:r>
                <w:rPr>
                  <w:rStyle w:val="InternetLink"/>
                  <w:rFonts w:ascii="Times New Roman;sans-serif" w:hAnsi="Times New Roman;sans-serif"/>
                  <w:b w:val="false"/>
                  <w:color w:val="0000FF"/>
                  <w:sz w:val="20"/>
                  <w:u w:val="single"/>
                </w:rPr>
                <w:t>Item 14.</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81">
              <w:r>
                <w:rPr>
                  <w:rStyle w:val="InternetLink"/>
                  <w:rFonts w:ascii="Times New Roman;sans-serif" w:hAnsi="Times New Roman;sans-serif"/>
                  <w:b w:val="false"/>
                  <w:color w:val="0000FF"/>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81">
              <w:r>
                <w:rPr>
                  <w:rStyle w:val="InternetLink"/>
                  <w:rFonts w:ascii="Times New Roman;sans-serif" w:hAnsi="Times New Roman;sans-serif"/>
                  <w:b w:val="false"/>
                  <w:color w:val="0000FF"/>
                  <w:sz w:val="20"/>
                  <w:u w:val="single"/>
                </w:rPr>
                <w:t>106</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100"/>
              <w:ind w:left="0" w:right="0" w:hanging="135"/>
              <w:jc w:val="center"/>
              <w:rPr/>
            </w:pPr>
            <w:hyperlink w:anchor="if037d429900d4d61abd62467a6714403_184">
              <w:r>
                <w:rPr>
                  <w:rStyle w:val="InternetLink"/>
                  <w:rFonts w:ascii="Times New Roman;sans-serif" w:hAnsi="Times New Roman;sans-serif"/>
                  <w:b/>
                  <w:color w:val="0000FF"/>
                  <w:sz w:val="20"/>
                  <w:u w:val="single"/>
                </w:rPr>
                <w:t>PART IV</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if037d429900d4d61abd62467a6714403_187">
              <w:r>
                <w:rPr>
                  <w:rStyle w:val="InternetLink"/>
                  <w:rFonts w:ascii="Times New Roman;sans-serif" w:hAnsi="Times New Roman;sans-serif"/>
                  <w:b w:val="false"/>
                  <w:color w:val="0000FF"/>
                  <w:sz w:val="20"/>
                  <w:u w:val="single"/>
                </w:rPr>
                <w:t>Item 15.</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87">
              <w:r>
                <w:rPr>
                  <w:rStyle w:val="InternetLink"/>
                  <w:rFonts w:ascii="Times New Roman;sans-serif" w:hAnsi="Times New Roman;sans-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87">
              <w:r>
                <w:rPr>
                  <w:rStyle w:val="InternetLink"/>
                  <w:rFonts w:ascii="Times New Roman;sans-serif" w:hAnsi="Times New Roman;sans-serif"/>
                  <w:b w:val="false"/>
                  <w:color w:val="0000FF"/>
                  <w:sz w:val="20"/>
                  <w:u w:val="single"/>
                </w:rPr>
                <w:t>107</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93">
              <w:r>
                <w:rPr>
                  <w:rStyle w:val="InternetLink"/>
                  <w:rFonts w:ascii="Times New Roman;sans-serif" w:hAnsi="Times New Roman;sans-serif"/>
                  <w:b w:val="false"/>
                  <w:color w:val="0000FF"/>
                  <w:sz w:val="20"/>
                  <w:u w:val="single"/>
                </w:rPr>
                <w:t>Item 16.</w:t>
              </w:r>
            </w:hyperlink>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93">
              <w:r>
                <w:rPr>
                  <w:rStyle w:val="InternetLink"/>
                  <w:rFonts w:ascii="Times New Roman;sans-serif" w:hAnsi="Times New Roman;sans-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93">
              <w:r>
                <w:rPr>
                  <w:rStyle w:val="InternetLink"/>
                  <w:rFonts w:ascii="Times New Roman;sans-serif" w:hAnsi="Times New Roman;sans-serif"/>
                  <w:b w:val="false"/>
                  <w:color w:val="0000FF"/>
                  <w:sz w:val="20"/>
                  <w:u w:val="single"/>
                </w:rPr>
                <w:t>110</w:t>
              </w:r>
            </w:hyperlink>
          </w:p>
        </w:tc>
      </w:tr>
    </w:tbl>
    <w:p>
      <w:pPr>
        <w:pStyle w:val="TextBody"/>
        <w:bidi w:val="0"/>
        <w:spacing w:before="0" w:after="180"/>
        <w:ind w:left="0" w:right="0" w:firstLine="540"/>
        <w:jc w:val="left"/>
        <w:rPr/>
      </w:pPr>
      <w:r>
        <w:rPr/>
      </w:r>
    </w:p>
    <w:p>
      <w:pPr>
        <w:pStyle w:val="TextBody"/>
        <w:bidi w:val="0"/>
        <w:spacing w:before="0" w:after="18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otherwise indicates, references in this report to the terms “MongoDB,” the “Company,” “we,” “our” and “us”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bidi w:val="0"/>
        <w:spacing w:lineRule="auto" w:line="288" w:before="0" w:after="180"/>
        <w:ind w:left="0" w:right="0" w:firstLine="540"/>
        <w:jc w:val="left"/>
        <w:rPr>
          <w:color w:val="000000"/>
        </w:rPr>
      </w:pPr>
      <w:r>
        <w:rPr>
          <w:color w:val="000000"/>
        </w:rPr>
        <w:t>“</w:t>
      </w:r>
      <w:r>
        <w:rPr>
          <w:rFonts w:ascii="Times New Roman;sans-serif" w:hAnsi="Times New Roman;sans-serif"/>
          <w:b w:val="false"/>
          <w:color w:val="000000"/>
          <w:sz w:val="20"/>
        </w:rPr>
        <w:t>MongoDB” and the MongoDB leaf logo and other trademarks or service marks of MongoDB, Inc. appearing in this Annual Report on Form 10-K (this “Form 10-K”) are the property of MongoDB, Inc. This Form 10-K contains additional trade names, trademarks and service marks of others, which are the property of their respective owners. Solely for convenience, trademarks and trade names referred to in this Form 10-K may appear without the ® or ™ symbols.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present and historical facts and conditions contained in this Form 10-K, including statements regarding our future results of operations and financial position, business strategy, plans and our objectives for future operations, are forward-looking statements. In some cases, you can identify forward-looking statements by terminology such as “anticipate,” “believe,” “can,” “continue,” “could,” “estimate,” “expect,” “intend,” “may,” “might,” “objective,” “ongoing,” “plan,” “potential,” “predict,” “project,” “should,” “will,” or “would,” or the negative or plural of these terms or other comparable terminology. Actual events or results may differ from those expressed in these forward-looking statements and these differences may be material and adverse. Forward-looking statements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future operating and financial performance, ability to generate positive cash flow and ability to achieve and sustain profitability;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successfully anticipate and satisfy customer demands, including through the introduction of new features, products or services and the provision of professional services;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effects of increased competition in our market;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expand our sales and marketing organization and to scale our business, including entering into new markets and managing our international expansion;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negative economic, business and political conditions, including as a result of the interest rate environment and inflationary pressures that adversely affect the general economy, the job market, consumer confidence and spending habits;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effects of geopolitical instability, including as a result of the Israel-Hamas conflict and Russia’s invasion of Ukraine and the imposition of sanctions on Russia and other actions in response, on economic and market conditions, and heightened cybersecurity risks;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future trading prices of our common stock and the impact of securities analysts’ reports and macroeconomic trends on these prices;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continue to build and maintain credibility with the developer community;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and retain customers to use our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maintain, protect, enforce and enhance our intellectual property;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effects of social, ethical and regulatory issues relating to the use of new and evolving technologies, such as artificial intelligence, in our offerings or partnerships;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growth and expansion of the market for database products and our ability to penetrate such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72160"/>
                <wp:effectExtent l="0" t="0" r="0" b="0"/>
                <wp:wrapNone/>
                <wp:docPr id="4" name="Frame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the security of our software and adequately address privacy concerns;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implement security measures designed to protect against security breaches and other security incidents involving us or our third-party service providers;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accurately forecast our sales cycle and make changes to our pricing model;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form new and expand existing strategic partnerships;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attraction and retention of highly skilled and key personnel;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enhance our brand;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effectively manage our growth and future expenses and maintain our corporate culture;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comply with modified or new laws and regulations applying to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 forward-looking statements contained in this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Form 10-K. These risks are not exhaustive. Other sections of this Form 10-K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Form 10-K relate only to events as of the date on which such statements are made. We undertake no obligation to update any forward-looking statements after the date of this Form 10-K or to conform such statements to actual results or revised expectations, except as required by law.</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is the developer data platform company whose mission is to empower developers to create, transform, and disrupt industries by unleashing the power of software and data. Our developer data platform is an integrated set of database and related services that allow development teams to address the growing variety of modern application requirements, all in a unified and consistent user experience.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foundation of our platform is the world’s leading, modern general purpose database. Built on our unique document-based architecture, our database is designed to meet the needs of organizations for performance, scalability,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72160"/>
                <wp:effectExtent l="0" t="0" r="0" b="0"/>
                <wp:wrapNone/>
                <wp:docPr id="5" name="Frame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flexibility and reliability while maintaining the strengths of relational databases. Every software application requires a database to store, organize and process data. Large organizations can have tens of thousands of applications and associated databases. A database directly impacts an application's performance, scalability, flexibility and reliability. As a result, selecting a database is a highly strategic decision that directly affects developer productivity, application performance and organizational competitiveness.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database market is dominated by legacy relational databases, which were first developed in the 1970s. Their underlying architecture remains largely unchanged even though the nature of applications, how they are deployed and their role in business has evolved dramatically. Modern software development is highly iterative and requires flexibility. Relational databases were not built to support the volume, variety and speed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and were not designed for “always-on” globally distributed deployments. These factors have left developers and their organizations in need of more agile and effective database alternatives. A number of non-relational database alternatives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database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more naturally, making it easy and intuitive for developers to rapidly and cost-effectively build, modernize, deploy and maintain applications, thereby increasing the pace of innovation within an organization. Customers can run our database in any environment, depending on their operational requirements: fully managed as a service or self-managed in the cloud, on-premises or in a hybrid environment.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generative artificial intelligence (“AI”) emerged as a significant technology trend. Generative AI is the process of generating original content by using foundation models (“FMs”), which are trained on large amounts of generally available data. Organizations of all sizes are looking at how to use their proprietary data in concert with FMs to drive better, AI-powered experiences for their customers. Organizations need a modern database to securely build, deploy, and scale generative AI applications. We believe our database’s document-based architecture and its run-anywhere capabilities provide organizations the flexibility they need to securely build and deploy truly innovative AI-powered applications, at any scale.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database offering, our developer data platform includes additional capabilities that allow developers to address a broader range of application requirements. Our platform’s integrated capabilities allow organizations to reduce the need for disparate, single-purpose data technologies, thereby lowering the cost and complexity of their application infrastructure. These complementary capabilities of our platform include:</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Search</w:t>
      </w:r>
      <w:r>
        <w:rPr>
          <w:rFonts w:ascii="Times New Roman;sans-serif" w:hAnsi="Times New Roman;sans-serif"/>
          <w:b w:val="false"/>
          <w:color w:val="000000"/>
          <w:sz w:val="20"/>
        </w:rPr>
        <w:t xml:space="preserve">. Extends the developer interface for working with the database to search operations, simplifying the development of rich search experiences in applications. It also eliminates the need to run a separate search engine alongside the database and maintains the sync between the two systems. </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Vector search</w:t>
      </w:r>
      <w:r>
        <w:rPr>
          <w:rFonts w:ascii="Times New Roman;sans-serif" w:hAnsi="Times New Roman;sans-serif"/>
          <w:b w:val="false"/>
          <w:color w:val="000000"/>
          <w:sz w:val="20"/>
        </w:rPr>
        <w:t>. Enables customers to easily and securely use pre-trained foundation models to leverage their own proprietary, up-to-date data for more accurate and trustworthy AI applications. Atlas Vector Search allows the integration of an operational database and vector search in a unified, and fully managed platform.</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Time series.</w:t>
      </w:r>
      <w:r>
        <w:rPr>
          <w:color w:val="000000"/>
        </w:rPr>
        <w:t xml:space="preserve"> </w:t>
      </w:r>
      <w:r>
        <w:rPr>
          <w:rFonts w:ascii="Times New Roman;sans-serif" w:hAnsi="Times New Roman;sans-serif"/>
          <w:b w:val="false"/>
          <w:color w:val="000000"/>
          <w:sz w:val="20"/>
        </w:rPr>
        <w:t xml:space="preserve">Supports the entire end-to-end cycle of applications that leverage time series data, from ingestion, storage and querying to native data visualization and automated data archival in a single platform, which removes the need for complex integration, thereby increasing efficiency and reducing cost. </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Data lifecycle</w:t>
      </w:r>
      <w:r>
        <w:rPr>
          <w:rFonts w:ascii="Times New Roman;sans-serif" w:hAnsi="Times New Roman;sans-serif"/>
          <w:b w:val="false"/>
          <w:color w:val="000000"/>
          <w:sz w:val="20"/>
        </w:rPr>
        <w:t xml:space="preserve">. Includes capabilities that help users more effectively manage the lifecycle of their application data. For example, MongoDB Atlas Online Archive helps users automatically tier aged data out of the database while keeping the data fully accessible. </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Application-driven analytics</w:t>
      </w:r>
      <w:r>
        <w:rPr>
          <w:rFonts w:ascii="Times New Roman;sans-serif" w:hAnsi="Times New Roman;sans-serif"/>
          <w:b w:val="false"/>
          <w:color w:val="000000"/>
          <w:sz w:val="20"/>
        </w:rPr>
        <w:t>. Includes a wide range of capabilities to help development teams build richer application experiences that rely on automatic, low-latency analytical processing of live data. This includes rich aggregations and indexing strategies, as well as dedicated analytics nodes for workload isolation.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72160"/>
                <wp:effectExtent l="0" t="0" r="0" b="0"/>
                <wp:wrapNone/>
                <wp:docPr id="6" name="Frame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Edge</w:t>
      </w:r>
      <w:r>
        <w:rPr>
          <w:rFonts w:ascii="Times New Roman;sans-serif" w:hAnsi="Times New Roman;sans-serif"/>
          <w:b w:val="false"/>
          <w:color w:val="000000"/>
          <w:sz w:val="20"/>
        </w:rPr>
        <w:t>. Supports application deployments closer to where real-time data is generated, processed and stored across mobile devices, on-premises data centers and major cloud providers. Data is securely stored and synchronized in real time across data sources and destinations to provide highly available, resilient, and reliable applications.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in the database management software market, which is one of the largest in the software industry. According to IDC, the data management software market is forecast to be $94 billion in 2023 growing to approximately $153 billion in 2027, representing a 13% compound annual growth rate. In 2023, a number of companies launched code assistant tools, which leverage generative AI to help developers write and test their code faster, thereby accelerating application development. We believe these developments in coding assistant technology will further benefit the data management software market.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The MongoDB Advantage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key differentiating features and capabilities of our developer data platform include:</w:t>
      </w:r>
    </w:p>
    <w:p>
      <w:pPr>
        <w:pStyle w:val="TextBody"/>
        <w:bidi w:val="0"/>
        <w:spacing w:lineRule="auto" w:line="288" w:before="0" w:after="18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We Built Our Platform for Developers.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was built by developers for developers. We architected our platform with robust 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than legacy alternatives. As a result, developers can focus on the application and end-user experience, as they do not have to spend significant time fixing and maintaining the linkages between the application and a rigid relational database structure. We also develop and maintain drivers in all leading programming languages, allowing developers to interact with our platform using the programming language of their choice, further increasing developer productivity. MongoDB has been named as one of the most desired database technologies for developers since StackOverflow introduced databases as a category in their Annual Developer Survey in 2017.</w:t>
      </w:r>
    </w:p>
    <w:p>
      <w:pPr>
        <w:pStyle w:val="TextBody"/>
        <w:bidi w:val="0"/>
        <w:spacing w:lineRule="auto" w:line="288" w:before="0" w:after="18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We Built a Platform for Modern Applications.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founders were frustrated by the challenges and limitations of working with legacy database offerings. Our platform was built to address these challenges and limits while maintaining the best aspects of relational databases, allowing developers both to build new, modern applications that could not be built on relational databases and to more quickly and easily modernize existing applications. In 2023, we announced the general availability of Relational Migrator, a tool that makes it easier for customers to migrate their existing applications from their legacy relational databases to MongoDB. While the percentage varies from quarter to quarter, over the past fiscal year, approximately one fifth of our new business related to MongoDB Enterprise Advanced, our proprietary commercial database offering, resulted from applications that were migrated from legacy relational databases.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Core features and benefits of our platform include:</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Versatility.</w:t>
      </w:r>
      <w:r>
        <w:rPr>
          <w:color w:val="000000"/>
        </w:rPr>
        <w:t xml:space="preserve"> </w:t>
      </w:r>
      <w:r>
        <w:rPr>
          <w:rFonts w:ascii="Times New Roman;sans-serif" w:hAnsi="Times New Roman;sans-serif"/>
          <w:b w:val="false"/>
          <w:color w:val="000000"/>
          <w:sz w:val="20"/>
        </w:rPr>
        <w:t>Our developer data platform supports a broad range of workloads and offers our customers a host of features and services that complement our database offering. Our platform provides an integrated solution that precludes the need for single-purpose technologies, and allows our customers to reduce the cost and back-end complexity of their application infrastructure, as well as increase the speed of innovation.</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Performance.</w:t>
      </w:r>
      <w:r>
        <w:rPr>
          <w:color w:val="000000"/>
        </w:rPr>
        <w:t xml:space="preserve"> </w:t>
      </w:r>
      <w:r>
        <w:rPr>
          <w:rFonts w:ascii="Times New Roman;sans-serif" w:hAnsi="Times New Roman;sans-serif"/>
          <w:b w:val="false"/>
          <w:color w:val="000000"/>
          <w:sz w:val="20"/>
        </w:rPr>
        <w:t>We deliver the extreme throughput and predictable low-latency required by the most demanding applications, delivering millions of operations per second.</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Scalability.</w:t>
      </w:r>
      <w:r>
        <w:rPr>
          <w:color w:val="000000"/>
        </w:rPr>
        <w:t xml:space="preserve"> </w:t>
      </w:r>
      <w:r>
        <w:rPr>
          <w:rFonts w:ascii="Times New Roman;sans-serif" w:hAnsi="Times New Roman;sans-serif"/>
          <w:b w:val="false"/>
          <w:color w:val="000000"/>
          <w:sz w:val="20"/>
        </w:rPr>
        <w:t>Our architecture scales horizontally across thousands of servers, supporting petabytes of data and millions of users in a globally distributed environment. It is easy to add capacity to our platform in a modular, predictable and cost-efficient manner. Applications can be run anywhere with our global multi-cloud reach.</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Flexibility and Control.</w:t>
      </w:r>
      <w:r>
        <w:rPr>
          <w:color w:val="000000"/>
        </w:rPr>
        <w:t xml:space="preserve"> </w:t>
      </w:r>
      <w:r>
        <w:rPr>
          <w:rFonts w:ascii="Times New Roman;sans-serif" w:hAnsi="Times New Roman;sans-serif"/>
          <w:b w:val="false"/>
          <w:color w:val="000000"/>
          <w:sz w:val="20"/>
        </w:rPr>
        <w:t>MongoDB's intelligent distributed systems architecture enables users to easily place data where their applications and users need it. MongoDB can be run within and across geographically distributed data centers and cloud regions, providing levels of scalability, workload isolation and data locality to meet today's modern application requirements.</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Reliability.</w:t>
      </w:r>
      <w:r>
        <w:rPr>
          <w:color w:val="000000"/>
        </w:rPr>
        <w:t xml:space="preserve"> </w:t>
      </w:r>
      <w:r>
        <w:rPr>
          <w:rFonts w:ascii="Times New Roman;sans-serif" w:hAnsi="Times New Roman;sans-serif"/>
          <w:b w:val="false"/>
          <w:color w:val="000000"/>
          <w:sz w:val="20"/>
        </w:rPr>
        <w:t xml:space="preserve">Our platform includes the critical, advanced security features and fault-tolerance that enterprises demand. It was built to operate in a globally distributed environment for “always-on” applications. Our multi-cloud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72160"/>
                <wp:effectExtent l="0" t="0" r="0" b="0"/>
                <wp:wrapNone/>
                <wp:docPr id="7" name="Frame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global reach empowers applications to withstand regional outages while addressing the most demanding data security and privacy requirements.</w:t>
      </w:r>
    </w:p>
    <w:p>
      <w:pPr>
        <w:pStyle w:val="TextBody"/>
        <w:bidi w:val="0"/>
        <w:spacing w:lineRule="auto" w:line="288" w:before="0" w:after="18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We Allow Customers to Run Any Application Anywhere.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developer data platform, we support applications across a wide range of use cases. Our platform is easily configurable, allowing customers to adjust settings and parameters to optimize performance for a specific application and use case. Customers can run our platform in any environment, depending on their operational requirements: fully managed as a service or self-managed in the cloud, on-premises or in a hybrid environment. Customers can deploy our platform in any of the major public clouds, providing them with increased flexibility and cost-optimization opportunities by enabling public cloud vendor optionality. Our customers have a consistent experience regardless of infrastructure, providing optionality, flexibility and efficiency.</w:t>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Customers of MongoDB Atlas, our multi-cloud developer data platform offering, enjoy the benefits of using MongoDB as a service in the public cloud, further enabling developers to focus on their application performance and end-user experience, rather than the back-end infrastructure lifecycle management. With MongoDB Atlas, organizations only have to manage how their applications use the database and are freed from the tasks of infrastructure provisioning, configuring operating systems, upgrading software and more.</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Customer Benefits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delivers the following key business benefits for our customers:</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Maximize Competitive Advantage through Software and Data.</w:t>
      </w:r>
      <w:r>
        <w:rPr>
          <w:color w:val="000000"/>
        </w:rPr>
        <w:t xml:space="preserve"> </w:t>
      </w:r>
      <w:r>
        <w:rPr>
          <w:rFonts w:ascii="Times New Roman;sans-serif" w:hAnsi="Times New Roman;sans-serif"/>
          <w:b w:val="false"/>
          <w:color w:val="000000"/>
          <w:sz w:val="20"/>
        </w:rPr>
        <w:t>Our platform is built to support modern applications, allowing organizations to harness the full power of software and data to drive competitive advantage. Developers use our platform to build new, operational and customer-facing applications, including applications that cannot be built on legacy databases. As a result, our platform can help drive our customers’ ability to compete, improve end-user satisfaction, increase their revenue and gain market share. </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Increase Developer Productivity.</w:t>
      </w:r>
      <w:r>
        <w:rPr>
          <w:color w:val="000000"/>
        </w:rPr>
        <w:t xml:space="preserve"> </w:t>
      </w:r>
      <w:r>
        <w:rPr>
          <w:rFonts w:ascii="Times New Roman;sans-serif" w:hAnsi="Times New Roman;sans-serif"/>
          <w:b w:val="false"/>
          <w:color w:val="000000"/>
          <w:sz w:val="20"/>
        </w:rPr>
        <w:t>By empowering developers to build and modernize applications quickly and cost-efficiently, we enable developers’ agility and accelerate their time-to-revenue for new products. Our platform’s document-based architecture and intuitive drivers make developing new applications and iterating on existing applications very efficient, increasing developer productivity. MongoDB Atlas allows developers to focus on application performance and end-user experience, rather than the database infrastructure management including provisioning, operating system configuration, upgrades, monitoring and backups.</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Deliver High Reliability for Mission-Critical Deployments.</w:t>
      </w:r>
      <w:r>
        <w:rPr>
          <w:color w:val="000000"/>
        </w:rPr>
        <w:t xml:space="preserve"> </w:t>
      </w:r>
      <w:r>
        <w:rPr>
          <w:rFonts w:ascii="Times New Roman;sans-serif" w:hAnsi="Times New Roman;sans-serif"/>
          <w:b w:val="false"/>
          <w:color w:val="000000"/>
          <w:sz w:val="20"/>
        </w:rPr>
        <w:t xml:space="preserve">Our platform is designed to support mission-critical applications by being fault-tolerant and always-on, reducing downtime for our customers and minimizing the risk of lost revenue. </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Reduce Complexity.</w:t>
      </w:r>
      <w:r>
        <w:rPr>
          <w:color w:val="000000"/>
        </w:rPr>
        <w:t xml:space="preserve"> </w:t>
      </w:r>
      <w:r>
        <w:rPr>
          <w:rFonts w:ascii="Times New Roman;sans-serif" w:hAnsi="Times New Roman;sans-serif"/>
          <w:b w:val="false"/>
          <w:color w:val="000000"/>
          <w:sz w:val="20"/>
        </w:rPr>
        <w:t>Our platform’s integrated capabilities allow customers to reduce the need for disparate, single-purpose solutions, thereby reducing the cost and complexity of the application infrastructure required to support modern applications.</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Reduce Total Cost of Ownership.</w:t>
      </w:r>
      <w:r>
        <w:rPr>
          <w:color w:val="000000"/>
        </w:rPr>
        <w:t xml:space="preserve"> </w:t>
      </w:r>
      <w:r>
        <w:rPr>
          <w:rFonts w:ascii="Times New Roman;sans-serif" w:hAnsi="Times New Roman;sans-serif"/>
          <w:b w:val="false"/>
          <w:color w:val="000000"/>
          <w:sz w:val="20"/>
        </w:rPr>
        <w:t>The speed and efficiency of application development using our platform, coupled with decreased developer resources required for application maintenance, can result in a significant reduction in the total cost of ownership for enterprises. In addition, our platform runs on commodity hardware, requires less oversight and management from operations personnel and can operate in the cloud provider of choice or other low-cost environments, leading to reduced application-related overhead costs for our customers and lower total cost of ownership.</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Products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can implement our developer data platform as a managed service offering, or they can choose a self-managed option. MongoDB Atlas is our managed multi-cloud database-as-a-service (“DBaaS”) offering that includes an integrated set of database and related services. MongoDB Enterprise Advanced is our proprietary self-managed commercial offering for enterprise customers that can run in the cloud, on-premises or in a hybrid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72160"/>
                <wp:effectExtent l="0" t="0" r="0" b="0"/>
                <wp:wrapNone/>
                <wp:docPr id="8" name="Frame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MongoDB Atlas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we introduced MongoDB Atlas, our hosted multi-cloud DBaaS offering that includes comprehensive infrastructure and management, which we run and manage in the public cloud. MongoDB Atlas provides customers with a highly flexible,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and innovate more quickly to better serve their own customers and capitalize on new business opportunities.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Built for resilience, scale, and security, MongoDB Atlas is available in more than 110 regions worldwide across all three major cloud providers (Amazon Web Services (‘‘AWS’’), Google Cloud Platform (‘‘GCP’’) and Microsoft Azure), enabling our customers to leverage the benefits of different cloud platforms for different use cases and helping them avoid infrastructure vendor lock-in. The availability of multi-cloud clusters on MongoDB Atlas allows organizations to deploy a fully managed, distributed database across multiple cloud providers simultaneously without the added operational complexity of managing data replication and migration across clouds.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Over the years, we have introduced additional features and functionality, which have increased the capabilities of MongoDB Atlas and accelerated and expanded its adoption including Atlas Search, Atlas Device Sync, Atlas Data Federation and Atlas Charts.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 recently, we launched MongoDB Atlas Vector Search, a capability that significantly simplifies an organization’s ability to use their proprietary data to build generative AI applications. Vectors are numerical representations of data that make it possible to discover similar or related data and can be used to securely combine proprietary data with the power of FMs. Our vector search product is closely integrated with our globally distributed operational database, allowing customers to store all types of data needed for an AI-enabled application - vector data, metadata and operational data.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MongoDB also launched a preview of MongoDB Atlas Stream Processing, which transforms the way organizations can process streaming data to engage end-users and speed up operations. MongoDB Atlas Stream Processing works with any type of data, and with its flexible data model, enables customers to build highly engaging applications that can analyze data in real-time to adjust application behavior and inform business operations. Customers now have a single interface to easily extract insights from high-velocity and high-volume streaming data.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Together, these new features and capabilities for MongoDB Atlas enable businesses to improve operational efficiency and speed up their pace of innovation by standardizing many types of workloads on a single developer data platform across the enterprise.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Atlas represented 66%, 63% and 56% of our total revenue for the fiscal years ended January 31, 2024, 2023 and 2022, respectively.</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MongoDB Enterprise Advanced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Enterprise Advanced is our proprietary self-managed commercial database offering for enterprise customers that can run in the cloud, on-premises or in a hybrid environment. MongoDB Enterprise Advanced is a subscription package that includes a commercial license to our platform and the following:</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i/>
          <w:color w:val="000000"/>
          <w:sz w:val="20"/>
        </w:rPr>
        <w:t>MongoDB Enterprise Database Server.</w:t>
      </w:r>
      <w:r>
        <w:rPr>
          <w:color w:val="000000"/>
        </w:rPr>
        <w:t xml:space="preserve"> </w:t>
      </w:r>
      <w:r>
        <w:rPr>
          <w:rFonts w:ascii="Times New Roman;sans-serif" w:hAnsi="Times New Roman;sans-serif"/>
          <w:b w:val="false"/>
          <w:color w:val="000000"/>
          <w:sz w:val="20"/>
        </w:rPr>
        <w:t>The MongoDB enterprise database server is our proprietary commercial database. It stores, organizes and processes data and facilitates access and changes to the data. It includes advanced security features, auditing functionality and enterprise-standard authentication and authorization, as well as encrypted and in-memory storage engines to enable a wide range of workloads.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i/>
          <w:color w:val="000000"/>
          <w:sz w:val="20"/>
        </w:rPr>
        <w:t>Enterprise Management Capabilities.</w:t>
      </w:r>
      <w:r>
        <w:rPr>
          <w:color w:val="000000"/>
        </w:rPr>
        <w:t xml:space="preserve"> </w:t>
      </w:r>
      <w:r>
        <w:rPr>
          <w:rFonts w:ascii="Times New Roman;sans-serif" w:hAnsi="Times New Roman;sans-serif"/>
          <w:b w:val="false"/>
          <w:color w:val="000000"/>
          <w:sz w:val="20"/>
        </w:rPr>
        <w:t xml:space="preserve">MongoDB Enterprise Advanced customers can choose either our Cloud Manager Premium product (for customers who want to manage our platform via the cloud) or Ops Manager (generally for those with on-premises deployments), our sophisticated suite of management tools that allow operations teams to run, manage and configure MongoDB according to their needs. </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i/>
          <w:color w:val="000000"/>
          <w:sz w:val="20"/>
        </w:rPr>
        <w:t>Analytics Integrations.</w:t>
      </w:r>
      <w:r>
        <w:rPr>
          <w:color w:val="000000"/>
        </w:rPr>
        <w:t xml:space="preserve"> </w:t>
      </w:r>
      <w:r>
        <w:rPr>
          <w:rFonts w:ascii="Times New Roman;sans-serif" w:hAnsi="Times New Roman;sans-serif"/>
          <w:b w:val="false"/>
          <w:color w:val="000000"/>
          <w:sz w:val="20"/>
        </w:rPr>
        <w:t>We provide integrations to allow data and business analysts to analyze data in applications running on our platform using their existing business intelligence and analytics tools. Our analytics integrations ensure that enterprises can efficiently extract significant value from applications built on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72160"/>
                <wp:effectExtent l="0" t="0" r="0" b="0"/>
                <wp:wrapNone/>
                <wp:docPr id="9" name="Frame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Enterprise Advanced represented 26%, 28% and 34% of our total revenue for the fiscal years ended January 31, 2024, 2023 and 2022, respectively.</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Professional Services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professional services to our customers, including consulting and training, to make customer deployments of our platform successful, thereby increasing customer retention and driving customer revenue expansion. Given that we have designed our platform to be easily deployed, our services typically do not involve implementation and are designed to facilitate a more rapid and successful deployment of MongoDB by our customers. Professional services are an important part of our customer retention and expansion strategy. Customers who purchase professional services have typically increased their subscription usage with our platform and have done so more quickly than customers who have not engaged with our professional services.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represented 3% of our total revenue for the year ended January 31, 2024 and 4% of our total revenue for each of the years ended January 31, 2023 and 2022, respectively.</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Free Offerings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To encourage developer usage, familiarity and adoption of our platform, we offer Community Server and a free tier of MongoDB Atlas as “freemium” offerings. 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business model. Our goal is to convert Community Server users to paying customers of our commercial offerings of MongoDB Atlas or MongoDB Enterprise Advanced. Our Community Server has been downloaded over </w:t>
      </w:r>
      <w:r>
        <w:rPr>
          <w:rFonts w:ascii="Times New Roman;sans-serif" w:hAnsi="Times New Roman;sans-serif"/>
          <w:b w:val="false"/>
          <w:color w:val="000000"/>
          <w:sz w:val="20"/>
          <w:shd w:fill="FFFFFF" w:val="clear"/>
        </w:rPr>
        <w:t>500 million</w:t>
      </w:r>
      <w:r>
        <w:rPr>
          <w:color w:val="000000"/>
        </w:rPr>
        <w:t xml:space="preserve"> </w:t>
      </w:r>
      <w:r>
        <w:rPr>
          <w:rFonts w:ascii="Times New Roman;sans-serif" w:hAnsi="Times New Roman;sans-serif"/>
          <w:b w:val="false"/>
          <w:color w:val="000000"/>
          <w:sz w:val="20"/>
        </w:rPr>
        <w:t>times from our website alone since February 2009. Our free tier of MongoDB Atlas provides access to our hosted database solution with limited processing power and storage, as well as certain operational limitations.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Unlike software companies built around third-party open source projects, we own the intellectual property of our offerings since we are the creators of the software, enabling our proprietary software subscription business model. Owning the intellectual property of our offering also allows us to retain control over our future product roadmap, including the determination of which features are included in our free or paid offerings.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pursuing our large market opportunity with growth strategies that include:</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Acquiring New Customers.</w:t>
      </w:r>
      <w:r>
        <w:rPr>
          <w:color w:val="000000"/>
        </w:rPr>
        <w:t xml:space="preserve"> </w:t>
      </w:r>
      <w:r>
        <w:rPr>
          <w:rFonts w:ascii="Times New Roman;sans-serif" w:hAnsi="Times New Roman;sans-serif"/>
          <w:b w:val="false"/>
          <w:color w:val="000000"/>
          <w:sz w:val="20"/>
        </w:rPr>
        <w:t>We believe there is a substantial opportunity to continue to grow our customer base. We benefit from word-of-mouth awareness and frictionless experimentation by the developer community through our free offerings. As a result, our self-serve and direct sales prospects are often familiar with our platform and may have already built applications using our technology.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Expanding Sales Within Our Customer Base.</w:t>
      </w:r>
      <w:r>
        <w:rPr>
          <w:color w:val="000000"/>
        </w:rPr>
        <w:t xml:space="preserve"> </w:t>
      </w:r>
      <w:r>
        <w:rPr>
          <w:rFonts w:ascii="Times New Roman;sans-serif" w:hAnsi="Times New Roman;sans-serif"/>
          <w:b w:val="false"/>
          <w:color w:val="000000"/>
          <w:sz w:val="20"/>
        </w:rPr>
        <w:t>We seek to grow our sales with our customers in several ways. As an application grows and requires additional capacity, our customers increase their spending on our platform. Our customers may expand their subscriptions to our platform as they migrate additional existing applications or build new applications, either within the same department or in other lines of business or geographies. Also, as customers modernize their information technology (“IT”) infrastructure and move to the cloud, they may migrate applications from legacy databases. Even within our largest customers, we believe we typically represent a small percentage of their overall spend on databases, reflecting our small market penetration. Our goal is to increase the number of customers that standardize on our database platform within their organization, which may include offering centralized internal support for developers within the organization or the deployment of an internal MongoDB-as-a-service offering. Our ability to expand within existing customers is demonstrated by our net annualized recurring revenue (“ARR”) expansion rate, which has consistently been over 120%. See Part II, Item 7, Management’s Discussion and Analysis of Financial Condition and Results of Operations of this Form 10-K for a description of ARR and a discussion of our net ARR expansion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72160"/>
                <wp:effectExtent l="0" t="0" r="0" b="0"/>
                <wp:wrapNone/>
                <wp:docPr id="10" name="Frame1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20"/>
        </w:rPr>
        <w:t>Extending Product Leadership and Introducing New Products</w:t>
      </w:r>
      <w:r>
        <w:rPr>
          <w:rFonts w:ascii="Times New Roman;sans-serif" w:hAnsi="Times New Roman;sans-serif"/>
          <w:b w:val="false"/>
          <w:color w:val="000000"/>
          <w:sz w:val="20"/>
        </w:rPr>
        <w:t xml:space="preserve">. We intend to continue to invest in our product offerings to expand the functionality and adoption of our platform. The guiding principle of our product innovation is to help developers solve more of their data challenges by utilizing our platform. During 2022, we introduced new features, capabilities and improvements such as column store indexes, in-app analytics, Atlas Serverless, Atlas Device Sync, allowing developer teams to accomplish more over a wider range of workloads. And with Queryable Encryption, we pioneered the industry’s first encrypted search scheme using breakthrough cryptography engineering. During 2023, we added additional capabilities such as Atlas Vector Search and Atlas Stream Processing, as well as additional features for Atlas Search Nodes, which now provide dedicated infrastructure for search use cases so customers can scale independently of their database to manage their workloads with greater flexibility and operational efficiency. </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20"/>
        </w:rPr>
        <w:t>Fostering the MongoDB Developer Community.</w:t>
      </w:r>
      <w:r>
        <w:rPr>
          <w:color w:val="000000"/>
        </w:rPr>
        <w:t xml:space="preserve"> </w:t>
      </w:r>
      <w:r>
        <w:rPr>
          <w:rFonts w:ascii="Times New Roman;sans-serif" w:hAnsi="Times New Roman;sans-serif"/>
          <w:b w:val="false"/>
          <w:color w:val="000000"/>
          <w:sz w:val="20"/>
        </w:rPr>
        <w:t xml:space="preserve">We have attracted a large and growing community of highly engaged developers, who have downloaded our Community Server offering over </w:t>
      </w:r>
      <w:r>
        <w:rPr>
          <w:rFonts w:ascii="Times New Roman;sans-serif" w:hAnsi="Times New Roman;sans-serif"/>
          <w:b w:val="false"/>
          <w:color w:val="000000"/>
          <w:sz w:val="20"/>
          <w:shd w:fill="FFFFFF" w:val="clear"/>
        </w:rPr>
        <w:t>500 million</w:t>
      </w:r>
      <w:r>
        <w:rPr>
          <w:color w:val="000000"/>
        </w:rPr>
        <w:t xml:space="preserve"> </w:t>
      </w:r>
      <w:r>
        <w:rPr>
          <w:rFonts w:ascii="Times New Roman;sans-serif" w:hAnsi="Times New Roman;sans-serif"/>
          <w:b w:val="false"/>
          <w:color w:val="000000"/>
          <w:sz w:val="20"/>
        </w:rPr>
        <w:t>times from our website since February 2009. We believe that the engagement of developers increases our brand awareness. Many of these developers become proponents of MongoDB within their organizations, which may result in new customers selecting our platform, as well as expansion opportunities within existing customers. Historically, we have invested in our community through active sponsorship of user groups, our user conferences, MongoDB University and other community-centered events. As of January 31, 2024, there were over 2.0 million MongoDB University registrations. We intend to continue to invest in the MongoDB developer community.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20"/>
        </w:rPr>
        <w:t>Growing and Cultivating Our Partner Ecosystem</w:t>
      </w:r>
      <w:r>
        <w:rPr>
          <w:rFonts w:ascii="Times New Roman;sans-serif" w:hAnsi="Times New Roman;sans-serif"/>
          <w:b w:val="false"/>
          <w:color w:val="000000"/>
          <w:sz w:val="20"/>
        </w:rPr>
        <w:t>. We have built a partner ecosystem of independent software vendors, systems integrators, value added resellers, cloud and technology partners. For example, we have expanded our business partnerships with all three major cloud providers (AWS, GCP and Microsoft Azure) to enhance our joint marketing initiatives, deliver technology integrations that benefit customers and align with our sales strategy. During 2023 we expanded our strategic partnership with Microsoft, to make it easier for customers to access MongoDB Atlas within the Microsoft commercial marketplace. We announced plans to integrate MongoDB Atlas Vector Search with Amazon Bedrock, a fully managed service that enables developers to build and scale generative AI applications. We also launched an AI initiative with GCP, which allows developers to take full advantage of MongoDB Atlas and industry-leading partner integrations with GCP's Vertex AI LLMs and new quick-start architecture reviews with MongoDB and GCP professional services to accelerate software development. . These technology partnerships continue to provide our customers with tools that help them modernize from legacy relational databases to MongoDB which, along with our other technology partnerships, provide us with significant benefits, including lead generation, new customer acquisition, marketplace fulfillment, accelerated deployment and additional customer support. We expanded our global partner ecosystem with the Alibaba Cloud partnership to offer an authorized MongoDB-as-a-Service solution to users in China. During 2023 we extended this partnership for another four years to allow their customers to easily adopt and consume MongoDB-as-a-service. Our reach in China is also supplemented by our global partnership with Tencent Cloud which allows customers to easily adopt and use MongoDB-as-a-Service across Tencent’s global cloud infrastructure. We have also expanded our existing partnerships with independent software vendors and global systems integrators including IBM, Accenture, Infosys, Capgemini, Confluent, HCL, Wipro, Cognizant, Deloitte and Tata Consultancy Services. Our system integrator partners have also been valuable in working with organizations to migrate and modernize applications to our platform, including leveraging the cloud with MongoDB Atlas. We intend to continue to expand and enhance our partner relationships to benefit our global customers, grow our market presence and drive greater sales efficiency.</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20"/>
        </w:rPr>
        <w:t>Expanding Internationally.</w:t>
      </w:r>
      <w:r>
        <w:rPr>
          <w:color w:val="000000"/>
        </w:rPr>
        <w:t xml:space="preserve"> </w:t>
      </w:r>
      <w:r>
        <w:rPr>
          <w:rFonts w:ascii="Times New Roman;sans-serif" w:hAnsi="Times New Roman;sans-serif"/>
          <w:b w:val="false"/>
          <w:color w:val="000000"/>
          <w:sz w:val="20"/>
        </w:rPr>
        <w:t>We believe there is a significant opportunity to continue to expand the use of our platform outside the United States. During the fiscal years ended January 31, 2024, 2023 and 2022, revenue generated outside of the United States was 46%, 45% and 46% of our total revenue. We intend to continue to expand our sales and drive the adoption of our platform globally.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employees and the culture we have established are critically important to our success. To continue to compete and succeed in our highly competitive and rapidly evolving market, it is crucial that we attract, retain and motivate qualified employees. To support these objectives, we strive to maintain our company culture, offer competitive compensation and benefits, support the health and well-being of our employees, foster an inclusive, diverse and engaged workforce and develop talent.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72160"/>
                <wp:effectExtent l="0" t="0" r="0" b="0"/>
                <wp:wrapNone/>
                <wp:docPr id="11" name="Frame1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a total of 5,037 employees, including 2,456 employees located outside the United States. We are subject to laws and regulations relating to our relationship with our employees. Generally, these laws and regulations are specific to the location of our business and we engage with legally recognized employee representative bodies in these locations as required. In accordance with the requirements of France, we have established a Social and Economic Committee composed of employer and elected staff representatives. We have not experienced any work stoppages and we consider our relations with our employees to be good.</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Compensation and Benefits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competitive compensation and benefits for our employees globally. We continue to evolve our compensation programs to maintain competitive alignment with market practices while ensuring all pay decisions are driven by performance. Our compensation package may include base salary, commission or semi-annual bonuses and long-term equity awards. Where the market indicates, equity compensation continues to be an important tool to attract and retain talent. Employees in equity-eligible roles receive a new hire award at the time of hire and an annual performance-related refresh thereafter. To foster a strong sense of ownership and align our employees’ interests with our long-term success, we offer all full-time employees globally the opportunity to participate in an employee stock purchase plan.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cash and equity compensation, we offer employees a wide array of benefits designed to be aligned with local reward practices and to be competitive with those offered by companies that we compete with for talent. In the United States, these include health (medical, dental and vision) insurance, paid time off, retirement benefits and additional resources to support employees' overall well-being. While the philosophy around our benefits is the same worldwide, specific benefits may vary by country due to local regulations and preferences.</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Health, Safety and Well-Being</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health, safety and well-being of our employees are vital to our success. We have introduced guidelines and regular reviews and trainings, which reflect our commitment to both the physical and psychological health and well-being of our employees. As part of this commitment, we recognize our responsibility to provide a safe and healthy work environment for all employees, contractors, customers and visitors.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hybrid approach to working which we introduced in 2021 during the Covid-19 pandemic. Our four working models help ensure that we are meeting business needs while also offering employees flexibility as it relates to their in-office presence. We continue to focus on gathering feedback from employees, assessing workplace safety and operational effectiveness, and seeking opportunities to enhance the overall experience for our hybrid workforce globally. We also offer training opportunities in managing a hybrid team for our people managers, and as it relates to the in-office employee experience, we aim to provide opportunities for collaboration and social interaction. We have several hub offices and a network of satellite offices in locations around the world and continue to introduce new workplace initiatives to enhance the employee experience.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it relates to employee well-being, we offer a range of benefits under our four pillars of well-being:</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Physical well-being</w:t>
      </w:r>
      <w:r>
        <w:rPr>
          <w:rFonts w:ascii="Times New Roman;sans-serif" w:hAnsi="Times New Roman;sans-serif"/>
          <w:b w:val="false"/>
          <w:color w:val="000000"/>
          <w:sz w:val="20"/>
        </w:rPr>
        <w:t>. We offer our employees access to comprehensive and competitive medical coverage in local markets, often covering the employee and dependent premiums. Our plans often include dental, optical, maternity, hospitalization and outpatient care, among other coverages, as well as comprehensive travel medical coverage while they travel for work assignments. To promote healthy lifestyles, we also offer employees access to highly subsidized or discounted monthly gym and exercise class memberships.</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Financial well-being</w:t>
      </w:r>
      <w:r>
        <w:rPr>
          <w:rFonts w:ascii="Times New Roman;sans-serif" w:hAnsi="Times New Roman;sans-serif"/>
          <w:b w:val="false"/>
          <w:color w:val="000000"/>
          <w:sz w:val="20"/>
        </w:rPr>
        <w:t>. We believe that financial security is an enabler of creativity and productivity, which is why we offer retirement saving options for our employees, as well as benefits such as life insurance, disability insurance, critical illness and accident coverage.</w:t>
      </w:r>
    </w:p>
    <w:p>
      <w:pPr>
        <w:pStyle w:val="TextBody"/>
        <w:bidi w:val="0"/>
        <w:spacing w:lineRule="auto" w:line="276" w:before="0" w:after="0"/>
        <w:ind w:left="0" w:right="0" w:hanging="180"/>
        <w:jc w:val="left"/>
        <w:rPr/>
      </w:pPr>
      <w:r>
        <w:rPr>
          <w:color w:val="000000"/>
        </w:rPr>
        <w:t>•</w:t>
      </w:r>
      <w:r>
        <w:rPr>
          <w:rFonts w:ascii="Times New Roman;sans-serif" w:hAnsi="Times New Roman;sans-serif"/>
          <w:b/>
          <w:color w:val="000000"/>
          <w:sz w:val="20"/>
        </w:rPr>
        <w:t>Emotional well-being</w:t>
      </w:r>
      <w:r>
        <w:rPr>
          <w:rFonts w:ascii="Times New Roman;sans-serif" w:hAnsi="Times New Roman;sans-serif"/>
          <w:b w:val="false"/>
          <w:color w:val="000000"/>
          <w:sz w:val="20"/>
        </w:rPr>
        <w:t>. Our employees and their families have 24-hour access to our Employee Assistance Program (“EAP”). Our EAP offers confidential guidance on matters such as family support, mental health and legal assistance. Through local partners, employees have access to free counseling and coaching sessions. Globally we also have a team of mental Health First Aiders, who are trained to be a point of contact for any of our employees experiencing emotional distress. In addition, all employees receive a complimentary subscription to a meditation app, which provides hundreds of themed meditation sessions on everything from sleep to focus to reducing stress.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72160"/>
                <wp:effectExtent l="0" t="0" r="0" b="0"/>
                <wp:wrapNone/>
                <wp:docPr id="12" name="Frame1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Family well-being</w:t>
      </w:r>
      <w:r>
        <w:rPr>
          <w:rFonts w:ascii="Times New Roman;sans-serif" w:hAnsi="Times New Roman;sans-serif"/>
          <w:b w:val="false"/>
          <w:color w:val="000000"/>
          <w:sz w:val="20"/>
        </w:rPr>
        <w:t>. We provide global fertility benefits to our employees and their partners, including fertility care, adoption and surrogacy assistance and unlimited access to 1:1 guidance with certified practitioners. In the United States and some of our bigger geographies, we also offer backup childcare support. We feel strongly that parents should be able to share the responsibilities of caregiving and our parental leave policy gives all new parents at least 20 weeks of paid leave. Globally, our employees also have access to personalized guidance to parents and caregivers, offering a full spectrum of family support for those with children of all ages.</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Talent &amp; Leadership Development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Promoting the professional growth and development of our top talent is an essential tool for retention and ensuring our continued success as we navigate the challenges of scaling in a competitive business environment. In addition to our ongoing delivery of professional and technical skill growth, we focus on two key levers for developing our talent. First, we are committed to developing talent using our performance and growth framework, which equips managers and employees to not only deliver great results, but also facilitates semi-annual employee performance and growth conversations, that include employee self-reflections, and ensures managers have the opportunity to provide clear expectations and feedback in support of a high bar for performance and ongoing employee development. Second, we are focused on leadership development at all levels at MongoDB, which includes new manager onboarding, as well as leadership development for first-line managers and second-line leaders. We also integrated a new set of leadership principles into our leadership development programs and tools to teach behaviors that leaders need to succeed and build team culture. Teams are also encouraged to seek customized leadership development programming for their leaders, to drive a precision focus on business needs.</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Our Culture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culture is critical to our success and has delivered tangible financial and operational benefits for our customers, our employees and our stockholders. Our culture is grounded in our new Leadership Commitment framework that was rolled out to all employees during the year: “all employees at MongoDB are keepers of our culture and expected to do three things. To be successful, we must deliver the right outcomes for our customers (what we do), live our values in everything we do (why we do it), and engage with each other as leaders (how we do it).” Our company values are:</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Think Big, Go Far.</w:t>
      </w:r>
      <w:r>
        <w:rPr>
          <w:color w:val="000000"/>
        </w:rPr>
        <w:t xml:space="preserve"> </w:t>
      </w:r>
      <w:r>
        <w:rPr>
          <w:rFonts w:ascii="Times New Roman;sans-serif" w:hAnsi="Times New Roman;sans-serif"/>
          <w:b w:val="false"/>
          <w:color w:val="000000"/>
          <w:sz w:val="20"/>
        </w:rPr>
        <w:t>We are big dreamers with a passion for creativity. We eagerly pursue new opportunities and markets through innovation and disruption. We have a pioneering spirit - always ready to forge new paths and take smart risks.</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Build Together.</w:t>
      </w:r>
      <w:r>
        <w:rPr>
          <w:color w:val="000000"/>
        </w:rPr>
        <w:t xml:space="preserve"> </w:t>
      </w:r>
      <w:r>
        <w:rPr>
          <w:rFonts w:ascii="Times New Roman;sans-serif" w:hAnsi="Times New Roman;sans-serif"/>
          <w:b w:val="false"/>
          <w:color w:val="000000"/>
          <w:sz w:val="20"/>
        </w:rPr>
        <w:t>We achieve amazing things by connecting and leveraging the diversity of perspectives, skills, experiences and backgrounds of our entire organization. We place the success of the company over any individual or team. We discuss things thoroughly, but prioritize commitment over consensus.</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 xml:space="preserve">Embrace the Power of Differences. </w:t>
      </w:r>
      <w:r>
        <w:rPr>
          <w:rFonts w:ascii="Times New Roman;sans-serif" w:hAnsi="Times New Roman;sans-serif"/>
          <w:b w:val="false"/>
          <w:color w:val="000000"/>
          <w:sz w:val="20"/>
        </w:rPr>
        <w:t>We commit to creating a culture of belonging, where people of different origins, backgrounds and experiences feel valued and heard. This is cultivated by learning from and respecting each other’s similarities and differences. We approach conversations with positive intent and believe that others value the perspective we bring to the table. We recognize that a diverse workforce is the best way to broaden our perspectives, foster innovation and enable a sustainable competitive advantage.</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Make It Matter.</w:t>
      </w:r>
      <w:r>
        <w:rPr>
          <w:color w:val="000000"/>
        </w:rPr>
        <w:t xml:space="preserve"> </w:t>
      </w:r>
      <w:r>
        <w:rPr>
          <w:rFonts w:ascii="Times New Roman;sans-serif" w:hAnsi="Times New Roman;sans-serif"/>
          <w:b w:val="false"/>
          <w:color w:val="000000"/>
          <w:sz w:val="20"/>
        </w:rPr>
        <w:t>We are relentless in our pursuit of meaningful impact. We think strategically and are clear on what we are and are not trying to do. We accomplish an amazing amount of important work and we are obsessed with delivering on our commitments.</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Be Intellectually Honest.</w:t>
      </w:r>
      <w:r>
        <w:rPr>
          <w:color w:val="000000"/>
        </w:rPr>
        <w:t xml:space="preserve"> </w:t>
      </w:r>
      <w:r>
        <w:rPr>
          <w:rFonts w:ascii="Times New Roman;sans-serif" w:hAnsi="Times New Roman;sans-serif"/>
          <w:b w:val="false"/>
          <w:color w:val="000000"/>
          <w:sz w:val="20"/>
        </w:rPr>
        <w:t>We embrace reality. We apply high-quality thinking and rigor and operate with transparency. We have courage in our convictions but work hard to ensure biases or personal beliefs do not get in the way of finding the best solution.</w:t>
      </w:r>
    </w:p>
    <w:p>
      <w:pPr>
        <w:pStyle w:val="TextBody"/>
        <w:bidi w:val="0"/>
        <w:spacing w:lineRule="auto" w:line="288" w:before="0" w:after="180"/>
        <w:ind w:left="0" w:right="0" w:hanging="180"/>
        <w:jc w:val="left"/>
        <w:rPr/>
      </w:pPr>
      <w:r>
        <w:rPr>
          <w:color w:val="000000"/>
        </w:rPr>
        <w:t>•</w:t>
      </w:r>
      <w:r>
        <w:rPr>
          <w:rFonts w:ascii="Times New Roman;sans-serif" w:hAnsi="Times New Roman;sans-serif"/>
          <w:b/>
          <w:color w:val="000000"/>
          <w:sz w:val="20"/>
        </w:rPr>
        <w:t>Own What You Do.</w:t>
      </w:r>
      <w:r>
        <w:rPr>
          <w:color w:val="000000"/>
        </w:rPr>
        <w:t xml:space="preserve"> </w:t>
      </w:r>
      <w:r>
        <w:rPr>
          <w:rFonts w:ascii="Times New Roman;sans-serif" w:hAnsi="Times New Roman;sans-serif"/>
          <w:b w:val="false"/>
          <w:color w:val="000000"/>
          <w:sz w:val="20"/>
        </w:rPr>
        <w:t>We take ownership and are accountable for everything that we do. We empower and we are empowered to make things happen and balance independence with interdependence. We demand excellence from ourselves. We each play our own part in making MongoDB a great place to work.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creating a culture that reflects our value of embracing the power of differences to drive better business outcomes. We strive toward having an employee population with diverse backgrounds and perspectives that are representative of our customers and to ensure all employees are both engaged and feel included.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72160"/>
                <wp:effectExtent l="0" t="0" r="0" b="0"/>
                <wp:wrapNone/>
                <wp:docPr id="13" name="Frame1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expanded our efforts to recruit a more diverse workforce by embedding the capability to recruit diverse talent within our entire recruiting organization and investing in diversity sourcing and insights teams, diverse recruitment marketing campaigns and external partnerships. As signatories to the Corporate Parity Pledge, we have also committed to interview at least one qualified female candidate for every open role at the vice president level and above, as well as for every additional directorship on our Board of Directors. Additionally, we continue to focus on ways to accelerate the development of our under-represented groups through additional training and mentorship programs.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investing to ensure all of our employees feel included by developing and rolling out inclusive leadership training that uses our values to teach leaders how to create and sustain an inclusive culture. We have kicked off this training with our Employee Resource Groups (ERGs) which are an important mechanism for supporting our employees from various backgrounds. Our ERGs include BEAM (Black Employees At MongoDB), Config.MDB (neurodivergent and people with disabilities), Green Team (sustainable, social, and environmental responsibility), MDBWomen (employees identifying as women), MongoDB_ API (Asian American and Pacific Islander community), Queer Collective (members of the LGBTQIA+ community and allies), Queeries (a safe environment for those identifying as LGBTQIA+), QueLatine (honoring the diversity of Latine heritage), Sell Like a Girl (those identifying as women in sales), UGT (underrepresented genders in tech), and Veterans (employees who are veterans of the armed forces). These groups focus on providing community support, professional development and business impact and are supported by executive sponsors. Our ERGs play an important role in our overall company culture by helping us raise awareness of issues unique to their members’ experiences.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we are committed to pay equity, regardless of gender, ethnicity or other personal characteristics. To deliver on that commitment, 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 </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Employee Engagement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opportunity and work with their teams to determine actionable steps based on survey results. The results also drive organization-wide focus areas and commitments focused on leadership, culture and inclusion.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over 47,800 customers spanning a wide range of industries in more than 100 countries around the world. All affiliated entities are counted as a single customer. No single customer represented more than 10% of our revenue in fiscal year 2024. All affiliated entities are counted as a single customer and our definition of “customer” excludes users of our free offerings.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marketing teams work together closely to drive awareness and adoption of our platform, accelerate customer acquisition and generate and increase revenue from customers.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drive developer awareness of, engagement with, and adoption of our platform, we created our Community Server and MongoDB Atlas free tier offerings. These let developers use, experiment and evaluate our platform frictionlessly, which we believe has contributed to our platform’s popularity. We believe that developers are often advocates for us because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72160"/>
                <wp:effectExtent l="0" t="0" r="0" b="0"/>
                <wp:wrapNone/>
                <wp:docPr id="14" name="Frame1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developer-focused approach. As a result, our self-serve and direct sales prospects are often familiar with our platform and may have already built applications using our technology. To assess the most likely commercial prospects, we employ a process-oriented and data-driven approach to customer acquisition. We utilize advanced marketing technologies and processes to drive awareness and engagement, educate and convert prospects into customers. We also analyze usage patterns of our self-serve and free tier users to identify those accounts that might benefit from engagement with our sales teams. As customers expand their usage of our platform, our relationships with them often evolve to include technology and business leaders within their organizations and our goal is to get organizations to standardize on our platform. Once our customers reach a certain spending level with us, we support them with customer success advocates to ensure their satisfaction and expand their usage of our platform. We also have a partner ecosystem of global system integrators, value-added resellers and independent software vendors, which we collectively refer to as strategic partners.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marketing organization includes sales development, inside sales, field sales, sales engineering and marketing personnel. As of January 31, 2024, we had 2,338 employees in our sales and marketing organization.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1,226 employees in our research and development organization. We intend to continue to invest in our research and development capabilities to extend our platform.</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worldwide database software market is rapidly evolving and highly competitive. We believe that the principal competitive factors in our market are:</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mindshare with software developers and IT executives;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product capabilities, including flexibility, scalability, performance, security and reliability;</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flexible deployment options, including fully managed as a service or self-managed in the cloud, on-premises or in a hybrid environment;</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ease of deployment;</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breadth of use cases supported;</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generative AI capabilities;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ease of integration with existing IT infrastructure;</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robustness of professional services and customer support;</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price and total cost of ownership;</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adherence to industry standards and certifications, including cybersecurity standards and certifications;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size of customer base and level of user adoption;</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strength of sales and marketing efforts; and</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brand awareness and reputation.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compete favorably on the basis of the factors listed above.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compete with established legacy database software providers such as IBM, Microsoft, Oracle and other similar companies. We also compete with public cloud providers that offer database functionality, such as AWS, GCP and Microsoft Azure as well as other database software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72160"/>
                <wp:effectExtent l="0" t="0" r="0" b="0"/>
                <wp:wrapNone/>
                <wp:docPr id="15" name="Frame1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actual and potential competitors, in particular the legacy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Other large software and internet companies may also seek to enter our market. As we introduce new technologies, such as the ones we announced during fiscal year 2023, and as our existing markets see more market entry, we expect competition to intensify.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and expect in the future to experience seasonal fluctuations in our revenue and operating results. We may experience variability and reduced comparability of our quarterly revenue and operating results with respect to the timing and nature of certain of our contracts, particularly multi-year contracts that contain a term license. We may also experience fluctuations as MongoDB Atlas revenue is recorded on a consumption basis and varies with usage, inclusive of seasonal variability. As MongoDB Atlas revenue continues to increase as a percentage of total revenue, these fluctuations may have a greater impact on our results of operations. We believe that seasonal fluctuations that we have experienced in the past may continue in the future.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in the United States, we had been issued 77 patents, which expire between 2030 and 2041 and had 35 patent applications pending, of which 6 are provisional applications. In addition, as of January 31, 2024, we had 14 registered trademarks in the United States and 2 pending trademark applications in the United States.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Unlike software companies built around open source projects, we own the intellectual property of our core offerings, allowing us to retain control over our future product roadmap, including the determination of which features are included in our free or paid offerings. All versions of Community Server released after October 16, 2018 are offered under the SSPL. Versions of Community Server released prior to October 16, 2018 are offered under the AGPL. Both the SSPL and the AGPL permit users to run the database without charge but subject to certain terms and conditions. The SSPL explicitly requires Community Server users that offer MongoDB as a third-party service to make publicly available the source code for all the programs used to offer such service.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SSPL and AGPL, we limit the appeal to other parties, including public cloud vendors, of monetizing our software without licensing it from us, further supporting our software subscription business model.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Inc. was incorporated under the laws of the State of Delaware in November 2007 under the name 10Gen, Inc. We changed our name to MongoDB, Inc. on August 27, 2013. In October 2017, we completed our initial public offering and our common stock is listed on The Nasdaq Global Market (“Nasdaq”) under the symbol “MDB.” Our principal executive offices are located at 1633 Broadway, 38th Floor, New York, New York 10019 and our telephone number is (646) 727-4092.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72160"/>
                <wp:effectExtent l="0" t="0" r="0" b="0"/>
                <wp:wrapNone/>
                <wp:docPr id="16" name="Frame1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Annual Report on Form 10-K, Quarterly Reports on Form 10-Q, Current Reports on Form 8-K and amendments to reports filed pursuant to Sections 13(a) and 15(d) of the Exchange Act, proxy statements and other information are filed with the U.S. Securities and Exchange Commission (“SEC”). We are subject to the informational requirements of the Exchange Act and file or furnish reports, proxy statements and other information with the SEC. Such reports and other information filed by us with the SEC are available free of charge on our website at investors.mongodb.com when such reports are available on the SEC’s website. The SEC maintains a website that contains reports, proxy and information statements and other information regarding issuers that file electronically with the SEC at www.sec.gov. The information contained on the websites referenced in this Form 10-K is not incorporated by reference into this filing. Further, our references to website URLs are intended to be inactive textual references only.</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operations and financial results are subject to various risks and uncertainties including those described below. You should consider carefully the risks and uncertainties described below, in addition to other information contained in this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fail to meet our publicly announced guidance or other expectations about our business and future operating results, which would cause our stock price to decline.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have a limited operating history, which makes it difficult to predict our future results of operations.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have a history of losses and as our costs increase, we may not be able to generate sufficient revenue to achieve or sustain profitability.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currently face significant competition and expect that intense competition will continue.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decision to offer Community Server under the Server Side Public License (“SSPL”) may harm the adoption of Community Server.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could be negatively impacted if the GNU Affero General Public License Version 3 (the “AGPL”), the SSPL and other open source licenses under which some of our software is licensed are not enforceable.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72160"/>
                <wp:effectExtent l="0" t="0" r="0" b="0"/>
                <wp:wrapNone/>
                <wp:docPr id="17" name="Frame1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licensing model for Community Server could negatively affect our ability to monetize and protect our intellectual property rights.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are not able to maintain and enhance our brand, especially among developers, our business and results of operations may be adversely affected.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76" w:before="0" w:after="180"/>
        <w:jc w:val="left"/>
        <w:rPr>
          <w:rFonts w:ascii="Times New Roman;sans-serif" w:hAnsi="Times New Roman;sans-serif"/>
          <w:b/>
          <w:i/>
          <w:color w:val="000000"/>
          <w:sz w:val="20"/>
        </w:rPr>
      </w:pPr>
      <w:r>
        <w:rPr>
          <w:rFonts w:ascii="Times New Roman;sans-serif" w:hAnsi="Times New Roman;sans-serif"/>
          <w:b/>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volatility in the banking sector,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the global supply chain and energy markets. The ongoing military conflict between Israel and Hamas, and any resulting conflicts in the region,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72160"/>
                <wp:effectExtent l="0" t="0" r="0" b="0"/>
                <wp:wrapNone/>
                <wp:docPr id="18" name="Frame1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Similarly, the ongoing military conflict between Russia and Ukraine has created extreme volatility in the global capital markets and has caused and could continue to cause disruptions of the global supply chain and energy markets. The ongoing military conflict between Israel and Hamas, and any resulting conflicts in the region, may have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makes it difficult to predict our future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as our costs increase, we may not be able to generate sufficient revenue to achieve or sustain profitability.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in each period since our inception, including net losses of $176.6 million, $345.4 million and $306.9 million for the fiscal years ended January 31, 2024, 2023 and 2022, respectively. We had an accumulated deficit of $1.7 billion as of January 31, 2024.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72160"/>
                <wp:effectExtent l="0" t="0" r="0" b="0"/>
                <wp:wrapNone/>
                <wp:docPr id="19" name="Frame1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year ended January 31, 2024.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offerings are term-based and a majority of our subscription contracts were one year in duration in fiscal year 2024.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sans-serif" w:hAnsi="Times New Roman;sans-serif"/>
          <w:b w:val="false"/>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72160"/>
                <wp:effectExtent l="0" t="0" r="0" b="0"/>
                <wp:wrapNone/>
                <wp:docPr id="20" name="Frame2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currently face significant competition and expect that intense competition will continue.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non-relational database software providers. In addition, other large software and internet companies may seek to enter our market.</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particularly during the current period of heightened employee attrition in the United States and other countries. Because of our limited operating history, we cannot predict whether, or to what extent,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72160"/>
                <wp:effectExtent l="0" t="0" r="0" b="0"/>
                <wp:wrapNone/>
                <wp:docPr id="21" name="Frame2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adoption strategies include offering Community Server and a free tier of MongoDB Atlas and we may not be able to realize the intended benefits of these strategies.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decision to offer Community Server under the SSPL, may harm the adoption of Community Server.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could be negatively impacted if the AGPL, the SSPL and other open source licenses under which some of our software is licensed are not enforceable.</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72160"/>
                <wp:effectExtent l="0" t="0" r="0" b="0"/>
                <wp:wrapNone/>
                <wp:docPr id="22" name="Frame2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licensing model for Community Server could negatively affect our ability to monetize and protect our intellectual property rights.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software incorporates third-party open source software, which could negatively affect our ability to sell our products and subject us to possible litigation.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 time, modify the terms of their license agreements in such a manner that those license terms may become incompatible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72160"/>
                <wp:effectExtent l="0" t="0" r="0" b="0"/>
                <wp:wrapNone/>
                <wp:docPr id="23" name="Frame2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licensing model and thus could, among other consequences, prevent us from incorporating the software subject to the modified license.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risks could be difficult to eliminate or manage and if not addressed, could have a negative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success is highly dependent on our ability to penetrate the existing market for database products, as well as the growth and expansion of the market for database products.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future quarterly results may fluctuate significantly and if we fail to meet the expectations of analysts or investors, our stock price could decline substantially.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changes in actual and anticipated growth rates of our revenue, customers and other key operating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72160"/>
                <wp:effectExtent l="0" t="0" r="0" b="0"/>
                <wp:wrapNone/>
                <wp:docPr id="24" name="Frame2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new product announcements, pricing changes and other actions by competitors;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the mix of revenue and associated costs attributable to sales where subscriptions are bundled with services versus sold on a standalone basis and sales by us and our partners;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our ability to attract new customers;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our ability to effectively expand our sales and marketing capabilities and teams;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our ability to retain customers and expand their usage of our software, particularly for our largest customers;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our inability to enforce the AGPL or SSPL;</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delays in closing sales, including the timing of renewals, which may result in revenue being pushed into the next quarter, particularly because a large portion of our sales occur toward the end of each quarter;</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the timing of revenue recognition;</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the mix of revenue attributable to larger transactions as opposed to smaller transactions;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changes in customers’ budgets and in the timing of their budgeting cycles and purchasing decisions;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changes in customers’ consumption of our platform;</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customers and potential customers opting for alternative products, including developing their own in-house solutions, or opting to use only the free version of our products;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our ability to control costs, including our operating expenses;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the timing and success of new products, features and services offered by us and our competitors or any other change in the competitive dynamics of our industry, including consolidation among competitors, customers or strategic partners;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significant security breaches or other security incidents, technical difficulties, or interruptions with respect to the delivery and use of our software;</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our failure to maintain the level of service uptime and performance required by our customers;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the collectability of receivables from customers and resellers, which may be hindered or delayed if these customers or resellers experience financial distress;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changes in political and economic conditions, in domestic or international markets;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general economic conditions, both domestically and internationally, including warfare and terrorist attacks on the United States and other regions in which we or our customers operate, such as the Russia-Ukraine conflict and the Israel-Hamas conflict, as well as economic conditions specifically affecting industries in which our customers participate;</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sales tax and other tax determinations by authorities in the jurisdictions in which we conduct business;</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the impact of new accounting pronouncements; and</w:t>
      </w:r>
    </w:p>
    <w:p>
      <w:pPr>
        <w:pStyle w:val="TextBody"/>
        <w:bidi w:val="0"/>
        <w:spacing w:lineRule="auto" w:line="288" w:before="0" w:after="180"/>
        <w:ind w:left="0" w:right="0" w:hanging="180"/>
        <w:jc w:val="left"/>
        <w:rPr/>
      </w:pPr>
      <w:r>
        <w:rPr>
          <w:color w:val="000000"/>
        </w:rPr>
        <w:t>•</w:t>
      </w:r>
      <w:r>
        <w:rPr>
          <w:rFonts w:ascii="Times New Roman;sans-serif" w:hAnsi="Times New Roman;sans-serif"/>
          <w:b w:val="false"/>
          <w:color w:val="000000"/>
          <w:sz w:val="20"/>
        </w:rPr>
        <w:t>fluctuations in stock-based compensation expense.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of one or more of the foregoing and other factors may cause our results of operations to vary significantly and be materially and adversely affected. For example, fluctuations in our quarterly operating results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72160"/>
                <wp:effectExtent l="0" t="0" r="0" b="0"/>
                <wp:wrapNone/>
                <wp:docPr id="25" name="Frame2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price of our common stock may be particularly pronounced in the current economic environment due to the ongoing geopolitical instability resulting from the conflicts between Russia and Ukraine and Israel and Hamas,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year ended January 31, 2024.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growth in our business, operations and employee headcount. For fiscal years 2024, 2023 and 2022, our total revenue was $1,683.0 million, $1,284.0 million and $873.8 million, respectively, representing a 31% and 47% growth rate, respectively. We have also significantly increased the size of our customer base from over 3,200 customers as of January 31, 2017 to over 47,800 customers as of January 31, 2024, and we grew from 713 employees as of January 31, 2017 to 5,037 employees as of January 31, 2024. We expect to continue to expand our operations and employee headcount in the near term. Our success will depend in part on our ability to continue to grow and to manage this growth, domestically and internationally, effectively.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and networks, operations and supply chain. We and the third parties upon which we rely may be subject to a variety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72160"/>
                <wp:effectExtent l="0" t="0" r="0" b="0"/>
                <wp:wrapNone/>
                <wp:docPr id="26" name="Frame2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ongoing military conflict between Israel and Hamas.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MongoDB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Further, we may experience delays in developing and deploying remedial measures designed to address any such identified vulnerabilities.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72160"/>
                <wp:effectExtent l="0" t="0" r="0" b="0"/>
                <wp:wrapNone/>
                <wp:docPr id="27" name="Frame2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sales cycle may be long and is unpredictable and our sales efforts require considerable time and expense.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effectiveness of our sales force, in particular new sales people as we increase the size of our sales force;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discretionary nature of purchasing and budget cycles and decisions;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obstacles placed by a customer’s procurement process;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convert users of our free offerings to paying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72160"/>
                <wp:effectExtent l="0" t="0" r="0" b="0"/>
                <wp:wrapNone/>
                <wp:docPr id="28" name="Frame2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economic conditions and other factors impacting customer budgets;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customer evaluation of competing products during the purchasing process;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evolving customer demands.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forced to reduce prices for our subscription offerings and as a result our revenue and results of operations will be harmed.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in a manner that is cost-effective and assures customer success, we will not be able to grow our business, which would adversely affect our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do attract new customers, the cost of new customer acquisition, product implementation and ongoing customer support may prove so high as to prevent us from achieving or sustaining profitability. For example, in fiscal years 2024, 2023 and 2022, total sales and marketing expense represented 47%, 54% and 54%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 .local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offer high quality support, our business and reputation could suffer.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Real or perceived errors, failures or bugs in our software could adversely affect our business, results of operations, financial condition and growth prospects.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72160"/>
                <wp:effectExtent l="0" t="0" r="0" b="0"/>
                <wp:wrapNone/>
                <wp:docPr id="29" name="Frame2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 For example, in August 2022 California’s Attorney General reached a settlement with Sephora, Inc. (“Sephora”) for failing to satisfy certain obligations under the CCPA, including the disclosure and processing of opt-out requests, with respect to using third-party tracking software on Sephora's website that could, among other things, create profiles about website visitors that the California Attorney General interpreted as a "sale" of customer information given the benefits that both the software provider and Sephora received from the relationship. This action may signal a priority of enforcement and interpretation that such use of analytics products on the internet may introduce new web-based marketing complexities and compliance challenges under the CCPA.</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72160"/>
                <wp:effectExtent l="0" t="0" r="0" b="0"/>
                <wp:wrapNone/>
                <wp:docPr id="30" name="Frame3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Both of these laws broadly regulate the processing of personal data in a manner comparable to the GDPR, and violators of the LGPD and APPI face substantial penalties.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self-certified under the EU-U.S. Data Privacy Framework, however such new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72160"/>
                <wp:effectExtent l="0" t="0" r="0" b="0"/>
                <wp:wrapNone/>
                <wp:docPr id="31" name="Frame3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Framework, and have also self-certified under the Swiss Data Privacy Framework in anticipation of a similar adequacy decision from the Swiss government.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72160"/>
                <wp:effectExtent l="0" t="0" r="0" b="0"/>
                <wp:wrapNone/>
                <wp:docPr id="32" name="Frame3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depend in part upon our intellectual property rights. As of January 31, 2024, we had 77 issued patents and 35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been and may in the future be, subject to intellectual property rights claims by third parties, which may be costly to defend, could require us to pay significant damages and could limit our ability to use certain technologies.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72160"/>
                <wp:effectExtent l="0" t="0" r="0" b="0"/>
                <wp:wrapNone/>
                <wp:docPr id="33" name="Frame3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open source software. For example, Realtime Data (“Realtime”) filed a lawsuit against us in the United States District Court for the District of Delaware in March 2019 alleging that we are infringing three U.S. patents that it holds: the 908 Patent, the 751 Patent and the 825 Patent. See “Part I, Item 3, Legal Proceedings, of this Form 10-K.”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maintain successful relationships with our partners, our business, results of operations and financial condition could be harmed.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upon third-party cloud providers to host our cloud offering; any disruption of or interference with our use of third-party cloud providers would adversely affect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72160"/>
                <wp:effectExtent l="0" t="0" r="0" b="0"/>
                <wp:wrapNone/>
                <wp:docPr id="34" name="Frame3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Interruptions or performance problems associated with our technology and infrastructure may adversely affect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Incorrect or improper implementation or use of our software could result in customer dissatisfaction and harm our business, results of operations, financial condition and growth prospects.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meet our service level commitments, our business, results of operations and financial condition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72160"/>
                <wp:effectExtent l="0" t="0" r="0" b="0"/>
                <wp:wrapNone/>
                <wp:docPr id="35" name="Frame3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and considering the current period of heightened employee attrition in the United States and other countries.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our brand, especially among developers, our business and results of operations may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continue to maintain and develop our corporate culture, we may be unable to execute effectively and foster the innovation, creativity and entrepreneurial spirit we believe we need to support our growth, which could harm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depend and rely upon SaaS technologies from third parties to operate our business and interruptions or performance problems with these technologies may adversely affect our business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72160"/>
                <wp:effectExtent l="0" t="0" r="0" b="0"/>
                <wp:wrapNone/>
                <wp:docPr id="36" name="Frame3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Indemnity provisions in various agreements could expose us to substantial liability for data breaches, intellectual property infringement and other losses.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Because our long-term growth strategy involves sales to customers outside the United States, our business is susceptible to risks associated with international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derived internationally and we are susceptible to risks related to our international operations. In the fiscal years ended January 31, 2024, 2023 and 2022, total revenue generated from customers outside the United States was 46%, 45% and 46%,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changes in a specific country’s or region’s political or economic conditions;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the need to adapt and localize our products for specific countries;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greater difficulty collecting accounts receivable and longer payment cycles;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unexpected changes in laws, regulatory requirements, taxes or trade laws;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shelter-in-place, occupancy limitations or similar orders, private travel limitation, or business disruption in regions affecting our operations, stemming from actual, imminent or perceived outbreak of contagious disease;</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more stringent regulations relating to data privacy and security and the unauthorized use of, or access to, commercial and personal data, particularly in EMEA;</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differing labor regulations, especially in EMEA, where labor laws are generally more advantageous to employees as compared to the United States, including deemed hourly wage and overtime regulations in these locations;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increased costs associated with international operations, including travel, real estate, infrastructure and legal compliance costs;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currency exchange rate fluctuations and the resulting effect on our revenue and expenses and the cost and risk of entering into hedging transactions if we chose to do so in the future;</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the effect of other economic factors, including inflation, pricing and currency devaluation;</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laws and business practices favoring local competitors or general preferences for local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72160"/>
                <wp:effectExtent l="0" t="0" r="0" b="0"/>
                <wp:wrapNone/>
                <wp:docPr id="37" name="Frame3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operating in new, developing or other markets in which there are significant uncertainties regarding the interpretation, application and enforceability of laws and regulations, including relating to contract and intellectual property rights;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limited or insufficient intellectual property protection or difficulties enforcing our intellectual property;</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exposure to liabilities under anti-corruption and anti-money laundering laws, including the U.S. Foreign Corrupt Practices Act, U.K. Bribery Act and similar laws and regulations in other jurisdictions; and</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adverse tax burdens and foreign exchange controls that could make it difficult to repatriate earnings and cash.</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currency exchange rates fluctuate substantially in the future, our financial results, which are reported in U.S. dollars,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laws and regulations related to the internet or changes in the internet infrastructure itself may diminish the demand for our software and could have a negative impact on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72160"/>
                <wp:effectExtent l="0" t="0" r="0" b="0"/>
                <wp:wrapNone/>
                <wp:docPr id="38" name="Frame3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expand through acquisitions or investments in strategic partnerships, each of which may divert our management’s attention, result in additional dilution to our stockholders, increase expenses, disrupt our operations, and harm our results of operations.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grow our business in response to changing technologies, customer demands and competitive pressures. In some circumstances, we may choose to do so through acquisitions or investments in strategic partnerships, rather than through internal development. The identification of suitable acquisition candidates can be difficult, time-consuming and costly and we may not be able to successfully complete identified acquisitions.</w:t>
      </w:r>
    </w:p>
    <w:p>
      <w:pPr>
        <w:pStyle w:val="TextBody"/>
        <w:bidi w:val="0"/>
        <w:spacing w:before="0" w:after="0"/>
        <w:ind w:left="0" w:right="0" w:firstLine="72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risks we face in connection with any acquisitions or strategic investments include: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not be able to realize anticipated synergies;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acquisition or strategic investment may disrupt our ongoing business, divert resources, increase our expenses and distract our management;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encounter challenges integrating the employees of the acquired company into our company culture;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for international transactions, we may face additional challenges related to the integration of operations across different cultures and languages and the economic, political and regulatory risks associated with specific countries;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be unable to successfully sell any acquired products or increase adoption or usage of acquired products, or increase spend by acquired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use of cash to pay for acquisitions or strategic investment would limit other potential uses for our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72160"/>
                <wp:effectExtent l="0" t="0" r="0" b="0"/>
                <wp:wrapNone/>
                <wp:docPr id="39" name="Frame3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incur debt to fund any acquisitions, such debt may subject us to material restrictions on our ability to conduct our business, including financial maintenance covenants;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issue a significant amount of equity securities in connection with future acquisitions, existing stockholders may be diluted and earnings per share may decrease.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risks could have an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non-marketable securities, including partial or complete loss of invested capital. Significant changes in the fair value of our private investment portfolio could negatively impact our financial results.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Failure to comply with anti-bribery, anti-corruption and anti-money laundering laws could subject us to penalties and other adverse consequences.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reported financial results may be adversely affected by changes in accounting principles generally accepted in the United States.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72160"/>
                <wp:effectExtent l="0" t="0" r="0" b="0"/>
                <wp:wrapNone/>
                <wp:docPr id="40" name="Frame4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climate-related disclosures may require us to update our accounting or operational policies, processes, or systems to reflect new or amended financial reporting standards. Such changes may adversely affect our business, financial condition and operating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in the Notes to Consolidated Financial Statements included in Part II, Item 8,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of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72160"/>
                <wp:effectExtent l="0" t="0" r="0" b="0"/>
                <wp:wrapNone/>
                <wp:docPr id="41" name="Frame4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operations or the growth of our business and we cannot be certain that this capital will be available on reasonable terms when required, or at all.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a multinational organization with a distributed workforce facing increasingly complex tax issues in many jurisdictions and we could be obligated to pay additional taxes in various jurisdictions.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enactment of legislation implementing changes in U.S. taxation of international business activities or the adoption of other tax reform policies could materially impact our financial position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 stock buybacks. In addition, the E.U. member states formally adopted the EU’s Pillar Two Directive, which was established by the Organisation for Economic Co-operation and Development (“OECD”). Pillar Two generally imposes a 15 percent minimum effective tax rate in the jurisdictions where multinational enterprises operate and is effective for accounting periods beginning on or after December 31, 2023. While the Company does not anticipate that this will have a material impact on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72160"/>
                <wp:effectExtent l="0" t="0" r="0" b="0"/>
                <wp:wrapNone/>
                <wp:docPr id="42" name="Frame4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or effective tax rate in the short-term, the Company continues to monitor evolving tax legislation in the jurisdictions in which it operates.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to offset future taxable income may be subject to certain limitations.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2024,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that could impair our ability to compete in international markets or subject us to liability if we violate the controls.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72160"/>
                <wp:effectExtent l="0" t="0" r="0" b="0"/>
                <wp:wrapNone/>
                <wp:docPr id="43" name="Frame4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earthquakes, fire, floods, pandemics and public health emergencies and other natural catastrophic events and to interruption by man-made problems such as power disruptions,security breaches or other security incidents, or terrorism.</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pStyle w:val="TextBody"/>
        <w:bidi w:val="0"/>
        <w:spacing w:lineRule="auto" w:line="288" w:before="0" w:after="180"/>
        <w:jc w:val="left"/>
        <w:rPr/>
      </w:pPr>
      <w:r>
        <w:rPr>
          <w:rFonts w:ascii="Times New Roman;sans-serif" w:hAnsi="Times New Roman;sans-serif"/>
          <w:b/>
          <w:i/>
          <w:color w:val="000000"/>
          <w:sz w:val="20"/>
        </w:rPr>
        <w:t>We are subject to risks related to our environmental, social, and governance activities and disclosures</w:t>
      </w:r>
      <w:r>
        <w:rPr>
          <w:rFonts w:ascii="Times New Roman;sans-serif" w:hAnsi="Times New Roman;sans-serif"/>
          <w:b w:val="false"/>
          <w:color w:val="000000"/>
          <w:sz w:val="20"/>
        </w:rPr>
        <w:t>.</w:t>
      </w:r>
    </w:p>
    <w:p>
      <w:pPr>
        <w:pStyle w:val="TextBody"/>
        <w:bidi w:val="0"/>
        <w:spacing w:lineRule="auto" w:line="26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developing our sustainability initiatives. The implementation of such initiatives may require considerable investment and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w:t>
      </w:r>
    </w:p>
    <w:p>
      <w:pPr>
        <w:pStyle w:val="TextBody"/>
        <w:bidi w:val="0"/>
        <w:spacing w:lineRule="auto" w:line="26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is an increasing focus from regulators, certain investors and other stakeholders concerning environmental, social, and governance (“ESG”) matters, both in the United States and internationally. We communicate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72160"/>
                <wp:effectExtent l="0" t="0" r="0" b="0"/>
                <wp:wrapNone/>
                <wp:docPr id="44" name="Frame4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ESG-related initiatives and goals regarding environmental matters, diversity and other matters in our annually released Corporate Sustainability Report, on our website and elsewhere. Any of our current or future initiatives, goals and commitments could be difficult to achieve and costly to implement. We could fail to achieve, or be perceived to fail to achieve, our ESG-related initiatives, goals and commitments. In addition, we could be criticized for the timing, scope or nature of these initiatives, goals and commitments, or for any revisions to them.</w:t>
      </w:r>
    </w:p>
    <w:p>
      <w:pPr>
        <w:pStyle w:val="TextBody"/>
        <w:bidi w:val="0"/>
        <w:spacing w:lineRule="auto" w:line="26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we may have to expend significant efforts and resources to keep up with market trends and stay competitive among our peers.</w:t>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Social, ethical, security and regulatory issues relating to the use of new and evolving technologies, such as AI, in our offerings or partnerships may result in reputational harm and liability.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Social, ethical, security and regulatory issues relating to the use of new and evolving technologies such as AI, including generative AI, in our offerings or partnerships, may result in reputational harm and liability, and may cause us to incur additional research and development costs to resolve such issues. As with many innovations, AI presents risks and challenges that could affect its adoption, and therefore our business. No assurance can be provided that our use of AI will enhance our products or services or produce the intended results. For example, AI algorithms may be flawed, insufficient, of poor quality, reflect unwanted forms of bias, or contain other errors or inadequacies, any of which may not be easily detectable and AI, particularly generative AI, has been known to produce false or “hallucinatory” inferences or outputs. If we enable or offer solutions that draw controversy due to their perceived or actual impact on society,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AI and machine learning may change the way our industry identifies and responds to cybersecurity threats, and businesses that are slow to adopt or fail to adopt such new technologies may face a competitive disadvantage. The rapid evolution of AI will require the application of resources to develop, test and maintain any potential offerings or partnerships to help ensure that AI is implemented ethically in order to minimize unintended, harmful impact.</w:t>
      </w:r>
    </w:p>
    <w:p>
      <w:pPr>
        <w:pStyle w:val="TextBody"/>
        <w:bidi w:val="0"/>
        <w:spacing w:before="0" w:after="0"/>
        <w:ind w:left="0" w:right="0" w:firstLine="54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use of AI may enhance intellectual property, cybersecurity, operational and technological risks. As the regulatory framework for AI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or related technologies, our financial condition and our results of operations, including as a result of the cost to comply with such laws or regulations. 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AI-generated works and the potential for security flaws in output code. 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In particular, we are monitoring the development of EU AI Act, which was approved in a political agreement in December 2023. We may not be able to anticipate how to respond to these rapidly evolving frameworks, and we may need to expend resources to adjust our operations or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common stock has been and is likely to continue to be volatile, which could cause the value of our common stock to decline.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72160"/>
                <wp:effectExtent l="0" t="0" r="0" b="0"/>
                <wp:wrapNone/>
                <wp:docPr id="45" name="Frame4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our results of operations meet the expectations of securities analysts or investors;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announcements of new products or technologies, commercial relationships, acquisitions or other events by us or our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how customers perceive the benefits of our product and future product offerings and releases;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departures of key personnel;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fluctuations in the trading volume of our shares or the size of our public float;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sales of large blocks of our common stock;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actual or future expectations of investors or securities analysts;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significant data breach or other security incident involving our software;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litigation involving us, our industry, or both;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regulatory developments in the United States, foreign countries or both;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general economic conditions and trends;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major catastrophic events in our domestic and foreign markets;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flash crashes,” “freeze flashes” or other glitches that disrupt trading on the securities exchange on which we are listed.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fail to meet our publicly announced guidance or other expectations about our business and future operating results, which would cause our stock price to decline.</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conflicts between Russia and Ukraine and Israel and Hamas,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72160"/>
                <wp:effectExtent l="0" t="0" r="0" b="0"/>
                <wp:wrapNone/>
                <wp:docPr id="46" name="Frame4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issuance of additional capital stock in connection with financings, acquisitions, investments, our equity incentive plans or otherwise will dilute all other stockholders.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for the foreseeable future.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72160"/>
                <wp:effectExtent l="0" t="0" r="0" b="0"/>
                <wp:wrapNone/>
                <wp:docPr id="47" name="Frame4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any action asserting a breach of fiduciary duty;</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any action asserting a claim against us arising under the Delaware General Corporation Law, our amended and restated certificate of incorporation, or our amended and restated bylaws; and</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any action asserting a claim against us that is governed by the internal-affairs doctrine.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Delaware law and our corporate charter and bylaws contain anti-takeover provisions that could delay or discourage takeover attempts that stockholders may consider favorable.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72160"/>
                <wp:effectExtent l="0" t="0" r="0" b="0"/>
                <wp:wrapNone/>
                <wp:docPr id="48" name="Frame4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pStyle w:val="TextBody"/>
        <w:bidi w:val="0"/>
        <w:spacing w:lineRule="auto" w:line="288" w:before="0" w:after="180"/>
        <w:ind w:left="0" w:right="0" w:hanging="54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of substantial amounts of our common stock in the public markets, or the perception that they might occur, could cause the market price of our common stock to decline.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common stock into the public market, particularly sales by our directors, executive officers, and principal stockholders, or the perception that these sales might occur, could cause the market price of our common stock to decline.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 substantial number of shares of our common stock is reserved for issuance upon the exercise of the 2026 Notes (as defined below). If we elect to satisfy our conversion obligation on the 2026 Notes solely in shares of our common stock upon conversion of the 2026 Notes, we will be required to deliver shares of our common stock, together with cash for any fractional share.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Outstanding Notes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incurred a significant amount of debt and may in the future incur additional indebtedness. We may not have sufficient cash flow from our business to make payments on our substantial debt when due.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72160"/>
                <wp:effectExtent l="0" t="0" r="0" b="0"/>
                <wp:wrapNone/>
                <wp:docPr id="49" name="Frame4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 Additionally, weakness and volatility in capital markets and the economy, in general or as a result of macroeconomic conditions such as rising inflation, could limit our access to capital markets and increase our costs of borrowing.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We also may not have enough available cash or be able to obtain financing at the time the 2026 Notes mature. Our failure to pay any cash payable on future conversions of the 2026 Notes as required by the indenture would constitute a default under the indenture for the 2026 Notes. In addition, even if holders of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conditional conversion feature of the 2026 Notes was triggered during the three months ended January 31, 2024, as the last reported sale price of our common stock was more than or equal to 130% of the applicable conversion price for at least 20 trading days in the period of 30 consecutive trading days ending on January 31, 2024 (the last trading day of the fiscal quarter). Therefore, the 2026 Notes are currently convertible at the option of the holders thereof, in whole or in part, from February 1, 2024 through April 30, 2024. Whether the 2026 Notes will be convertible following such fiscal quarter will depend on the continued satisfaction of this condition or another conversion condition in the future.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capped call transactions may affect the value of the 2026 Notes and our common stock.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72160"/>
                <wp:effectExtent l="0" t="0" r="0" b="0"/>
                <wp:wrapNone/>
                <wp:docPr id="50" name="Frame5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Risk Management</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MongoDB, cybersecurity risk management is an integral part of our overall information security program, which we review and update at least annually to reflect changes to our organization, business practices, technology and services, and applicable legislation and regulations. Our information security program is designed to align with the National Institute of Standards and Technology Cyber Security Framework and provides a framework for handling cybersecurity threats and incidents, including threats and incidents associated with the use of services provided by third parties. This framework includes steps for assessing the severity of a cybersecurity threat or incident, identifying the source of a cybersecurity threat or incident including whether the cybersecurity threat or incident is associated with a third-party service provider, implementing cybersecurity countermeasures and mitigation strategies and informing management and our board of directors of material cybersecurity threats and incidents. In addition, our information security team provides ongoing education to and requires mandatory training at least once annually of all employees. To bolster the security of our products and services, we have appropriate technical and organizational measures in place to protect data that our customers upload to MongoDB Atlas, which is certified against ISO 27001:2013, ISO 27017:2015, ISO 27018:2019, SOC 2 Type II, Payment Card Industry Data Security Standard v.4, and Cloud Security Alliance (“CSA”) Security, Trust, Assurance, Information Security Registered Assessors Program and Risk (“STAR”) Level 2. We also engage third parties to perform annual audits of our standards-based certifications and we have undergone a Health Insurance Portability and Accountability Act examination validated by a qualified third-party assessor.</w:t>
      </w:r>
    </w:p>
    <w:p>
      <w:pPr>
        <w:pStyle w:val="TextBody"/>
        <w:bidi w:val="0"/>
        <w:spacing w:before="0" w:after="180"/>
        <w:ind w:left="0" w:right="0" w:firstLine="540"/>
        <w:jc w:val="left"/>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Governance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overall oversight responsibility for our enterprise risk management, and delegates cybersecurity risk management oversight to its Audit Committee. The Audit Committee is responsible for ensuring that management has processes in place designed to identify and assess cybersecurity risks to which the Company is exposed and implement processes and programs designed to manage cybersecurity risks, including mitigation and remediation of cybersecurity threats and incidents. In addition, on a quarterly basis, certain members of our board of directors meet with our Chief Information Security Officer, (“CISO”), and other senior executives to perform more in-depth reviews of the Company’s cybersecurity programs, as well as relevant cybersecurity risks and mitigation strategies and report back to the Audit Committee regarding the matters reviewed. Ahead of each such quarterly meeting, management, including the CISO and our information security team, prepares and provides cybersecurity reports that cover, among other topics, developments in cybersecurity and updates to the company’s cybersecurity programs and mitigation strategies, legislative developments affecting MongoDB's information security program, and notable security incidents and investigations. The Audit Committee subsequently reports material cybersecurity matters to our full board of directors. In addition, our management follows a risk-based escalation process to notify the Audit Committee outside of the regular reporting cycle when they identify an emerging cybersecurity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programs are under the direction of our CISO, who receives reports from our information security team and monitors the prevention, detection, mitigation, and remediation of cybersecurity incidents. Our CISO and dedicated security leaders are certified and experienced information systems security professionals and information security managers each with well over a decade of experience. Our CISO and information security team, along with our management, are responsible for identifying, considering and assessing material cybersecurity risks on an ongoing basis, establishing processes to ensure that such potential cybersecurity risk exposures are monitored, putting in place appropriate mitigation measures and maintaining our cybersecurity programs.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Despite our efforts, we cannot eliminate all risks from cybersecurity threats, or provide assurances that we have not experienced an undetected cybersecurity incident. For more information about these risks, please see “Risk Factors – Risks Related to our Business and Industry” in this annual report on Form 10-K.</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principal executive office is located in New York, New York and, as of January 31, 2024, consists of approximately 106,230 square feet of space under a lease that expires in December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72160"/>
                <wp:effectExtent l="0" t="0" r="0" b="0"/>
                <wp:wrapNone/>
                <wp:docPr id="51" name="Frame5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lease over 60 other offices of varying sizes around the world for our employees, with the largest located in Gurgaon, Dublin, Sydney, Austin, Palo Alto, London and San Francisco.</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lease all of our facilities and do not own any real property. We may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information required to be set forth under this Item 3 is incorporated by reference to Note 8,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of the Notes to Consolidated Financial Statements included in this Annual Report on Form 10-K.</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72160"/>
                <wp:effectExtent l="0" t="0" r="0" b="0"/>
                <wp:wrapNone/>
                <wp:docPr id="52" name="Frame5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Nasdaq Global Market (the “Nasdaq”) under the symbol “MDB.”</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13, 2024, there were 39 stockholders of record of our common stock and the closing price of our common stock was $372.81 per share as reported on the Nasdaq. Because many of our shares of common stock are held by brokers and other institutions on behalf of stockholders, we are unable to estimate the total number of stockholders represented by these record holders.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of shares of our common stock during the three months ended January 31, 2024.</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72160"/>
                <wp:effectExtent l="0" t="0" r="0" b="0"/>
                <wp:wrapNone/>
                <wp:docPr id="53" name="Frame5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graph below shows a comparison, from January 31, 2019 through January 31, 2024, of the cumulative total return to stockholders of our common stock relative to the Nasdaq Composite Index (“Nasdaq Composite”) and the Nasdaq Computer Index (“Nasdaq Computer”).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graph assumes that $100 was invested in each of our common stock, the Nasdaq Composite and the Nasdaq Computer at their respective closing prices on January 31, 2019 and assumes reinvestment of gross dividends. The stock price performance shown in the graph represents past performance and should not be considered an indication of future stock price performance.</w:t>
      </w:r>
    </w:p>
    <w:p>
      <w:pPr>
        <w:pStyle w:val="TextBody"/>
        <w:bidi w:val="0"/>
        <w:spacing w:before="0" w:after="180"/>
        <w:jc w:val="left"/>
        <w:rPr/>
      </w:pPr>
      <w:r>
        <w:rPr/>
        <w:drawing>
          <wp:inline distT="0" distB="0" distL="0" distR="0">
            <wp:extent cx="6400800" cy="3219450"/>
            <wp:effectExtent l="0" t="0" r="0" b="0"/>
            <wp:docPr id="5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 descr=""/>
                    <pic:cNvPicPr>
                      <a:picLocks noChangeAspect="1" noChangeArrowheads="1"/>
                    </pic:cNvPicPr>
                  </pic:nvPicPr>
                  <pic:blipFill>
                    <a:blip r:embed="rId2"/>
                    <a:stretch>
                      <a:fillRect/>
                    </a:stretch>
                  </pic:blipFill>
                  <pic:spPr bwMode="auto">
                    <a:xfrm>
                      <a:off x="0" y="0"/>
                      <a:ext cx="6400800" cy="3219450"/>
                    </a:xfrm>
                    <a:prstGeom prst="rect">
                      <a:avLst/>
                    </a:prstGeom>
                  </pic:spPr>
                </pic:pic>
              </a:graphicData>
            </a:graphic>
          </wp:inline>
        </w:drawing>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MongoDB, Inc. under the Securities Act or the Exchange Act.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72160"/>
                <wp:effectExtent l="0" t="0" r="0" b="0"/>
                <wp:wrapNone/>
                <wp:docPr id="55" name="Frame5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following discussion should be read in conjunction with the consolidated financial statements and notes thereto included in Part II,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Form 10-K. All information presented herein is based on our fiscal calendar. Unless otherwise stated, references to particular years, quarters, months or periods refer to our fiscal years ended January 31 and the associated quarters, months and periods of those fiscal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and application-driven analytics that allow developers to address a broader range of application requirements. Our business model combines the developer mindshare and adoption benefits of open source with the economic benefits of a proprietary software subscription business model.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from sales of subscriptions, which accounted for 97% of our total revenue for the year ended January 31, 2024 and 96% of our total revenue for the each of the years ended January 31, 2023 and 2022, respectively.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Atlas is our hosted multi-cloud database-as-a-service (“DBaaS”) offering, which we run and manage in the cloud, and includes comprehensive infrastructure and management, as well as a host of additional features, such as MongoDB Atlas Search, Vector search, time series and application-driven analytics. During the year ended January 31, 2024, MongoDB Atlas revenue represented 66% of our total revenue, as compared to 63% in the prior year, reflecting the continued growth of MongoDB Atlas since its introduction in June 2016. We have experienced strong growth in self-serve customers of MongoDB Atlas, which are charged monthly in arrears based on their usage. We have also seen growth in MongoDB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MongoDB Atlas contracts to be billed monthly in arrears based on usage without requiring upfront commitments.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MongoDB Enterprise Advanced is our proprietary commercial database server offering for enterprise customers that can run in the cloud, on-premises or in a hybrid environment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MongoDB Enterprise Advanced revenue represented 26%, 29% and 35% of our subscription revenue for the years ended January 31, 2024, 2023 and 2022,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Many of our enterprise customers initially get to know our software by using Community Server, which is our free-to-download version of our database that includes the core functionality developers need to get started with MongoDB without all the features of our commercial platform. </w:t>
      </w:r>
      <w:r>
        <w:rPr>
          <w:rFonts w:ascii="Times New Roman;sans-serif" w:hAnsi="Times New Roman;sans-serif"/>
          <w:b w:val="false"/>
          <w:color w:val="000000"/>
          <w:sz w:val="20"/>
          <w:shd w:fill="FFFFFF" w:val="clear"/>
        </w:rPr>
        <w:t xml:space="preserve">Our platform has been downloaded from our website more than 500 million times since February 2009. We also offer a free tier of MongoDB Atlas, which provides access to our hosted database solution with limited processing power and storage, as well as certain operational limitations. </w:t>
      </w:r>
      <w:r>
        <w:rPr>
          <w:rFonts w:ascii="Times New Roman;sans-serif" w:hAnsi="Times New Roman;sans-serif"/>
          <w:b w:val="false"/>
          <w:color w:val="000000"/>
          <w:sz w:val="20"/>
        </w:rPr>
        <w:t>As a result, with the availability of both Community Server and MongoDB Atlas free tier offerings, our direct sales prospects are often familiar with our platform and may have already built applications using our technology. A core component of our growth strategy</w:t>
      </w:r>
      <w:r>
        <w:rPr>
          <w:color w:val="000000"/>
          <w:shd w:fill="FFFFFF" w:val="clear"/>
        </w:rPr>
        <w:t xml:space="preserve"> </w:t>
      </w:r>
      <w:r>
        <w:rPr>
          <w:rFonts w:ascii="Times New Roman;sans-serif" w:hAnsi="Times New Roman;sans-serif"/>
          <w:b w:val="false"/>
          <w:color w:val="000000"/>
          <w:sz w:val="20"/>
          <w:shd w:fill="FFFFFF" w:val="clear"/>
        </w:rPr>
        <w:t xml:space="preserve">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 </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We also generate revenue from services, which consist primarily of fees associated with consulting and training services. Revenue from services accounted</w:t>
      </w:r>
      <w:r>
        <w:rPr>
          <w:color w:val="000000"/>
        </w:rPr>
        <w:t xml:space="preserve"> </w:t>
      </w:r>
      <w:r>
        <w:rPr>
          <w:rFonts w:ascii="Times New Roman;sans-serif" w:hAnsi="Times New Roman;sans-serif"/>
          <w:b w:val="false"/>
          <w:color w:val="000000"/>
          <w:sz w:val="20"/>
        </w:rPr>
        <w:t>for 3% of our total revenue for the year ended January 31, 2024 and 4% of our total revenue for each of the years ended January 31, 2023 and 2022, respectively. We expect to continue to invest in our services organization as we believe it plays an important role in accelerating our customers’ realization of the benefits of our platform, which helps drive customer retention and expansion.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72160"/>
                <wp:effectExtent l="0" t="0" r="0" b="0"/>
                <wp:wrapNone/>
                <wp:docPr id="56" name="Frame5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market for our offerings is large and growing. We have experienced rapid growth and have made substantial investments in developing our platform and expanding our sales and marketing footprint. We intend to continue to invest to grow our business to take advantage of our market opportunity.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Macroeconomic and Other Factors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operational and financial performance is subject to risks including those caused by the adverse macroeconomic environment and the geopolitical landscape.</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Adverse macroeconomic conditions include slower or negative economic growth, higher inflation and higher interest rates. During the year ended January 31, 2024, the macroeconomic environment negatively impacted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developments of the macroeconomic environment and the geopolitical landscape. As these factors develop and we evaluate their impact on our business, we may adjust our business practices accordingly. For further discussion of the potential impacts of these factors on our business, operating results, and financial condition, see the section titled “Risk Factors” included in Part I, Item 1A of this Form 10-K. Other factors affecting our performance are discussed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Extending Product Leadership and Maintaining Developer Mindshare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delivering market-leading products to continue to build and maintain credibility with the global software developer community. We believe we must maintain our product leadership position and the strength of our brand to drive further revenue growth. We intend to continue to invest in our product offerings with the goal of expanding the functionality and adoption of our developer data platform. During 2022, we introduced new features, capabilities and improvements such as column store indexes, in-app analytics, Atlas Serverless and Atlas Device Sync, allowing developer teams to accomplish more over a wider range of workloads. With Queryable Encryption, we pioneered the industry’s first encrypted search scheme using breakthrough cryptography engineering. During 2023, we added additional capabilities such as Atlas Vector Search and Atlas Stream Processing, as well as additional features for Atlas Search Nodes, which now provide dedicated infrastructure for search use cases so customers can scale independently of their database to manage their workloads with greater flexibility and operational efficiency.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invest in our engineering capabilities and marketing activities to maintain our strong position in the developer community. We have spent $1.9 billion on research and development since our inception. Our results of operations may fluctuate as we make these investments to drive increased customer adoption and usage.</w:t>
      </w:r>
    </w:p>
    <w:p>
      <w:pPr>
        <w:pStyle w:val="TextBody"/>
        <w:bidi w:val="0"/>
        <w:spacing w:lineRule="auto" w:line="288" w:before="0" w:after="180"/>
        <w:jc w:val="left"/>
        <w:rPr/>
      </w:pPr>
      <w:r>
        <w:rPr>
          <w:rFonts w:ascii="Times New Roman;sans-serif" w:hAnsi="Times New Roman;sans-serif"/>
          <w:b w:val="false"/>
          <w:i/>
          <w:color w:val="2C2C2C"/>
          <w:sz w:val="20"/>
          <w:shd w:fill="FFFFFF" w:val="clear"/>
        </w:rPr>
        <w:t>Growing Our Customer B</w:t>
      </w:r>
      <w:r>
        <w:rPr>
          <w:rFonts w:ascii="Times New Roman;sans-serif" w:hAnsi="Times New Roman;sans-serif"/>
          <w:b w:val="false"/>
          <w:i/>
          <w:color w:val="2C2C2C"/>
          <w:sz w:val="20"/>
        </w:rPr>
        <w:t>ase and Expanding Our Global Reach</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We are intensely focused on continuing to </w:t>
      </w:r>
      <w:r>
        <w:rPr>
          <w:rFonts w:ascii="Times New Roman;sans-serif" w:hAnsi="Times New Roman;sans-serif"/>
          <w:b w:val="false"/>
          <w:color w:val="000000"/>
          <w:sz w:val="20"/>
        </w:rPr>
        <w:t xml:space="preserve">grow our customer base. We have invested, and expect to continue to invest, in our sales and marketing efforts and developer community outreach, which are critical to driving customer acquisition. As of January 31, 2024, we had over 47,800 customers across a wide range of industries and in over 100 countries, compared to over 40,800 customers and over 33,000 customers as of January 31, 2023 and 2022, respectively. </w:t>
      </w:r>
      <w:r>
        <w:rPr>
          <w:rFonts w:ascii="Times New Roman;sans-serif" w:hAnsi="Times New Roman;sans-serif"/>
          <w:b w:val="false"/>
          <w:color w:val="000000"/>
          <w:sz w:val="20"/>
          <w:shd w:fill="FFFFFF" w:val="clear"/>
        </w:rPr>
        <w:t xml:space="preserve">All affiliated entities are counted as a single customer </w:t>
      </w:r>
      <w:r>
        <w:rPr>
          <w:rFonts w:ascii="Times New Roman;sans-serif" w:hAnsi="Times New Roman;sans-serif"/>
          <w:b w:val="false"/>
          <w:color w:val="000000"/>
          <w:sz w:val="20"/>
        </w:rPr>
        <w:t>and our definition of “customer” excludes users of our free offerings</w:t>
      </w:r>
      <w:r>
        <w:rPr>
          <w:rFonts w:ascii="Times New Roman;sans-serif" w:hAnsi="Times New Roman;sans-serif"/>
          <w:b w:val="false"/>
          <w:color w:val="000000"/>
          <w:sz w:val="20"/>
          <w:shd w:fill="FFFFFF" w:val="clear"/>
        </w:rPr>
        <w:t>.</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As of January 31, 2024, we had over 7,000 cus</w:t>
      </w:r>
      <w:r>
        <w:rPr>
          <w:rFonts w:ascii="Times New Roman;sans-serif" w:hAnsi="Times New Roman;sans-serif"/>
          <w:b w:val="false"/>
          <w:color w:val="000000"/>
          <w:sz w:val="20"/>
          <w:shd w:fill="FFFFFF" w:val="clear"/>
        </w:rPr>
        <w:t xml:space="preserve">tomers that were </w:t>
      </w:r>
      <w:r>
        <w:rPr>
          <w:rFonts w:ascii="Times New Roman;sans-serif" w:hAnsi="Times New Roman;sans-serif"/>
          <w:b w:val="false"/>
          <w:color w:val="000000"/>
          <w:sz w:val="20"/>
        </w:rPr>
        <w:t>sold through our direct sales force and channel partners, as compared to over 6,400 and over 4,400 such customers as of January 31, 2023 and 2022, respectively. These customers, which we refer to as our Direct Sales Customers, accounted for 88%, 87% and 85% of our subscription revenue for the years ended January 31, 2024, 2023 and 2022, respectively. The percentage of our subscription revenue from Direct Sales Customers increased,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We had over 46,300 Mo</w:t>
      </w:r>
      <w:r>
        <w:rPr>
          <w:rFonts w:ascii="Times New Roman;sans-serif" w:hAnsi="Times New Roman;sans-serif"/>
          <w:b w:val="false"/>
          <w:color w:val="000000"/>
          <w:sz w:val="20"/>
          <w:shd w:fill="FFFFFF" w:val="clear"/>
        </w:rPr>
        <w:t xml:space="preserve">ngoDB Atlas customers as of </w:t>
      </w:r>
      <w:r>
        <w:rPr>
          <w:rFonts w:ascii="Times New Roman;sans-serif" w:hAnsi="Times New Roman;sans-serif"/>
          <w:b w:val="false"/>
          <w:color w:val="000000"/>
          <w:sz w:val="20"/>
        </w:rPr>
        <w:t>January 31, 2024</w:t>
      </w:r>
      <w:r>
        <w:rPr>
          <w:rFonts w:ascii="Times New Roman;sans-serif" w:hAnsi="Times New Roman;sans-serif"/>
          <w:b w:val="false"/>
          <w:color w:val="000000"/>
          <w:sz w:val="20"/>
          <w:shd w:fill="FFFFFF" w:val="clear"/>
        </w:rPr>
        <w:t>. The growth in MongoDB Atlas customers included new customers to MongoDB and existing MongoDB Enterprise Advanced customers adding incremental MongoDB Atlas workloads.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72160"/>
                <wp:effectExtent l="0" t="0" r="0" b="0"/>
                <wp:wrapNone/>
                <wp:docPr id="57" name="Frame5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i/>
          <w:color w:val="2C2C2C"/>
          <w:sz w:val="20"/>
          <w:shd w:fill="FFFFFF" w:val="clear"/>
        </w:rPr>
      </w:pPr>
      <w:r>
        <w:rPr>
          <w:rFonts w:ascii="Times New Roman;sans-serif" w:hAnsi="Times New Roman;sans-serif"/>
          <w:b w:val="false"/>
          <w:i/>
          <w:color w:val="2C2C2C"/>
          <w:sz w:val="20"/>
          <w:shd w:fill="FFFFFF" w:val="clear"/>
        </w:rPr>
        <w:t>Retaining and Expanding Revenue from Existing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year ended January 31, 2024, we believe we experienced a negative impact from the macroeconomic environment on the growth of existing Atlas applications, which affected our revenue growth. We expect the macroeconomic environment to continue to negatively impact our revenue growth.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2,052, 1,651 and 1,307 as of January 31, 2024, 2023 and 2022,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 demonstrating our ability to expand within existing customers.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ability to increase sales to existing customers will depend on a number of factors, including customers’ satisfaction or dissatisfaction with our products and services, competition, pricing, economic conditions or overall changes in our customers’ spending levels.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Investing in Growth and Scaling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focused on our long-term revenue potential. We believe that our market opportunity is large and we will continue to invest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to 2,338 employees as of January 31, 2024 from 2,249 employees and 1,713 employees as of January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Revenue</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 xml:space="preserve">Subscription Revenue. </w:t>
      </w:r>
      <w:r>
        <w:rPr>
          <w:rFonts w:ascii="Times New Roman;sans-serif" w:hAnsi="Times New Roman;sans-serif"/>
          <w:b w:val="false"/>
          <w:color w:val="000000"/>
          <w:sz w:val="20"/>
        </w:rPr>
        <w:t xml:space="preserve">Our subscription revenue is comprised of term licenses and hosted as-a-service solutions. Revenue from our MongoDB Atlas 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72160"/>
                <wp:effectExtent l="0" t="0" r="0" b="0"/>
                <wp:wrapNone/>
                <wp:docPr id="58" name="Frame5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typically invoiced on an annual basis or pays upfront. Our subscription contracts are generally non-cancelable and non-refundable.</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Services Revenue.</w:t>
      </w:r>
      <w:r>
        <w:rPr>
          <w:color w:val="000000"/>
        </w:rPr>
        <w:t xml:space="preserve"> </w:t>
      </w:r>
      <w:r>
        <w:rPr>
          <w:rFonts w:ascii="Times New Roman;sans-serif" w:hAnsi="Times New Roman;sans-serif"/>
          <w:b w:val="false"/>
          <w:color w:val="000000"/>
          <w:sz w:val="20"/>
        </w:rPr>
        <w:t xml:space="preserve">Services revenue is comprised of consulting and training services and is recognized over the period of delivery of the applicable services. We recognize revenue from services agreements as services are delivered.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Cost of Revenue</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Cost of Subscription Revenue.</w:t>
      </w:r>
      <w:r>
        <w:rPr>
          <w:color w:val="000000"/>
        </w:rPr>
        <w:t xml:space="preserve"> </w:t>
      </w:r>
      <w:r>
        <w:rPr>
          <w:rFonts w:ascii="Times New Roman;sans-serif" w:hAnsi="Times New Roman;sans-serif"/>
          <w:b w:val="false"/>
          <w:color w:val="000000"/>
          <w:sz w:val="20"/>
        </w:rPr>
        <w:t>Cost of subscription revenue primarily includes third-party cloud infrastructure expenses for our hosted as-a-service 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 xml:space="preserve">Cost of Services Revenue. </w:t>
      </w:r>
      <w:r>
        <w:rPr>
          <w:rFonts w:ascii="Times New Roman;sans-serif" w:hAnsi="Times New Roman;sans-serif"/>
          <w:b w:val="false"/>
          <w:color w:val="000000"/>
          <w:sz w:val="20"/>
        </w:rPr>
        <w:t>Cost of services revenue primarily includes personnel costs, including salaries, bonuses and benefits and stock-based 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Gross Profit and Gross Margin</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represents revenue less cost of revenue.</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Gross margin, or gross profit as a percentage of revenue, has been and will continue to be affected by a variety of factors, including 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Operating Expenses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 xml:space="preserve">Sales and marketing expense consists primarily of personnel costs, including salaries, sales commission and benefits, bonuses and 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self-serve and partner channels. </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 consists primarily of personnel costs, including salaries, bonuses and benefits, and stock-based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expense consists primarily of personnel costs, including salaries, bonuses and benefits, and 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 traded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72160"/>
                <wp:effectExtent l="0" t="0" r="0" b="0"/>
                <wp:wrapNone/>
                <wp:docPr id="59" name="Frame5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Other Income (Expense), Net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interest income, interest expense, gains and losses on investments and gains and losses from foreign currency transactions.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Provision for Income Taxes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consists primarily of state income taxes in the United States and income taxes in certain foreign jurisdictions in which we conduct business. As of January 31, 2024, we had net operating loss (“NOL”) carryforwards for U.S. federal and state, Irish and U.K. income tax purposes of approximately $2.1 billion, $2.0 billion, $781.5 million and $64.6 million, respectively, which begin to expire in the year ending January 31, 2028 for U.S. federal purposes and January 31, 2025 for state purposes. Operating losses in the United States, for years after January 31, 2019, in Ireland and the U.K. may be carried forward indefinitely. The deferred tax assets associated with the NOL carryforwards in each of these jurisdictions are subject to a full valuation allowance. Under Section 382 of the U.S. Internal Revenue Code of 1986 (the “Code”), a corporation that experiences an “ownership change” is subject to a limitation on its ability to utilize its pre-change NOLs to offset future taxable income. We also have U.S. federal and state research credit carryforwards of $133.4 million and $11.8 million, respectively, which begin to expire in the year ending January 31, 2029 for federal purposes and January 31, 2025 for state purposes. Beginning in fiscal year 2023, provisions in the U.S. Tax Cuts and Jobs Act of 2017 require the Company to capitalize and amortize research and development (“R&amp;D”) expenditures rather than deducting the costs as incurred. As the result of the new R&amp;D capitalization effective in fiscal year 2023, the capitalized amounts resulted in a decrease of the current year net operating loss. Capitalized R&amp;D expenditures are deductible as amortized in future periods. Therefore, the Company recorded a deferred tax asset for the capitalized R&amp;D expenditures.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Utilization of the federal NOL carryforwards and credits may be subject to a substantial annual limitation due to the ownership change limitations provided by the Code, as amended and similar state provisions. The annual limitation, should we undergo an ownership change, may result in the expiration of U.S. federal or state net operating losses and credits before utilization; however we do not expect any such limitation to be material.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Highlights for the Years Ended January 31, 2024, 2023 and 2022</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For the years ended January 31, 2024, 2023 and 2022, our total revenue was $1,683.0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$1,284.0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$873.8 million, respectively.</w:t>
      </w:r>
      <w:r>
        <w:rPr>
          <w:color w:val="000000"/>
        </w:rPr>
        <w:t xml:space="preserve"> </w:t>
      </w:r>
      <w:r>
        <w:rPr>
          <w:rFonts w:ascii="Times New Roman;sans-serif" w:hAnsi="Times New Roman;sans-serif"/>
          <w:b w:val="false"/>
          <w:color w:val="000000"/>
          <w:sz w:val="20"/>
        </w:rPr>
        <w:t>The increase in total revenue was primarily driven by an increase in subscription revenue from our Direct Sales Customers</w:t>
      </w:r>
      <w:r>
        <w:rPr>
          <w:rFonts w:ascii="Times New Roman;sans-serif" w:hAnsi="Times New Roman;sans-serif"/>
          <w:b w:val="false"/>
          <w:color w:val="000000"/>
          <w:sz w:val="20"/>
          <w:shd w:fill="FFFFFF" w:val="clear"/>
        </w:rPr>
        <w:t>. Our net loss was $176.6 million, $345.4 million and $306.9 million for the years ended January 31, 2024, 2023 and 2022, respectively</w:t>
      </w:r>
      <w:r>
        <w:rPr>
          <w:rFonts w:ascii="Times New Roman;sans-serif" w:hAnsi="Times New Roman;sans-serif"/>
          <w:b w:val="false"/>
          <w:color w:val="000000"/>
          <w:sz w:val="20"/>
        </w:rPr>
        <w:t>, driven primarily by higher sales and marketing spend and research and development costs</w:t>
      </w:r>
      <w:r>
        <w:rPr>
          <w:rFonts w:ascii="Times New Roman;sans-serif" w:hAnsi="Times New Roman;sans-serif"/>
          <w:b w:val="false"/>
          <w:color w:val="000000"/>
          <w:sz w:val="20"/>
          <w:shd w:fill="FFFFFF" w:val="clear"/>
        </w:rPr>
        <w:t>. Our operating cash flow was $121.5 million, $(13.0) million and $7.0 million for the years ended January 31, 2024,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72160"/>
                <wp:effectExtent l="0" t="0" r="0" b="0"/>
                <wp:wrapNone/>
                <wp:docPr id="60" name="Frame5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in U.S. dollars (in thousands) and as a percentage of our total revenue. Percentage of revenue figures are rounded and therefore may not subtotal exactly.</w:t>
      </w:r>
    </w:p>
    <w:tbl>
      <w:tblPr>
        <w:tblW w:w="10205" w:type="dxa"/>
        <w:jc w:val="left"/>
        <w:tblInd w:w="0" w:type="dxa"/>
        <w:tblLayout w:type="fixed"/>
        <w:tblCellMar>
          <w:top w:w="28" w:type="dxa"/>
          <w:left w:w="28" w:type="dxa"/>
          <w:bottom w:w="28" w:type="dxa"/>
          <w:right w:w="28" w:type="dxa"/>
        </w:tblCellMar>
      </w:tblPr>
      <w:tblGrid>
        <w:gridCol w:w="750"/>
        <w:gridCol w:w="592"/>
        <w:gridCol w:w="594"/>
        <w:gridCol w:w="211"/>
        <w:gridCol w:w="976"/>
        <w:gridCol w:w="109"/>
        <w:gridCol w:w="109"/>
        <w:gridCol w:w="109"/>
        <w:gridCol w:w="109"/>
        <w:gridCol w:w="249"/>
        <w:gridCol w:w="225"/>
        <w:gridCol w:w="462"/>
        <w:gridCol w:w="109"/>
        <w:gridCol w:w="109"/>
        <w:gridCol w:w="109"/>
        <w:gridCol w:w="211"/>
        <w:gridCol w:w="976"/>
        <w:gridCol w:w="109"/>
        <w:gridCol w:w="109"/>
        <w:gridCol w:w="109"/>
        <w:gridCol w:w="109"/>
        <w:gridCol w:w="249"/>
        <w:gridCol w:w="225"/>
        <w:gridCol w:w="462"/>
        <w:gridCol w:w="109"/>
        <w:gridCol w:w="109"/>
        <w:gridCol w:w="109"/>
        <w:gridCol w:w="211"/>
        <w:gridCol w:w="857"/>
        <w:gridCol w:w="109"/>
        <w:gridCol w:w="109"/>
        <w:gridCol w:w="109"/>
        <w:gridCol w:w="109"/>
        <w:gridCol w:w="238"/>
        <w:gridCol w:w="230"/>
        <w:gridCol w:w="525"/>
      </w:tblGrid>
      <w:tr>
        <w:trPr/>
        <w:tc>
          <w:tcPr>
            <w:tcW w:w="75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of Revenue</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ans-serif" w:hAnsi="Times New Roman;sans-serif"/>
                <w:b w:val="false"/>
                <w:color w:val="000000"/>
                <w:sz w:val="20"/>
              </w:rPr>
              <w:t>Subscription</w:t>
            </w:r>
            <w:r>
              <w:rPr>
                <w:rFonts w:ascii="Times New Roman;sans-serif" w:hAnsi="Times New Roman;sans-serif"/>
                <w:b w:val="false"/>
                <w:color w:val="000000"/>
                <w:sz w:val="13"/>
              </w:rPr>
              <w:t xml:space="preserve">(1)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ans-serif" w:hAnsi="Times New Roman;sans-serif"/>
                <w:b w:val="false"/>
                <w:color w:val="000000"/>
                <w:sz w:val="20"/>
              </w:rPr>
              <w:t>Services</w:t>
            </w:r>
            <w:r>
              <w:rPr>
                <w:rFonts w:ascii="Times New Roman;sans-serif" w:hAnsi="Times New Roman;sans-serif"/>
                <w:b w:val="false"/>
                <w:color w:val="000000"/>
                <w:sz w:val="13"/>
              </w:rPr>
              <w:t xml:space="preserve">(1)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provision for income taxes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stock-based compensation expense as follows (in thousands):</w:t>
      </w:r>
    </w:p>
    <w:tbl>
      <w:tblPr>
        <w:tblW w:w="6807" w:type="dxa"/>
        <w:jc w:val="left"/>
        <w:tblInd w:w="0" w:type="dxa"/>
        <w:tblLayout w:type="fixed"/>
        <w:tblCellMar>
          <w:top w:w="28" w:type="dxa"/>
          <w:left w:w="28" w:type="dxa"/>
          <w:bottom w:w="28" w:type="dxa"/>
          <w:right w:w="28" w:type="dxa"/>
        </w:tblCellMar>
      </w:tblPr>
      <w:tblGrid>
        <w:gridCol w:w="1081"/>
        <w:gridCol w:w="950"/>
        <w:gridCol w:w="954"/>
        <w:gridCol w:w="196"/>
        <w:gridCol w:w="736"/>
        <w:gridCol w:w="109"/>
        <w:gridCol w:w="109"/>
        <w:gridCol w:w="109"/>
        <w:gridCol w:w="109"/>
        <w:gridCol w:w="196"/>
        <w:gridCol w:w="736"/>
        <w:gridCol w:w="109"/>
        <w:gridCol w:w="109"/>
        <w:gridCol w:w="109"/>
        <w:gridCol w:w="109"/>
        <w:gridCol w:w="196"/>
        <w:gridCol w:w="73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revenue—subscription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revenue—services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Sales and marketing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Research and development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stock-based compensation expense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the Years Ended January 31, 2024 and 2023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w:t>
      </w:r>
    </w:p>
    <w:tbl>
      <w:tblPr>
        <w:tblW w:w="6686" w:type="dxa"/>
        <w:jc w:val="left"/>
        <w:tblInd w:w="0" w:type="dxa"/>
        <w:tblLayout w:type="fixed"/>
        <w:tblCellMar>
          <w:top w:w="28" w:type="dxa"/>
          <w:left w:w="28" w:type="dxa"/>
          <w:bottom w:w="28" w:type="dxa"/>
          <w:right w:w="28" w:type="dxa"/>
        </w:tblCellMar>
      </w:tblPr>
      <w:tblGrid>
        <w:gridCol w:w="467"/>
        <w:gridCol w:w="411"/>
        <w:gridCol w:w="412"/>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316"/>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72160"/>
                <wp:effectExtent l="0" t="0" r="0" b="0"/>
                <wp:wrapNone/>
                <wp:docPr id="61" name="Frame6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 reflects increased demand for our platform and related services. Subscription revenue increased by $392.2 million primarily due to an increase of $357.3 million from our Direct Sales Customers, inclusive of the impact from Direct Sales Customers who were self-serve customers of MongoDB Atlas in the prior-year period. The increase in services revenue was driven primarily by the continued increase in delivery of consulting services.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Cost of Revenue, Gross Profit and Gross Margin Percentage</w:t>
      </w:r>
    </w:p>
    <w:tbl>
      <w:tblPr>
        <w:tblW w:w="8045" w:type="dxa"/>
        <w:jc w:val="left"/>
        <w:tblInd w:w="0" w:type="dxa"/>
        <w:tblLayout w:type="fixed"/>
        <w:tblCellMar>
          <w:top w:w="28" w:type="dxa"/>
          <w:left w:w="28" w:type="dxa"/>
          <w:bottom w:w="28" w:type="dxa"/>
          <w:right w:w="28" w:type="dxa"/>
        </w:tblCellMar>
      </w:tblPr>
      <w:tblGrid>
        <w:gridCol w:w="895"/>
        <w:gridCol w:w="789"/>
        <w:gridCol w:w="791"/>
        <w:gridCol w:w="211"/>
        <w:gridCol w:w="97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316"/>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cost of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cost of revenue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subscription cost of revenue was primarily due to a $43.5 million increase in third</w:t>
        <w:noBreakHyphen/>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$15.3 million increase in personnel costs and stock-based compensation associated with increased headcount in our support organization. The increase in services cost of revenue was primarily due to a $11.0 million increase in personnel costs and stock-based compensation associated with headcount in our services organization, and a $2.8 million increase in third-party consultant costs related to the delivery of consulting and training services. Total headcount in our support and services organizations increased 10% from January 31, 2023 to January 31, 2024.</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gross margin improved to 75%. Our subscription gross margin increased to 79% as efficiencies realized in managing our third-party cloud infrastructure costs more than offset the negative margin impact from the increasing percentage of revenue from MongoDB Atlas. Services gross margin declined due to the impact of higher services personnel costs and stock-based compensation.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0"/>
        <w:jc w:val="left"/>
        <w:rPr>
          <w:rFonts w:ascii="Times New Roman;sans-serif" w:hAnsi="Times New Roman;sans-serif"/>
          <w:b w:val="false"/>
          <w:i/>
          <w:color w:val="2C2C2C"/>
          <w:sz w:val="20"/>
        </w:rPr>
      </w:pPr>
      <w:r>
        <w:rPr>
          <w:rFonts w:ascii="Times New Roman;sans-serif" w:hAnsi="Times New Roman;sans-serif"/>
          <w:b w:val="false"/>
          <w:i/>
          <w:color w:val="2C2C2C"/>
          <w:sz w:val="20"/>
        </w:rPr>
        <w:t>Sales and Marketing</w:t>
      </w:r>
    </w:p>
    <w:tbl>
      <w:tblPr>
        <w:tblW w:w="6790" w:type="dxa"/>
        <w:jc w:val="left"/>
        <w:tblInd w:w="0" w:type="dxa"/>
        <w:tblLayout w:type="fixed"/>
        <w:tblCellMar>
          <w:top w:w="28" w:type="dxa"/>
          <w:left w:w="28" w:type="dxa"/>
          <w:bottom w:w="28" w:type="dxa"/>
          <w:right w:w="28" w:type="dxa"/>
        </w:tblCellMar>
      </w:tblPr>
      <w:tblGrid>
        <w:gridCol w:w="651"/>
        <w:gridCol w:w="573"/>
        <w:gridCol w:w="57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sales and marketing expense included $55.9 million from higher personnel costs and stock-based compensation, driven by an increase in our sales and marketing headcount to 2,338 as of January 31, 2024 from 2,249 as of January 31, 2023, which includes non-quota-carrying hires in sales operations, customer success and marketing. Sales and marketing expense also increased $15.3 million due to higher commissions expense, driven in part by the increase in revenue, and $13.7 million due increased marketing spend and higher travel costs. The increase in sales and marketing expense was partly offset by a decrease of $2.0 million in expenditures related to third-party infrastructure costs and professional fees.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Research and Development</w:t>
      </w:r>
    </w:p>
    <w:tbl>
      <w:tblPr>
        <w:tblW w:w="7345" w:type="dxa"/>
        <w:jc w:val="left"/>
        <w:tblInd w:w="0" w:type="dxa"/>
        <w:tblLayout w:type="fixed"/>
        <w:tblCellMar>
          <w:top w:w="28" w:type="dxa"/>
          <w:left w:w="28" w:type="dxa"/>
          <w:bottom w:w="28" w:type="dxa"/>
          <w:right w:w="28" w:type="dxa"/>
        </w:tblCellMar>
      </w:tblPr>
      <w:tblGrid>
        <w:gridCol w:w="852"/>
        <w:gridCol w:w="750"/>
        <w:gridCol w:w="75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research and development expense was primarily driven by a $83.9 million increase in personnel costs and stock-based compensation as we increased our research and development headcount by 19%.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72160"/>
                <wp:effectExtent l="0" t="0" r="0" b="0"/>
                <wp:wrapNone/>
                <wp:docPr id="62" name="Frame6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expense also increased by $8.8 million due to increased third-party infrastructure costs, higher software expenses and higher amortization expense.</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General and Administrative</w:t>
      </w:r>
    </w:p>
    <w:tbl>
      <w:tblPr>
        <w:tblW w:w="7346" w:type="dxa"/>
        <w:jc w:val="left"/>
        <w:tblInd w:w="0" w:type="dxa"/>
        <w:tblLayout w:type="fixed"/>
        <w:tblCellMar>
          <w:top w:w="28" w:type="dxa"/>
          <w:left w:w="28" w:type="dxa"/>
          <w:bottom w:w="28" w:type="dxa"/>
          <w:right w:w="28" w:type="dxa"/>
        </w:tblCellMar>
      </w:tblPr>
      <w:tblGrid>
        <w:gridCol w:w="849"/>
        <w:gridCol w:w="750"/>
        <w:gridCol w:w="75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 was due to higher costs to support the growth of our business. In particular, these higher costs were driven by an increase in general and administrative personnel headcount resulting in $29.5 million higher personnel costs and stock-based compensation.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Income, net</w:t>
      </w:r>
    </w:p>
    <w:tbl>
      <w:tblPr>
        <w:tblW w:w="6174" w:type="dxa"/>
        <w:jc w:val="left"/>
        <w:tblInd w:w="0" w:type="dxa"/>
        <w:tblLayout w:type="fixed"/>
        <w:tblCellMar>
          <w:top w:w="28" w:type="dxa"/>
          <w:left w:w="28" w:type="dxa"/>
          <w:bottom w:w="28" w:type="dxa"/>
          <w:right w:w="28" w:type="dxa"/>
        </w:tblCellMar>
      </w:tblPr>
      <w:tblGrid>
        <w:gridCol w:w="580"/>
        <w:gridCol w:w="511"/>
        <w:gridCol w:w="51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36"/>
        <w:gridCol w:w="136"/>
        <w:gridCol w:w="19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for the year ended January 31, 2024 improved primarily due to higher interest income from our short-term investments.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Provision for Income Taxes</w:t>
      </w:r>
    </w:p>
    <w:tbl>
      <w:tblPr>
        <w:tblW w:w="6700" w:type="dxa"/>
        <w:jc w:val="left"/>
        <w:tblInd w:w="0" w:type="dxa"/>
        <w:tblLayout w:type="fixed"/>
        <w:tblCellMar>
          <w:top w:w="28" w:type="dxa"/>
          <w:left w:w="28" w:type="dxa"/>
          <w:bottom w:w="28" w:type="dxa"/>
          <w:right w:w="28" w:type="dxa"/>
        </w:tblCellMar>
      </w:tblPr>
      <w:tblGrid>
        <w:gridCol w:w="825"/>
        <w:gridCol w:w="726"/>
        <w:gridCol w:w="728"/>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28"/>
        <w:gridCol w:w="128"/>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the provision for income taxes during the year ended January 31, 2024 was primarily due to an increase in foreign taxes as we continued our global expansion.</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Comparison of the Years Ended January 31, 2023 and 2022</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For a discussion of our results of operations for the year ended January 31, 2023 as compared to the year ended January 31, 2022, refer to Part II,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of our Annual Report on Form 10-K filed with the SEC on March 17, 2023.</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our principal sources of liquidity were cash, cash equivalents, short-term investments and restricted cash totaling $2.0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June 29, 2021, we entered into an underwriting agreement with Morgan Stanley &amp; Co. LLC and Goldman Sachs &amp; Co. LLC, as representatives of the several underwriters named therein, pursuant to which we agreed to issue and sell 2,500,000 shares of our common stock, par value $0.001 per share, at an offering price of $365.00 per share. We received net proceeds of $889.2 million, after deducting underwriting discounts and commissions of $22.7 million and offering expenses of $0.6 million. Offering expenses included legal, accounting and other fees.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2021, we issued a notice of redemption (the “Redemption Notice”) for the aggregate principal amount outstanding of its 2024 Notes. We satisfied our conversion obligations with respect to conversions occurring after the date of the Redemption Notice and prior to December 3, 2021 (the “Redemption Date”) by delivering shares of common stock, plus cash in lieu of any resulting fractional shares (physical settlement). Pursuant to the Redemption Notice, on the Redemption Date, we redeemed the outstanding principal of the 2024 Notes that were not converted prior to such date at a redemption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72160"/>
                <wp:effectExtent l="0" t="0" r="0" b="0"/>
                <wp:wrapNone/>
                <wp:docPr id="63" name="Frame6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pPr>
      <w:r>
        <w:rPr>
          <w:rFonts w:ascii="Times New Roman;sans-serif" w:hAnsi="Times New Roman;sans-serif"/>
          <w:b w:val="false"/>
          <w:color w:val="000000"/>
          <w:sz w:val="20"/>
        </w:rPr>
        <w:t xml:space="preserve">price in cash equal to 100% of the principal amount of the 2024 Notes, plus accrued and unpaid interest. Approximately $1.9 million aggregate principal amount outstanding as of October 31, 2021 were converted to 27,377 shares of the Company’s common stock with the remaining balance settled in cash. The extinguishment of the 2024 Notes on December 3, 2021 was immaterial to our financial statements. For further discussion on the 2024 Notes and 2026 Notes, please refer to Note 6, </w:t>
      </w:r>
      <w:r>
        <w:rPr>
          <w:rFonts w:ascii="Times New Roman;sans-serif" w:hAnsi="Times New Roman;sans-serif"/>
          <w:b w:val="false"/>
          <w:i/>
          <w:color w:val="000000"/>
          <w:sz w:val="20"/>
        </w:rPr>
        <w:t>Convertible Senior Notes</w:t>
      </w:r>
      <w:r>
        <w:rPr>
          <w:rFonts w:ascii="Times New Roman;sans-serif" w:hAnsi="Times New Roman;sans-serif"/>
          <w:b w:val="false"/>
          <w:color w:val="000000"/>
          <w:sz w:val="20"/>
        </w:rPr>
        <w:t>, in Part II, Item 8, Financial Statements and Supplementary Data, of this Form 10-K.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generated significant operating losses and negative cash flows from operations as reflected in our accumulated deficit and historical consolidated statements of cash flows. As of January 31, 2024, we had an accumulated deficit of $1.7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volatility in the banking sector,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(in thousands):</w:t>
      </w:r>
    </w:p>
    <w:tbl>
      <w:tblPr>
        <w:tblW w:w="8230" w:type="dxa"/>
        <w:jc w:val="left"/>
        <w:tblInd w:w="0" w:type="dxa"/>
        <w:tblLayout w:type="fixed"/>
        <w:tblCellMar>
          <w:top w:w="28" w:type="dxa"/>
          <w:left w:w="28" w:type="dxa"/>
          <w:bottom w:w="28" w:type="dxa"/>
          <w:right w:w="28" w:type="dxa"/>
        </w:tblCellMar>
      </w:tblPr>
      <w:tblGrid>
        <w:gridCol w:w="1541"/>
        <w:gridCol w:w="1355"/>
        <w:gridCol w:w="1364"/>
        <w:gridCol w:w="211"/>
        <w:gridCol w:w="826"/>
        <w:gridCol w:w="109"/>
        <w:gridCol w:w="109"/>
        <w:gridCol w:w="109"/>
        <w:gridCol w:w="109"/>
        <w:gridCol w:w="211"/>
        <w:gridCol w:w="796"/>
        <w:gridCol w:w="109"/>
        <w:gridCol w:w="109"/>
        <w:gridCol w:w="109"/>
        <w:gridCol w:w="109"/>
        <w:gridCol w:w="229"/>
        <w:gridCol w:w="671"/>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operating activities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investing activities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Operating Activities</w:t>
      </w:r>
    </w:p>
    <w:p>
      <w:pPr>
        <w:pStyle w:val="TextBody"/>
        <w:bidi w:val="0"/>
        <w:spacing w:lineRule="auto" w:line="256"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during the year ended January 31, 2024 was $121.5 million driven primarily by an increase in our cash collections reflecting overall growth of our sales and expansion of our customer base. Our net loss of $176.6 million, included non</w:t>
        <w:noBreakHyphen/>
        <w:t>cash charges of $456.9 million for stock</w:t>
        <w:noBreakHyphen/>
        <w:t>based compensation and $18.9 million for depreciation and amortization. Our accrued liabilities increased by $39.5 million reflecting our increase in expenses and timing of payments. Partially offsetting these benefits to our operating cash flow were a decrease in deferred revenue of $82.4 million, accretion of the discount on our short-term investments of $44.6 million and an increase in deferred commissions of $41.8 million, accounts receivable of $41.6 million, driven by continued growth of our sales and our expanding customer base and other net non-cash charges of $6.8 million.</w:t>
      </w:r>
    </w:p>
    <w:p>
      <w:pPr>
        <w:pStyle w:val="TextBody"/>
        <w:bidi w:val="0"/>
        <w:spacing w:lineRule="auto" w:line="256"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during the year ended January 31, 2023 was $13.0 million. This was primarily driven by our net loss of $345.4 million, which included non</w:t>
        <w:noBreakHyphen/>
        <w:t>cash charges of $381.5 million for stock</w:t>
        <w:noBreakHyphen/>
        <w:t>based compensation and $16.1 million for depreciation and amortization. The continuing growth of our sales and our expanding customer base led to an increase in accounts receivable of $91.5 million and deferred commissions of $49.1 million. In addition, accrued liabilities decreased by $16.2 million reflecting lower expenses and timing of payments. These were partly offset by our cash collections, which increased our deferred revenue by $85.8 million.</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Investing Activities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during the during the year ended January 31, 2024 was $188.0 million, primarily due to proceeds from maturities of marketable securities, net of purchases, of $211.1 million, $6.1 million of cash used for purchases of property and equipment and $2.1 million of additional investment in non-marketable securities. In addition, on September 27, 2023, we used $15.0 million of net cash to acquire the assets of Grainite,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during the during the year ended January 31, 2023 was $33.3 million, primarily due to purchases of marketable securities, net of proceeds from maturities, of $23.0 million, $7.2 million of cash used for purchases of property and equipment and $3.1 million of additional investment in non-marketable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72160"/>
                <wp:effectExtent l="0" t="0" r="0" b="0"/>
                <wp:wrapNone/>
                <wp:docPr id="64" name="Frame6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Financing Activities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during the year ended January 31, 2024 was $38.2 million, due to $36.9 million of proceeds from the issuance of common stock under the Employee Stock Purchase Plan and $6.8 million exercises of stock options, partly offset by $5.5 million of principal repayments of finance leases.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during the year ended January 31, 2023 was $30.2 million, due to $29.0 million of proceeds from the issuance of common stock under the Employee Stock Purchase Plan and $5.7 million exercises of stock options, partly offset by $4.5 million of principal repayments of finance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72160"/>
                <wp:effectExtent l="0" t="0" r="0" b="0"/>
                <wp:wrapNone/>
                <wp:docPr id="65" name="Frame6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as of January 31, 2024 (in thousands):</w:t>
      </w:r>
    </w:p>
    <w:tbl>
      <w:tblPr>
        <w:tblW w:w="10205" w:type="dxa"/>
        <w:jc w:val="left"/>
        <w:tblInd w:w="0" w:type="dxa"/>
        <w:tblLayout w:type="fixed"/>
        <w:tblCellMar>
          <w:top w:w="28" w:type="dxa"/>
          <w:left w:w="28" w:type="dxa"/>
          <w:bottom w:w="28" w:type="dxa"/>
          <w:right w:w="28" w:type="dxa"/>
        </w:tblCellMar>
      </w:tblPr>
      <w:tblGrid>
        <w:gridCol w:w="1009"/>
        <w:gridCol w:w="745"/>
        <w:gridCol w:w="752"/>
        <w:gridCol w:w="211"/>
        <w:gridCol w:w="976"/>
        <w:gridCol w:w="109"/>
        <w:gridCol w:w="109"/>
        <w:gridCol w:w="109"/>
        <w:gridCol w:w="109"/>
        <w:gridCol w:w="235"/>
        <w:gridCol w:w="921"/>
        <w:gridCol w:w="121"/>
        <w:gridCol w:w="109"/>
        <w:gridCol w:w="109"/>
        <w:gridCol w:w="109"/>
        <w:gridCol w:w="211"/>
        <w:gridCol w:w="976"/>
        <w:gridCol w:w="109"/>
        <w:gridCol w:w="109"/>
        <w:gridCol w:w="109"/>
        <w:gridCol w:w="109"/>
        <w:gridCol w:w="211"/>
        <w:gridCol w:w="826"/>
        <w:gridCol w:w="109"/>
        <w:gridCol w:w="109"/>
        <w:gridCol w:w="109"/>
        <w:gridCol w:w="109"/>
        <w:gridCol w:w="266"/>
        <w:gridCol w:w="912"/>
        <w:gridCol w:w="198"/>
      </w:tblGrid>
      <w:tr>
        <w:trPr/>
        <w:tc>
          <w:tcPr>
            <w:tcW w:w="10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w:t>
            </w:r>
          </w:p>
        </w:tc>
      </w:tr>
      <w:tr>
        <w:trPr/>
        <w:tc>
          <w:tcPr>
            <w:tcW w:w="2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0.25% convertible senior notes due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304,341 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15,984 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January 31, 2024, our material short-term and long-term cash requirements for various contractual obligations and commitments consisted of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principal and future interest payments related to our 2026 Notes;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purchase obligations under non-cancelable agreements for cloud infrastructure capacity commitments and subscription and marketing services;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finance and operating lease obligations under non-cancelable leases for office space expiring through 2032;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accounts payable and accrued liabilities on our consolidated balance sheet (primarily short-term in nature).</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For further details of our contractual obligations and lease agreements, refer to our Notes to Consolidated Financial Statements, within Part II,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 xml:space="preserve">of this Form 10-K, specifically Note 6, </w:t>
      </w:r>
      <w:r>
        <w:rPr>
          <w:rFonts w:ascii="Times New Roman;sans-serif" w:hAnsi="Times New Roman;sans-serif"/>
          <w:b w:val="false"/>
          <w:i/>
          <w:color w:val="000000"/>
          <w:sz w:val="20"/>
        </w:rPr>
        <w:t>Convertible Senior Notes</w:t>
      </w:r>
      <w:r>
        <w:rPr>
          <w:rFonts w:ascii="Times New Roman;sans-serif" w:hAnsi="Times New Roman;sans-serif"/>
          <w:b w:val="false"/>
          <w:color w:val="000000"/>
          <w:sz w:val="20"/>
        </w:rPr>
        <w:t xml:space="preserve">, Note 7,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Commitments and Contingencies.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72160"/>
                <wp:effectExtent l="0" t="0" r="0" b="0"/>
                <wp:wrapNone/>
                <wp:docPr id="66" name="Frame65"/>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accounting estimates, assumptions and judgments that we believe have the most significant impact on our consolidated financial statements are described below.</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 from two sources: (1) the sales of subscriptions, which includes the usage-based database-as-a-service offering and the term license and post-contract customer support (“PCS”); and (2) services revenue comprised of consulting and training arrangements. We recognize revenue when our customer obtains control of promised goods or services in an amount that reflects the consideration that we expect to receive in exchange for those goods or services. In determining the appropriate amount of revenue to be recognized as we fulfill our obligations under each of our agreements, we perform the following steps:</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i.</w:t>
      </w:r>
      <w:r>
        <w:rPr>
          <w:rFonts w:ascii="Times New Roman;sans-serif" w:hAnsi="Times New Roman;sans-serif"/>
          <w:b/>
          <w:color w:val="000000"/>
          <w:sz w:val="20"/>
        </w:rPr>
        <w:t>Identification of the contract, or contracts, with a customer.</w:t>
      </w:r>
      <w:r>
        <w:rPr>
          <w:color w:val="000000"/>
        </w:rPr>
        <w:t xml:space="preserve"> </w:t>
      </w:r>
      <w:r>
        <w:rPr>
          <w:rFonts w:ascii="Times New Roman;sans-serif" w:hAnsi="Times New Roman;sans-serif"/>
          <w:b w:val="false"/>
          <w:color w:val="000000"/>
          <w:sz w:val="20"/>
        </w:rPr>
        <w:t>We contract with our customers through order forms, which are governed by master sales agreements. We determine we have a contract with a customer when the contract is approved, each party’s rights regarding the products or services to be transferred is identified, the payment terms for the services can be identified,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we evaluate whether two or more contracts should be combined and accounted for as a single contract and whether the combined or single contract includes more than one performance obligation. We have concluded that our contracts with customers do not contain warranties that give rise to a separate performance obligation.</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ii.</w:t>
      </w:r>
      <w:r>
        <w:rPr>
          <w:rFonts w:ascii="Times New Roman;sans-serif" w:hAnsi="Times New Roman;sans-serif"/>
          <w:b/>
          <w:color w:val="000000"/>
          <w:sz w:val="20"/>
        </w:rPr>
        <w:t>Identification of the performance obligations in the contract.</w:t>
      </w:r>
      <w:r>
        <w:rPr>
          <w:color w:val="000000"/>
        </w:rPr>
        <w:t xml:space="preserve"> </w:t>
      </w:r>
      <w:r>
        <w:rPr>
          <w:rFonts w:ascii="Times New Roman;sans-serif" w:hAnsi="Times New Roman;sans-serif"/>
          <w:b w:val="false"/>
          <w:color w:val="000000"/>
          <w:sz w:val="20"/>
        </w:rPr>
        <w:t>Performance obligations promised in a contract are identified based on the services or products that will be transferred to the customer that are both (1) capable of being distinct, whereby the customer can benefit from the service or product either on its own or together with other resources that are readily available from third parties or from us and (2) distinct in the context of the contract, whereby the transfer of the services or products is separately identifiable from other promises in the contract. To the extent a contract includes multiple promised services or products, we apply judgment to determine whether promised services or products are capable of being distinct and distinct in the context of the contract. If these criteria are not met, the promised services or products are accounted for as a combined performance obligation.</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iii.</w:t>
      </w:r>
      <w:r>
        <w:rPr>
          <w:rFonts w:ascii="Times New Roman;sans-serif" w:hAnsi="Times New Roman;sans-serif"/>
          <w:b/>
          <w:color w:val="000000"/>
          <w:sz w:val="20"/>
        </w:rPr>
        <w:t>Determination of the transaction price.</w:t>
      </w:r>
      <w:r>
        <w:rPr>
          <w:color w:val="000000"/>
        </w:rPr>
        <w:t xml:space="preserve"> </w:t>
      </w:r>
      <w:r>
        <w:rPr>
          <w:rFonts w:ascii="Times New Roman;sans-serif" w:hAnsi="Times New Roman;sans-serif"/>
          <w:b w:val="false"/>
          <w:color w:val="000000"/>
          <w:sz w:val="20"/>
        </w:rPr>
        <w:t>The transaction price is determined based on the consideration to which we expect to be entitled in exchange for transferring services and products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iv.</w:t>
      </w:r>
      <w:r>
        <w:rPr>
          <w:rFonts w:ascii="Times New Roman;sans-serif" w:hAnsi="Times New Roman;sans-serif"/>
          <w:b/>
          <w:color w:val="000000"/>
          <w:sz w:val="20"/>
        </w:rPr>
        <w:t>Allocation of the transaction price to the performance obligations in the contract.</w:t>
      </w:r>
      <w:r>
        <w:rPr>
          <w:color w:val="000000"/>
        </w:rPr>
        <w:t xml:space="preserve"> </w:t>
      </w:r>
      <w:r>
        <w:rPr>
          <w:rFonts w:ascii="Times New Roman;sans-serif" w:hAnsi="Times New Roman;sans-serif"/>
          <w:b w:val="false"/>
          <w:color w:val="000000"/>
          <w:sz w:val="20"/>
        </w:rPr>
        <w:t>If the contract contains a single performance obligation, the entire transaction price is allocated to the single performance obligation. For contracts that contain multiple performance obligations, we allocate the transaction price to each performance obligation based on a relative standalone selling price (“SSP”) basis. We also consider if there are any additional material rights inherent in a contract and if so, we allocate a portion of the transaction price to such rights based on SSP. We determine each SSP based on multiple factors, including past history of selling such performance obligations as standalone products. We estimate SSP for performance obligations with no observable evidence using adjusted market, cost plus and residual methods to establish the SSPs. In cases where directly observable standalone sales are not available, we utilize all observable data points including competitor pricing for a similar or identical product, market and industry data points and our pricing practices to establish the SSP.</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v.</w:t>
      </w:r>
      <w:r>
        <w:rPr>
          <w:rFonts w:ascii="Times New Roman;sans-serif" w:hAnsi="Times New Roman;sans-serif"/>
          <w:b/>
          <w:color w:val="000000"/>
          <w:sz w:val="20"/>
        </w:rPr>
        <w:t xml:space="preserve">Recognition of revenue when, or as, we satisfy a performance obligation. </w:t>
      </w:r>
      <w:r>
        <w:rPr>
          <w:rFonts w:ascii="Times New Roman;sans-serif" w:hAnsi="Times New Roman;sans-serif"/>
          <w:b w:val="false"/>
          <w:color w:val="000000"/>
          <w:sz w:val="20"/>
        </w:rPr>
        <w:t xml:space="preserve">We recognize revenue at the time the related performance obligation is satisfied when control of the services or products are transferred to the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72160"/>
                <wp:effectExtent l="0" t="0" r="0" b="0"/>
                <wp:wrapNone/>
                <wp:docPr id="67" name="Frame66"/>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an amount that reflects the consideration we expect to be entitled to in exchange for those services or products. We record our revenue net of any value added or sales tax. </w:t>
      </w:r>
    </w:p>
    <w:p>
      <w:pPr>
        <w:pStyle w:val="TextBody"/>
        <w:bidi w:val="0"/>
        <w:spacing w:lineRule="auto" w:line="288" w:before="0" w:after="180"/>
        <w:jc w:val="left"/>
        <w:rPr>
          <w:rFonts w:ascii="Times New Roman;sans-serif" w:hAnsi="Times New Roman;sans-serif"/>
          <w:b w:val="false"/>
          <w:color w:val="2C2C2C"/>
          <w:sz w:val="20"/>
          <w:u w:val="single"/>
        </w:rPr>
      </w:pPr>
      <w:r>
        <w:rPr>
          <w:rFonts w:ascii="Times New Roman;sans-serif" w:hAnsi="Times New Roman;sans-serif"/>
          <w:b w:val="false"/>
          <w:color w:val="2C2C2C"/>
          <w:sz w:val="20"/>
          <w:u w:val="single"/>
        </w:rPr>
        <w:t>Business Combinations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our best estimates and assumptions to assign fair value to the tangible and intangible assets acquired and liabilities assumed as of the acquisition date. The excess of the fair value of purchase consideration over the fair values of the tangible and intangible assets acquired and liabilities assumed is recorded as goodwill. These estimates are inherently uncertain and subject to refinement. During the measurement period, which may be up to one year from the acquisition date, we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our consolidated statements of operations. Acquisition-related expenses are recognized separately from the business combination and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Interest Rate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primarily consist of bank deposits and money market funds and our short-term investments consist of U.S. government treasury securities. As of January 31, 2024 and 2023, we had cash, cash equivalents, restricted cash and short-term investments of $2.0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January 31, 2024 and 2023.</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Foreign Currency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the years ended January 31, 2024 and 2023.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Market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could experience additional volatility to our consolidated statements of operations due to observable price changes and impairments to our non-marketable securities. These changes could be material based on market conditions and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72160"/>
                <wp:effectExtent l="0" t="0" r="0" b="0"/>
                <wp:wrapNone/>
                <wp:docPr id="68" name="Frame67"/>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particularly in periods of significant market fluctuations that affect our non-marketable securities. Our non-marketable securities are subject to a risk of partial or total loss of invested capital. As of January 31, 2024 and 2023, the total amount of non-marketable securities included in other assets on our balance sheets were $12.9 million and $9.8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72160"/>
                <wp:effectExtent l="0" t="0" r="0" b="0"/>
                <wp:wrapNone/>
                <wp:docPr id="69" name="Frame68"/>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January 31, 2024 </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INDEX TO CONSOLIDATED FINANCIAL STATEMENTS</w:t>
      </w:r>
    </w:p>
    <w:tbl>
      <w:tblPr>
        <w:tblW w:w="8971" w:type="dxa"/>
        <w:jc w:val="center"/>
        <w:tblInd w:w="0" w:type="dxa"/>
        <w:tblLayout w:type="fixed"/>
        <w:tblCellMar>
          <w:top w:w="28" w:type="dxa"/>
          <w:left w:w="28" w:type="dxa"/>
          <w:bottom w:w="28" w:type="dxa"/>
          <w:right w:w="28" w:type="dxa"/>
        </w:tblCellMar>
      </w:tblPr>
      <w:tblGrid>
        <w:gridCol w:w="3063"/>
        <w:gridCol w:w="2691"/>
        <w:gridCol w:w="2706"/>
        <w:gridCol w:w="149"/>
        <w:gridCol w:w="149"/>
        <w:gridCol w:w="213"/>
      </w:tblGrid>
      <w:tr>
        <w:trPr/>
        <w:tc>
          <w:tcPr>
            <w:tcW w:w="3063"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85">
              <w:r>
                <w:rPr>
                  <w:rStyle w:val="InternetLink"/>
                  <w:rFonts w:ascii="Times New Roman;sans-serif" w:hAnsi="Times New Roman;sans-serif"/>
                  <w:b w:val="false"/>
                  <w:color w:val="0000FF"/>
                  <w:sz w:val="20"/>
                  <w:u w:val="single"/>
                </w:rPr>
                <w:t>Report of Independent Registered Public Accounting Firm (PCAOB ID</w:t>
              </w:r>
            </w:hyperlink>
            <w:r>
              <w:rPr>
                <w:color w:val="000000"/>
              </w:rPr>
              <w:t xml:space="preserve"> </w:t>
            </w:r>
            <w:r>
              <w:rPr>
                <w:rFonts w:ascii="Times New Roman;sans-serif" w:hAnsi="Times New Roman;sans-serif"/>
                <w:b w:val="false"/>
                <w:color w:val="000000"/>
                <w:sz w:val="20"/>
              </w:rPr>
              <w:t>238)</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037d429900d4d61abd62467a6714403_85">
              <w:r>
                <w:rPr>
                  <w:rStyle w:val="InternetLink"/>
                  <w:rFonts w:ascii="Times New Roman;sans-serif" w:hAnsi="Times New Roman;sans-serif"/>
                  <w:b w:val="false"/>
                  <w:color w:val="0000FF"/>
                  <w:sz w:val="20"/>
                  <w:u w:val="single"/>
                </w:rPr>
                <w:t>67</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88">
              <w:r>
                <w:rPr>
                  <w:rStyle w:val="InternetLink"/>
                  <w:rFonts w:ascii="Times New Roman;sans-serif" w:hAnsi="Times New Roman;sans-serif"/>
                  <w:b w:val="false"/>
                  <w:color w:val="0000FF"/>
                  <w:sz w:val="20"/>
                  <w:u w:val="single"/>
                </w:rPr>
                <w:t>Consolidated Balance Sheets as of January 31, 2024 and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88">
              <w:r>
                <w:rPr>
                  <w:rStyle w:val="InternetLink"/>
                  <w:rFonts w:ascii="Times New Roman;sans-serif" w:hAnsi="Times New Roman;sans-serif"/>
                  <w:b w:val="false"/>
                  <w:color w:val="0000FF"/>
                  <w:sz w:val="20"/>
                  <w:u w:val="single"/>
                </w:rPr>
                <w:t>69</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91">
              <w:r>
                <w:rPr>
                  <w:rStyle w:val="InternetLink"/>
                  <w:rFonts w:ascii="Times New Roman;sans-serif" w:hAnsi="Times New Roman;sans-serif"/>
                  <w:b w:val="false"/>
                  <w:color w:val="0000FF"/>
                  <w:sz w:val="20"/>
                  <w:u w:val="single"/>
                </w:rPr>
                <w:t>Consolidated Statements of Operations for the years ended January 31, 2024, 2023 and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91">
              <w:r>
                <w:rPr>
                  <w:rStyle w:val="InternetLink"/>
                  <w:rFonts w:ascii="Times New Roman;sans-serif" w:hAnsi="Times New Roman;sans-serif"/>
                  <w:b w:val="false"/>
                  <w:color w:val="0000FF"/>
                  <w:sz w:val="20"/>
                  <w:u w:val="single"/>
                </w:rPr>
                <w:t>70</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94">
              <w:r>
                <w:rPr>
                  <w:rStyle w:val="InternetLink"/>
                  <w:rFonts w:ascii="Times New Roman;sans-serif" w:hAnsi="Times New Roman;sans-serif"/>
                  <w:b w:val="false"/>
                  <w:color w:val="0000FF"/>
                  <w:sz w:val="20"/>
                  <w:u w:val="single"/>
                </w:rPr>
                <w:t>Consolidated Statements of Comprehensive Loss for the years ended January 31, 2024, 2023 and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94">
              <w:r>
                <w:rPr>
                  <w:rStyle w:val="InternetLink"/>
                  <w:rFonts w:ascii="Times New Roman;sans-serif" w:hAnsi="Times New Roman;sans-serif"/>
                  <w:b w:val="false"/>
                  <w:color w:val="0000FF"/>
                  <w:sz w:val="20"/>
                  <w:u w:val="single"/>
                </w:rPr>
                <w:t>71</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97">
              <w:r>
                <w:rPr>
                  <w:rStyle w:val="InternetLink"/>
                  <w:rFonts w:ascii="Times New Roman;sans-serif" w:hAnsi="Times New Roman;sans-serif"/>
                  <w:b w:val="false"/>
                  <w:color w:val="0000FF"/>
                  <w:sz w:val="20"/>
                  <w:u w:val="single"/>
                </w:rPr>
                <w:t>Consolidated Statements of Stockholders’ Equity for the years ended January 31, 2024, 2023 and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97">
              <w:r>
                <w:rPr>
                  <w:rStyle w:val="InternetLink"/>
                  <w:rFonts w:ascii="Times New Roman;sans-serif" w:hAnsi="Times New Roman;sans-serif"/>
                  <w:b w:val="false"/>
                  <w:color w:val="0000FF"/>
                  <w:sz w:val="20"/>
                  <w:u w:val="single"/>
                </w:rPr>
                <w:t>72</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00">
              <w:r>
                <w:rPr>
                  <w:rStyle w:val="InternetLink"/>
                  <w:rFonts w:ascii="Times New Roman;sans-serif" w:hAnsi="Times New Roman;sans-serif"/>
                  <w:b w:val="false"/>
                  <w:color w:val="0000FF"/>
                  <w:sz w:val="20"/>
                  <w:u w:val="single"/>
                </w:rPr>
                <w:t>Consolidated Statements of Cash Flows for years ended January 31, 2024, 2023 and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00">
              <w:r>
                <w:rPr>
                  <w:rStyle w:val="InternetLink"/>
                  <w:rFonts w:ascii="Times New Roman;sans-serif" w:hAnsi="Times New Roman;sans-serif"/>
                  <w:b w:val="false"/>
                  <w:color w:val="0000FF"/>
                  <w:sz w:val="20"/>
                  <w:u w:val="single"/>
                </w:rPr>
                <w:t>73</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03">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03">
              <w:r>
                <w:rPr>
                  <w:rStyle w:val="InternetLink"/>
                  <w:rFonts w:ascii="Times New Roman;sans-serif" w:hAnsi="Times New Roman;sans-serif"/>
                  <w:b w:val="false"/>
                  <w:color w:val="0000FF"/>
                  <w:sz w:val="20"/>
                  <w:u w:val="single"/>
                </w:rPr>
                <w:t>75</w:t>
              </w:r>
            </w:hyperlink>
          </w:p>
        </w:tc>
      </w:tr>
    </w:tbl>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72160"/>
                <wp:effectExtent l="0" t="0" r="0" b="0"/>
                <wp:wrapNone/>
                <wp:docPr id="70" name="Frame69"/>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lineRule="auto" w:line="276" w:before="0" w:after="0"/>
        <w:jc w:val="left"/>
        <w:rPr/>
      </w:pPr>
      <w:r>
        <w:rPr>
          <w:rFonts w:ascii="Times New Roman;sans-serif" w:hAnsi="Times New Roman;sans-serif"/>
          <w:b w:val="false"/>
          <w:color w:val="000000"/>
          <w:sz w:val="20"/>
        </w:rPr>
        <w:t xml:space="preserve">We have audited the accompanying consolidated balance sheets of MongoDB, Inc. and its subsidiaries (the “Company”) as of January 31, 2024 and 2023, and the related consolidated statements of operations, of comprehensive loss, of stockholders’ equity and of cash flows for each of the three years in the period ended January 31, 2024, including the related notes (collectively referred to as the “consolidated financial statements”). We also have audited the Company's internal control over financial reporting as of January 31, 2024, based on criteria established in </w:t>
      </w:r>
      <w:r>
        <w:rPr>
          <w:rFonts w:ascii="Times New Roman;sans-serif" w:hAnsi="Times New Roman;sans-serif"/>
          <w:b w:val="false"/>
          <w:i/>
          <w:color w:val="000000"/>
          <w:sz w:val="20"/>
        </w:rPr>
        <w:t xml:space="preserve">Internal Control - Integrated Framework </w:t>
      </w:r>
      <w:r>
        <w:rPr>
          <w:rFonts w:ascii="Times New Roman;sans-serif" w:hAnsi="Times New Roman;sans-serif"/>
          <w:b w:val="false"/>
          <w:color w:val="000000"/>
          <w:sz w:val="20"/>
        </w:rPr>
        <w:t>(2013) issued by the Committee of Sponsoring Organizations of the Treadway Commission (COSO).</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January 31, 2024 and 2023, and the results of its operations and its cash flows for each of the three years in the period ended January 31, 2024 in conformity with accounting principles generally accepted in the United States of America. Also in our opinion, the Company maintained, in all material respects, effective internal control over financial reporting as of January 31, 2024,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COSO.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72160"/>
                <wp:effectExtent l="0" t="0" r="0" b="0"/>
                <wp:wrapNone/>
                <wp:docPr id="71" name="Frame70"/>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 Allocation of Transaction Price in Revenue Arrangements with Multiple Performance Obligations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Notes 2 and 9 to the consolidated financial statements, certain of the Company’s contracts with customers contain multiple performance obligations, such as time-based software licenses, post-contract customer support, and services. These arrangements comprise a portion of subscription revenue of $1.6 billion for the year ended January 31, 2024. For these contracts that contain multiple performance obligations, management allocates the transaction price to each performance obligation based on a relative standalone selling price. Management determines each standalone selling price based on multiple factors, including past history of selling such performance obligations as standalone products. Management estimates standalone selling price for performance obligations with no observable evidence using adjusted market, cost plus and residual methods to establish the standalone selling prices. In cases where directly observable standalone sales are not available, management considers observable data points including competitor pricing for a similar or identical product, market and industry data points, and the Company’s pricing practices.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revenue recognition - allocation of transaction price in revenue arrangements with multiple performance obligations is a critical audit matter are (i) the significant judgment by management in estimating the standalone selling price for certain of the Company’s performance obligations and allocating the transaction price based on a relative allocation of standalone selling price to those individual performance obligations, which in turn led to (ii) significant auditor judgment and effort in performing procedures and evaluating management’s estimates of standalone selling price and the allocation of transaction price to the individual performance obligations.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estimation of the standalone selling price and the allocation of transaction price to the individual performance obligations. These procedures also included testing management’s process for estimating the standalone selling prices, which involved (i) evaluating the appropriateness of the methodologies used by management in establishing the standalone selling prices; (ii) assessing the reasonableness of the significant assumptions developed by management; and (iii) testing the source data utilized in management’s estimate calculations. These procedures also included testing the relative allocation of transaction price to individual performance obligations based on a sample of contracts.</w:t>
      </w:r>
    </w:p>
    <w:p>
      <w:pPr>
        <w:pStyle w:val="TextBody"/>
        <w:bidi w:val="0"/>
        <w:spacing w:before="200" w:after="283"/>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March 15,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72160"/>
                <wp:effectExtent l="0" t="0" r="0" b="0"/>
                <wp:wrapNone/>
                <wp:docPr id="72" name="Frame71"/>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958"/>
        <w:gridCol w:w="2281"/>
        <w:gridCol w:w="2241"/>
        <w:gridCol w:w="196"/>
        <w:gridCol w:w="871"/>
        <w:gridCol w:w="109"/>
        <w:gridCol w:w="109"/>
        <w:gridCol w:w="109"/>
        <w:gridCol w:w="109"/>
        <w:gridCol w:w="196"/>
        <w:gridCol w:w="871"/>
        <w:gridCol w:w="155"/>
      </w:tblGrid>
      <w:tr>
        <w:trPr/>
        <w:tc>
          <w:tcPr>
            <w:tcW w:w="2958"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Cash and cash equivalents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455,826 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Short-term investments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1,380,804 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 net of allowance for doubtful accounts of $8,054 and $6,362 as of January 31, 2024 and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Deferred commissions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Prepaid expenses and other current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Total current assets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2,483,636 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2,236,584 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Property and equipment, net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57,841 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Goodwill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Acquired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Deferred tax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Other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181,503 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2,869,642 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2,588,893 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Accounts payable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Accrued compensation and benefits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Other accrued liabilities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Deferred revenue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428,747 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Total current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564,220 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588,512 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Deferred tax liability, non-current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36,264 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Deferred revenue, non-current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Convertible senior notes,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1,139,880 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Total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1,800,653 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1,849,385 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8)</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par value of $0.001 per share; 1,000,000,000 shares authorized as of January 31, 2024 and 2023; 72,840,692 shares issued and 72,741,321 shares outstanding as of January 31, 2024 and 70,005,957 shares issued and 69,906,586 shares outstanding as of January 31, 2023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Additional paid-in capital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2,276,694 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17"/>
              </w:rPr>
            </w:pPr>
            <w:r>
              <w:rPr>
                <w:rFonts w:ascii="Times New Roman;sans-serif" w:hAnsi="Times New Roman;sans-serif"/>
                <w:b w:val="false"/>
                <w:color w:val="000000"/>
                <w:sz w:val="17"/>
              </w:rPr>
              <w:t>Treasury stock, 99,371 shares (repurchased at an average of $13.27 per share) as of January 31, 2024 and 2023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(1,319)</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Accumulated other comprehensive income (loss)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Accumulated deficit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(1,535,032)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1,068,989 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739,508 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2,869,642 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2,588,893 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firstLine="540"/>
        <w:jc w:val="center"/>
        <w:rPr/>
      </w:pPr>
      <w:r>
        <w:rPr/>
      </w:r>
    </w:p>
    <w:p>
      <w:pPr>
        <w:pStyle w:val="TextBody"/>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72160"/>
                <wp:effectExtent l="0" t="0" r="0" b="0"/>
                <wp:wrapNone/>
                <wp:docPr id="73" name="Frame72"/>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thousands of U.S. dollars, except share and per share data) </w:t>
      </w:r>
    </w:p>
    <w:tbl>
      <w:tblPr>
        <w:tblW w:w="10205" w:type="dxa"/>
        <w:jc w:val="center"/>
        <w:tblInd w:w="0" w:type="dxa"/>
        <w:tblLayout w:type="fixed"/>
        <w:tblCellMar>
          <w:top w:w="28" w:type="dxa"/>
          <w:left w:w="28" w:type="dxa"/>
          <w:bottom w:w="28" w:type="dxa"/>
          <w:right w:w="28" w:type="dxa"/>
        </w:tblCellMar>
      </w:tblPr>
      <w:tblGrid>
        <w:gridCol w:w="1900"/>
        <w:gridCol w:w="1567"/>
        <w:gridCol w:w="1579"/>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92"/>
        <w:gridCol w:w="156"/>
      </w:tblGrid>
      <w:tr>
        <w:trPr/>
        <w:tc>
          <w:tcPr>
            <w:tcW w:w="190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c>
          <w:tcPr>
            <w:tcW w:w="1586" w:type="dxa"/>
            <w:gridSpan w:val="6"/>
            <w:tcBorders/>
          </w:tcPr>
          <w:p>
            <w:pPr>
              <w:pStyle w:val="TableContents"/>
              <w:bidi w:val="0"/>
              <w:spacing w:before="0" w:after="283"/>
              <w:jc w:val="left"/>
              <w:rPr>
                <w:sz w:val="4"/>
                <w:szCs w:val="4"/>
              </w:rPr>
            </w:pPr>
            <w:r>
              <w:rPr>
                <w:sz w:val="4"/>
                <w:szCs w:val="4"/>
              </w:rPr>
            </w:r>
          </w:p>
        </w:tc>
      </w:tr>
      <w:tr>
        <w:trPr/>
        <w:tc>
          <w:tcPr>
            <w:tcW w:w="5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(289,364)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71,248,982 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68,628,267 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64,563,032 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540"/>
        <w:jc w:val="center"/>
        <w:rPr/>
      </w:pPr>
      <w:r>
        <w:rPr/>
      </w:r>
    </w:p>
    <w:p>
      <w:pPr>
        <w:pStyle w:val="TextBody"/>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72160"/>
                <wp:effectExtent l="0" t="0" r="0" b="0"/>
                <wp:wrapNone/>
                <wp:docPr id="74" name="Frame73"/>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thousands of U.S. dollars) </w:t>
      </w:r>
    </w:p>
    <w:tbl>
      <w:tblPr>
        <w:tblW w:w="9057" w:type="dxa"/>
        <w:jc w:val="center"/>
        <w:tblInd w:w="0" w:type="dxa"/>
        <w:tblLayout w:type="fixed"/>
        <w:tblCellMar>
          <w:top w:w="28" w:type="dxa"/>
          <w:left w:w="28" w:type="dxa"/>
          <w:bottom w:w="28" w:type="dxa"/>
          <w:right w:w="28" w:type="dxa"/>
        </w:tblCellMar>
      </w:tblPr>
      <w:tblGrid>
        <w:gridCol w:w="1699"/>
        <w:gridCol w:w="1494"/>
        <w:gridCol w:w="1502"/>
        <w:gridCol w:w="211"/>
        <w:gridCol w:w="901"/>
        <w:gridCol w:w="109"/>
        <w:gridCol w:w="109"/>
        <w:gridCol w:w="109"/>
        <w:gridCol w:w="109"/>
        <w:gridCol w:w="211"/>
        <w:gridCol w:w="901"/>
        <w:gridCol w:w="109"/>
        <w:gridCol w:w="109"/>
        <w:gridCol w:w="109"/>
        <w:gridCol w:w="109"/>
        <w:gridCol w:w="211"/>
        <w:gridCol w:w="901"/>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January 31,</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income (loss) on available-for-sale securities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(loss) </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540"/>
        <w:jc w:val="center"/>
        <w:rPr/>
      </w:pPr>
      <w:r>
        <w:rPr/>
      </w:r>
    </w:p>
    <w:p>
      <w:pPr>
        <w:pStyle w:val="TextBody"/>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72160"/>
                <wp:effectExtent l="0" t="0" r="0" b="0"/>
                <wp:wrapNone/>
                <wp:docPr id="75" name="Frame74"/>
                <a:graphic xmlns:a="http://schemas.openxmlformats.org/drawingml/2006/main">
                  <a:graphicData uri="http://schemas.microsoft.com/office/word/2010/wordprocessingShape">
                    <wps:wsp>
                      <wps:cNvSpPr txBox="1"/>
                      <wps:spPr>
                        <a:xfrm>
                          <a:off x="0" y="0"/>
                          <a:ext cx="6480175" cy="772160"/>
                        </a:xfrm>
                        <a:prstGeom prst="rect"/>
                        <a:solidFill>
                          <a:srgbClr val="FFFFFF"/>
                        </a:solidFill>
                      </wps:spPr>
                      <wps:txb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240" w:after="16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240" w:after="16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240" w:after="160"/>
                        <w:ind w:left="0" w:right="0" w:firstLine="540"/>
                        <w:jc w:val="left"/>
                        <w:rPr/>
                      </w:pPr>
                      <w:r>
                        <w:rPr/>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of U.S. dollars, except share data)</w:t>
      </w:r>
    </w:p>
    <w:tbl>
      <w:tblPr>
        <w:tblW w:w="10205" w:type="dxa"/>
        <w:jc w:val="left"/>
        <w:tblInd w:w="0" w:type="dxa"/>
        <w:tblLayout w:type="fixed"/>
        <w:tblCellMar>
          <w:top w:w="28" w:type="dxa"/>
          <w:left w:w="28" w:type="dxa"/>
          <w:bottom w:w="28" w:type="dxa"/>
          <w:right w:w="28" w:type="dxa"/>
        </w:tblCellMar>
      </w:tblPr>
      <w:tblGrid>
        <w:gridCol w:w="778"/>
        <w:gridCol w:w="316"/>
        <w:gridCol w:w="319"/>
        <w:gridCol w:w="398"/>
        <w:gridCol w:w="398"/>
        <w:gridCol w:w="171"/>
        <w:gridCol w:w="109"/>
        <w:gridCol w:w="109"/>
        <w:gridCol w:w="109"/>
        <w:gridCol w:w="181"/>
        <w:gridCol w:w="286"/>
        <w:gridCol w:w="109"/>
        <w:gridCol w:w="109"/>
        <w:gridCol w:w="109"/>
        <w:gridCol w:w="109"/>
        <w:gridCol w:w="193"/>
        <w:gridCol w:w="771"/>
        <w:gridCol w:w="116"/>
        <w:gridCol w:w="109"/>
        <w:gridCol w:w="109"/>
        <w:gridCol w:w="109"/>
        <w:gridCol w:w="185"/>
        <w:gridCol w:w="498"/>
        <w:gridCol w:w="111"/>
        <w:gridCol w:w="109"/>
        <w:gridCol w:w="109"/>
        <w:gridCol w:w="109"/>
        <w:gridCol w:w="293"/>
        <w:gridCol w:w="755"/>
        <w:gridCol w:w="177"/>
        <w:gridCol w:w="109"/>
        <w:gridCol w:w="109"/>
        <w:gridCol w:w="109"/>
        <w:gridCol w:w="184"/>
        <w:gridCol w:w="756"/>
        <w:gridCol w:w="111"/>
        <w:gridCol w:w="109"/>
        <w:gridCol w:w="109"/>
        <w:gridCol w:w="109"/>
        <w:gridCol w:w="193"/>
        <w:gridCol w:w="770"/>
        <w:gridCol w:w="174"/>
      </w:tblGrid>
      <w:tr>
        <w:trPr/>
        <w:tc>
          <w:tcPr>
            <w:tcW w:w="7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Total Stockholders’ Equity</w:t>
            </w:r>
          </w:p>
        </w:tc>
      </w:tr>
      <w:tr>
        <w:trPr/>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3"/>
              </w:rPr>
            </w:pPr>
            <w:r>
              <w:rPr>
                <w:rFonts w:ascii="Times New Roman;sans-serif" w:hAnsi="Times New Roman;sans-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3"/>
              </w:rPr>
            </w:pPr>
            <w:r>
              <w:rPr>
                <w:rFonts w:ascii="Times New Roman;sans-serif" w:hAnsi="Times New Roman;sans-serif"/>
                <w:b/>
                <w:color w:val="000000"/>
                <w:sz w:val="13"/>
              </w:rPr>
              <w:t>Balances as of January 31, 2021</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60,898,451 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932,332 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(1,319)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(704)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(935,403)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(5,033)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Cumulative effect of accounting change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(309,381)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52,635 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(256,746)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Stock option exercises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1,279,669 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9,664 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9,665 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Vesting of early exercised stock options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Vesting of restricted stock units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1,437,133 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251,982 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251,982 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common stock under the Employee Stock Purchase Plan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85,401 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25,210 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25,210 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common stock, net of issuance costs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889,181 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889,184 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convertible senior notes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1,243,706 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61,516 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61,517 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Unrealized loss on available-for-sale securities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(3,464)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(3,464)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Foreign currency translation adjustment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(306,866)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(306,866)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3"/>
              </w:rPr>
            </w:pPr>
            <w:r>
              <w:rPr>
                <w:rFonts w:ascii="Times New Roman;sans-serif" w:hAnsi="Times New Roman;sans-serif"/>
                <w:b/>
                <w:color w:val="000000"/>
                <w:sz w:val="13"/>
              </w:rPr>
              <w:t>Balances as of January 31, 2022</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67,444,360 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1,860,514 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(1,319)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(2,928)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(1,189,634)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666,700 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Stock option exercises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801,272 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Vesting of restricted stock units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1,511,529 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381,454 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381,454 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common stock under the Employee Stock Purchase Plan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149,352 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29,003 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29,003 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convertible senior notes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Unrealized gain on available-for-sale securities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Foreign currency translation adjustment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1,054 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(345,398)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(345,398)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3"/>
              </w:rPr>
            </w:pPr>
            <w:r>
              <w:rPr>
                <w:rFonts w:ascii="Times New Roman;sans-serif" w:hAnsi="Times New Roman;sans-serif"/>
                <w:b/>
                <w:color w:val="000000"/>
                <w:sz w:val="13"/>
              </w:rPr>
              <w:t>Balances as of January 31, 2023</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69,906,586 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2,276,694 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(1,319)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(905)</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(1,535,032)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739,508 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 option exercises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953,643 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6,808 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Vesting of restricted stock units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1,690,527 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Vesting of performance stock units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22,991 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456,907 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456,907 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common stock under the Employee Stock Purchase Plan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167,574 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36,914 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36,914 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Unrealized gain on available-for-sale securities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4,652 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4,652 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Foreign currency translation adjustment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(176,600)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(176,600)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3"/>
              </w:rPr>
            </w:pPr>
            <w:r>
              <w:rPr>
                <w:rFonts w:ascii="Times New Roman;sans-serif" w:hAnsi="Times New Roman;sans-serif"/>
                <w:b/>
                <w:color w:val="000000"/>
                <w:sz w:val="13"/>
              </w:rPr>
              <w:t>Balances as of January 31, 2024</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72,741,321 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2,777,322 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(1,319)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4,545 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(1,711,632)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1,068,989 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of U.S. dollars)</w:t>
      </w:r>
    </w:p>
    <w:tbl>
      <w:tblPr>
        <w:tblW w:w="8757" w:type="dxa"/>
        <w:jc w:val="center"/>
        <w:tblInd w:w="0" w:type="dxa"/>
        <w:tblLayout w:type="fixed"/>
        <w:tblCellMar>
          <w:top w:w="28" w:type="dxa"/>
          <w:left w:w="28" w:type="dxa"/>
          <w:bottom w:w="28" w:type="dxa"/>
          <w:right w:w="28" w:type="dxa"/>
        </w:tblCellMar>
      </w:tblPr>
      <w:tblGrid>
        <w:gridCol w:w="1863"/>
        <w:gridCol w:w="1644"/>
        <w:gridCol w:w="1653"/>
        <w:gridCol w:w="181"/>
        <w:gridCol w:w="676"/>
        <w:gridCol w:w="109"/>
        <w:gridCol w:w="109"/>
        <w:gridCol w:w="109"/>
        <w:gridCol w:w="109"/>
        <w:gridCol w:w="181"/>
        <w:gridCol w:w="676"/>
        <w:gridCol w:w="109"/>
        <w:gridCol w:w="109"/>
        <w:gridCol w:w="109"/>
        <w:gridCol w:w="109"/>
        <w:gridCol w:w="181"/>
        <w:gridCol w:w="676"/>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Years Ended January 31,</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(345,398)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net cash provided by (used in)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Depreciation and amortization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Stock-based compensation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debt discount and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finance right-of-use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operating right-of-use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Deferred income taxes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premium and accretion of discount on short-term investments,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non-marketable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foreign exchange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operating assets and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Prepaid expenses and other current assets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Deferred commissions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Other long-term assets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Accounts payable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Accrued liabilities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Deferred revenue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 non-current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cash provided by (used in) operating activities </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Purchases of property and equipment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Business combinations, net of cash acquired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Investments in non-marketable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Proceeds from maturities of marketable securities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Purchases of marketable securities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(1,233,851)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(1,447,966)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(1,385,258)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cash provided by (used in) investing activities </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(852,142)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common stock, net of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889,184 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Proceeds from exercise of stock options, including early exercised stock options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issuance of common stock under the Employee Stock Purchase Plan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Principal repayments of finance leases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Repayments of convertible senior notes attributable to principal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cash provided by financing activities </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890,892 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Effect of exchange rate changes on cash, cash equivalents and restricted cash </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increase (decrease) in cash, cash equivalents and restricted cash </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Cash, cash equivalents and restricted cash, beginning of year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Cash, cash equivalents and restricted cash, end of year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470"/>
        <w:gridCol w:w="2152"/>
        <w:gridCol w:w="2165"/>
        <w:gridCol w:w="181"/>
        <w:gridCol w:w="616"/>
        <w:gridCol w:w="109"/>
        <w:gridCol w:w="109"/>
        <w:gridCol w:w="109"/>
        <w:gridCol w:w="109"/>
        <w:gridCol w:w="181"/>
        <w:gridCol w:w="616"/>
        <w:gridCol w:w="109"/>
        <w:gridCol w:w="109"/>
        <w:gridCol w:w="109"/>
        <w:gridCol w:w="109"/>
        <w:gridCol w:w="181"/>
        <w:gridCol w:w="616"/>
        <w:gridCol w:w="155"/>
      </w:tblGrid>
      <w:tr>
        <w:trPr/>
        <w:tc>
          <w:tcPr>
            <w:tcW w:w="247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Years Ended January 31,</w:t>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cash flow disclosure</w:t>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Cash paid during the period for: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 net of refunds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investing and financing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Vesting of early exercised stock options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78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78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 included in accounts payable and accrued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Reconciliation of cash, cash equivalents and restricted cash within the consolidated balance sheets to the amounts shown in the statements of cash flows above:</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473,904 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non-current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4"/>
              </w:rPr>
            </w:pPr>
            <w:r>
              <w:rPr>
                <w:rFonts w:ascii="Times New Roman;sans-serif" w:hAnsi="Times New Roman;sans-serif"/>
                <w:b w:val="false"/>
                <w:color w:val="000000"/>
                <w:sz w:val="14"/>
              </w:rPr>
              <w:t>Total cash, cash equivalents and restricted cash</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474,420 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Organization and Description of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2.</w:t>
      </w:r>
      <w:r>
        <w:rPr>
          <w:color w:val="000000"/>
        </w:rPr>
        <w:t xml:space="preserve"> </w:t>
      </w:r>
      <w:r>
        <w:rPr>
          <w:rFonts w:ascii="Times New Roman;sans-serif" w:hAnsi="Times New Roman;sans-serif"/>
          <w:b/>
          <w:color w:val="000000"/>
          <w:sz w:val="20"/>
        </w:rPr>
        <w:t>Summary of Significant Accounting Policies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Basis of Presentation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have been prepared in accordance with generally accepted accounting principles in the United States of America (“U.S. GAAP”) and include the accounts of the Company and all of its wholly owned subsidiaries. All intercompany transactions and accounts have been eliminated.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Use of Estimates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acquired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macroeconomic conditions, including slower economic growth, persistent inflation and high interest rate environment, continue to impact demand and supply for a broad variety of goods and services, including demand from the Company’s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Foreign Currency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international subsidiaries is either the U.S. dollar or the local currency in which the international subsidiary operates. For foreign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Transaction gains or losses from foreign currency re-measurement and settlements are included in other income (expense), net in the consolidated statements of operations. For foreign subsidiaries where the functional currency is the local currency, the Company uses the exchange rate as of the balance sheet date to translate assets and liabilities and the average exchange rate during the period to translate revenue and expenses into U.S. dollars. Translation gains or losses resulting from translating foreign local currency financial statements into U.S. dollars are included in accumulated other comprehensive loss as a component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Comprehensive Loss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comprehensive loss includes net loss, unrealized gains and losses on available-for-sale debt securities and foreign currency translation adjustments.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Cash and Cash Equivalents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an original maturity of three months or less at the date of purchase to be cash equivalents. The Company maintains such investments primarily in money market funds, which have readily determinable fair values. Money market funds are measured using quoted prices in active markets with changes recorded in other income (expense), net on the consolidated statements of operations.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Marketable Securities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government treasury securities. The Company determines the appropriate classification of its short-term investments at the time of purchase and reevaluates such designation at each balance sheet date. The Company has classified and accounted for its short-term investments as available-for-sale debt securities as the Company may sell these securities at any time for use in its current operations or for other purposes, even prior to maturity. As a result, the Company classifies its short-term investments within current assets on the consolidated balance sheets.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Available-for-sale debt securities are recorded at fair value each reporting period. Realized gains and losses are determined based on the individual security level and are reported in other income (expense), net in the consolidated statements of operations. Unrealized gains and losses, net of taxes, on these short-term investments are reported as a separate component of accumulated other comprehensive loss on the consolidated balance sheets until realized.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the estimated fair value of an available-for-sale debt security is below its amortized cost basis, then the Company evaluates for impairment. The Company considers its intent to sell the security or whether it is more likely than not that it will be required to sell the security before recovery of its amortized basis. If either of these criteria are met, the debt security’s amortized cost basis is written down to fair value through other income (expense), net in the consolidated statements of operations. If neither of these criteria are met, the Company evaluates whether unrealized losses have resulted from a credit loss or other factors. When a credit loss exists, the Company compares the present value of cash flows expected to be collected from the debt security with the amortized cost basis of the security to determine what allowance amount, if any, should be recorded. An impairment relating to credit losses is recorded through an allowance for credit losses reported in other income (expense), net in the consolidated statements of operations. The allowance is limited by the amount that the fair value of the debt security is below its amortized cost basis.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January 31, 2024, 2023 and 2022, the Company did not record any impairment charges for its marketable debt securities in its consolidated statements of operations.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Restricted Cash</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pledged $0.7 million of collateral as of January 31, 2024 for its lease related letters of credit, and $0.5 million of collateral as of January 31, 2023 for its available credit on corporate credit cards. Restricted cash balances have been excluded from the Company’s cash and cash equivalents balance and are included in other assets on the consolidated balance sheets.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Non-marketable Securities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Non-marketable securities consist of debt and equity investments in privately-held companies, which are classified as other assets on the consolidated balance sheets. The Company’s </w:t>
      </w:r>
      <w:r>
        <w:rPr>
          <w:rFonts w:ascii="Times New Roman;sans-serif" w:hAnsi="Times New Roman;sans-serif"/>
          <w:b w:val="false"/>
          <w:color w:val="212529"/>
          <w:sz w:val="20"/>
        </w:rPr>
        <w:t xml:space="preserve">non-marketable debt securities are measured at fair value at each reporting period. </w:t>
      </w:r>
      <w:r>
        <w:rPr>
          <w:rFonts w:ascii="Times New Roman;sans-serif" w:hAnsi="Times New Roman;sans-serif"/>
          <w:b w:val="false"/>
          <w:color w:val="000000"/>
          <w:sz w:val="20"/>
        </w:rPr>
        <w:t>The Company’s non-marketable equity securities do not have readily determinable fair values. Under the measurement alternative election, the Company accounts for these non-marketable equity securities at cost and adjusts for observable price changes in orderly transactions for the identical or similar investment of the same issuer or upon impairment. These securities are not eligible for the net-asset-value practical expedient from fair value measurement. The measurement alternative election is reassessed each reporting period to determine whether the non-marketable securities continue to be eligible for this election.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evaluates its non-marketable equity securities for impairment when events and circumstances indicate that the carrying amount of the investment may not be recovered. Impairment indicators may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but are not limited to, a significant deterioration in earnings performance, credit rating, asset quality or business outlook or a significant adverse change in the regulatory, economic, or technological environment. If the non-marketable equity securities are considered impaired, the Company will record an impairment charge within other income (expense) on its consolidated statements of operations for the amount by which the carrying value exceeds the fair value of the investment. For the years ended January 31, 2024, 2023 and 2022, the Company did not record any material impairment charges related to its non-marketable equity securities in its consolidated statements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January 31, 2024 and 2023, the Company invested $2.1 million and $3.1 million, respectively, of its cash in non-marketable securities of privately-held companies. The Company evaluated its ownership, contractual and other interests of its investments and determined that as of January 31, 2024, there were no variable interest entities required to be consolidated in the Company’s consolidated financial statements, as the Company was not the primary beneficiary and did not have the power to direct activities that most significantly impact the entities’ economic performance. The Company’s maximum loss exposure is limited to the carrying value of these investments.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Fair Value of Financial Instruments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Company’s financial instruments consist of cash and cash equivalents, short-term investments, accounts receivable, </w:t>
      </w:r>
      <w:r>
        <w:rPr>
          <w:rFonts w:ascii="Times New Roman;sans-serif" w:hAnsi="Times New Roman;sans-serif"/>
          <w:b w:val="false"/>
          <w:color w:val="212529"/>
          <w:sz w:val="20"/>
        </w:rPr>
        <w:t xml:space="preserve">non-marketable securities, </w:t>
      </w:r>
      <w:r>
        <w:rPr>
          <w:rFonts w:ascii="Times New Roman;sans-serif" w:hAnsi="Times New Roman;sans-serif"/>
          <w:b w:val="false"/>
          <w:color w:val="000000"/>
          <w:sz w:val="20"/>
        </w:rPr>
        <w:t xml:space="preserve">accounts payable and accrued liabilities. Cash equivalents are measured at fair value on a recurring basis. Short-term investments classified as available-for-sale debt securities are recorded at fair value. </w:t>
      </w:r>
      <w:r>
        <w:rPr>
          <w:rFonts w:ascii="Times New Roman;sans-serif" w:hAnsi="Times New Roman;sans-serif"/>
          <w:b w:val="false"/>
          <w:color w:val="212529"/>
          <w:sz w:val="20"/>
        </w:rPr>
        <w:t xml:space="preserve">Non-marketable securities consist of debt and equity securities. Non-marketable debt securities are measured at fair value at each reporting period. </w:t>
      </w:r>
      <w:r>
        <w:rPr>
          <w:rFonts w:ascii="Times New Roman;sans-serif" w:hAnsi="Times New Roman;sans-serif"/>
          <w:b w:val="false"/>
          <w:color w:val="000000"/>
          <w:sz w:val="20"/>
        </w:rPr>
        <w:t>Accounts receivable, accounts payable and accrued liabilities are stated at their carrying value, which approximates fair value due to the short time to the expected receipt or payment date.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standard establishes a fair value hierarchy, which requires an entity to maximize the use of observable inputs and minimize the use of unobservable inputs when measuring fair value. The standard describes three levels of inputs, as described below, of which the first two are considered observable and the last unobservable, that may be used to measure fair value: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1: Observable inputs, such as quoted prices (unadjusted) in active markets for identical assets or liabilities at the measurement date.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2: 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Concentration of Credit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are primarily cash and cash equivalents, restricted cash, short-term investments and accounts receivable. The primary focus of the Company’s investment strategy is to preserve capital and meet liquidity requirements. The Company maintains its cash accounts with financial institutions where, at times, deposits exceed insurance coverage limits. The Company invests its excess cash in highly-rated money market funds and in short-term investments consisting of U.S. government treasury securities.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extends credit to customers in the normal course of business. The Company performs credit analyses and monitors the financial health of its customers to reduce credit risk. The Company does not require collateral from customers to secure accounts receivable. Accounts receivable are recorded at the invoiced amount and do not bear interest. The Company records an allowance for doubtful accounts relating to certain trade accounts receivable based on various factors, including the review of credit profiles of its customers, contractual terms and conditions, current economic trends and historical customer payment experience.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and 2023, no customer represented 10% or more of net accounts receivable. For the years ended January 31, 2024, 2023 and 2022, no customer represented 10% or more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Software Development Costs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the Company has not capitalized any related software development costs in any of the periods presented.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software acquired, developed, or modified solely to meet the Company’s internal requirements, with no substantive plans to market such software at the time of development, costs related to the development of web-based product, or implementation costs incurred in a hosting arrangement that is a service contract, are capitalized during the application development stage. Costs incurred during the preliminary planning and evaluation stage of the project and during post implementation operational stage are expensed as incurred. There were no material qualifying costs incurred during the application development stage and the Company did not capitalize any qualifying costs related to computer software developed for internal use, or implementation costs incurred in a hosting arrangement that is a service contract in the years ended January 31, 2024 and 2023.</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Property and Equipment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and depreciated using the straight-line method over the following estimated useful lives:</w:t>
      </w:r>
    </w:p>
    <w:tbl>
      <w:tblPr>
        <w:tblW w:w="7511" w:type="dxa"/>
        <w:jc w:val="left"/>
        <w:tblInd w:w="0" w:type="dxa"/>
        <w:tblLayout w:type="fixed"/>
        <w:tblCellMar>
          <w:top w:w="28" w:type="dxa"/>
          <w:left w:w="28" w:type="dxa"/>
          <w:bottom w:w="28" w:type="dxa"/>
          <w:right w:w="28" w:type="dxa"/>
        </w:tblCellMar>
      </w:tblPr>
      <w:tblGrid>
        <w:gridCol w:w="979"/>
        <w:gridCol w:w="857"/>
        <w:gridCol w:w="863"/>
        <w:gridCol w:w="109"/>
        <w:gridCol w:w="109"/>
        <w:gridCol w:w="109"/>
        <w:gridCol w:w="1311"/>
        <w:gridCol w:w="1311"/>
        <w:gridCol w:w="1863"/>
      </w:tblGrid>
      <w:tr>
        <w:trPr/>
        <w:tc>
          <w:tcPr>
            <w:tcW w:w="97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Two to three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Two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Five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Website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estimated useful life or remaining lease term</w:t>
            </w:r>
          </w:p>
        </w:tc>
      </w:tr>
    </w:tbl>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commences once the asset is ready for its intended use. 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Business Combinations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its best estimates and assumptions to assign fair value to the tangible and intangible assets acquired and liabilities assumed as of the acquisition date. The excess of the fair value of purchase consideration over the fair values of the tangible and intangible assets acquired and liabilities assumed is recorded as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the Company’s consolidated statements of operations. Acquisition-related expenses are recognized separately from the business combination and are expensed as incurred.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Leases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inception. An arrangement is or contains a lease if the arrangement conveys the right to control the use of an identified asset for a period of time in exchange for consideration.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lease liabilities based on the present value of lease payments over the lease term at the lease commencement date. As the Company’s leases generally do not provide an implicit discount rate, the net present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is determined using the Company’s incremental borrowing rate. Options in the lease terms to extend or terminate the lease are not reflected in the lease liabilities unless it is reasonably certain that any such option will be exercised.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right-of-use assets at the lease commencement date based on the corresponding lease liabilities adjusted for (i) prepayments made to the lessor at or before the commencement date, (ii) initial direct costs incurred and (iii) certain tenant incentives under the lease. The Company evaluates the recoverability of the right-of-use assets for possible impairment in accordance with the long-lived assets policy.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lease and non-lease components as a single lease component for all leases. The Company has elected not to recognize right-of-use assets or lease liabilities for leases with an initial lease term of twelve months or less, and instead recognize the associated lease payments for these short-term leases in the consolidated statements of operations on a straight-line basis over the lease term.</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Lease expenses for minimum lease payments for operating leases are recognized on a straight-line basis over the lease term. Amortization expense of the right-of-use assets for finance leases is generally recognized on a straight-line basis over the shorter of the lease term or the useful life of the asset. Interest expense for finance leases is recognized based on the incremental borrowing rate used to determine the finance lease liability. Variable lease payments are expensed as incurred and are not included within the lease liability and right-of-use assets calculation.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are reflected in operating lease right-of-use assets, operating lease liabilities and operating lease liabilities, non-current on the consolidated balance sheets. Finance leases are included in property and equipment, net, other accrued liabilities, and other liabilities, non-current on the consolidated balance sheets. Within the consolidated statements of cash flows, the Company classifies all cash payments associated with operating leases within operating activities and for finance leases, repayments of principal are presented within financing activities and interest payments are presented within operating activities.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 xml:space="preserve">Impairment of Long-Lived Assets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recoverability of its long-lived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is not recoverable, the carrying amount of such assets is reduced to fair value. The Company did not record impairment charges related to long-lived assets during the years presented.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recoverability assessment, the Company periodically reviews the remaining estimated useful lives of long-lived assets. If the estimated useful life assumption for any asset is changed due to new information, the remaining unamortized balance would be depreciated or amortized over the revised estimated useful life, on a prospective basis.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Goodwill and Other Acquired Intangible Assets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net assets acquired in business combinations. Other acquired intangible assets are stated at the fair value acquired as determined by a valuation technique commensurate with the intended use of the related asset. Definite-lived intangible assets are considered long-lived assets and are amortized on a straight-line basis over the periods that expected economic benefits will be provided. Goodwill and any indefinite-lived intangible assets are not amortized; rather, they are evaluated for impairment annually and whenever events or changes in circumstances indicate that the value of the asset may be impaired.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performs its annual impairment analysis in the fourth quarter of each fiscal year. The Company first assesses the qualitative factors to determine whether it is more likely than not that the fair value of the Company’s single operating segment is less than its carrying amount as a basis for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the Company’s single operating segment with its carrying amount. If the carrying amount exceeds its fair value, no further analysis is required; otherwise, any excess of the carrying amount over the implied fair value is recognized as an impairment loss and the carrying value of goodwill is written down to fair value. No indicators of impairment of goodwill were identified during the years ended January 31, 2024, 2023 and 2022, and accordingly, the Company has not recorded any impairment of goodwill during those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Revenue Recognition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from two sources: (1) the sales of subscriptions, which includes the usage-based database-as-a-service offering and the term license and post-contract customer support (“PCS”); and (2) services revenue comprised of consulting and training arrangements. The Company recognizes revenue when its customer obtains control of promised 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i.Identification of the contract, or contracts, with a customer - The Company contracts with its customers through order forms, which are governed by master sales agreements. The Company determines it has a contract with a customer when the contract is approved, each party’s rights regarding the products or services to be transferred is identified, the payment terms for the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the Company evaluates whether two or more contracts should be combined and accounted for as a single contract and whether the combined or single contract includes more than one performance obligation. The Company has concluded that its contracts with customers do not contain warranties that give rise to a separate performance obligation.</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ii.Identification of the performance obligations in the contract - Performance obligations promised in a contract are identified based on the services or products that will be transferred to the customer that are both (1) capable of being distinct, whereby the customer can benefit from the service or product either on its own or together with other resources that are readily available from third parties or from the Company and (2) distinct in the context of the contract, whereby the transfer of the services or products is separately identifiable from other promises in the contract. 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combined and accounted for as a single performance obligation.</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iii.Determination of the transaction price - The transaction price is determined based on the consideration to which the Company expects to be entitled in exchange for transferring services and products to the customer. Variable consideration is included in the transaction price if, in the Company’s judgment, it is probable that a significant future reversal of cumulative revenue recognized under the contract will not occur. None of the Company’s contracts contain a significant financing component.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iv.Allocation of the transaction price to the performance obligations in the contract - If the contract contains a single performance obligation, the entire transaction price is allocated to the single performance obligation. For contracts that contain multiple performance obligations, the Company allocates the transaction price to each performance obligation based on a relative standalone selling price (“SSP”) basis. The Company also considers if there are any additional material rights inherent in a contract and if so, the Company allocates a portion of the transaction price to such rights based on SSP. The Company determines each SSP based on multiple factors, including past history of selling such performance obligations as standalone products. The Company estimates SSP for performance obligations with no observable evidence using adjusted market, cost plus and residual methods to establish the SSPs. In cases where directly observable standalone sales are not available, the Company considers observable data points including competitor pricing for a similar or identical product, market and industry data points and the Company’s pricing practices to establish the SSP.</w:t>
      </w:r>
    </w:p>
    <w:p>
      <w:pPr>
        <w:pStyle w:val="TextBody"/>
        <w:bidi w:val="0"/>
        <w:spacing w:lineRule="auto" w:line="288" w:before="0" w:after="120"/>
        <w:ind w:left="0" w:right="0" w:hanging="360"/>
        <w:jc w:val="left"/>
        <w:rPr/>
      </w:pPr>
      <w:r>
        <w:rPr>
          <w:rFonts w:ascii="Times New Roman;sans-serif" w:hAnsi="Times New Roman;sans-serif"/>
          <w:b w:val="false"/>
          <w:color w:val="000000"/>
          <w:sz w:val="20"/>
        </w:rPr>
        <w:t>v.Recognition of revenue when, or as, the Company satisfies a performance obligation</w:t>
      </w:r>
      <w:r>
        <w:rPr>
          <w:color w:val="000000"/>
        </w:rPr>
        <w:t xml:space="preserve"> </w:t>
      </w:r>
      <w:r>
        <w:rPr>
          <w:rFonts w:ascii="Times New Roman;sans-serif" w:hAnsi="Times New Roman;sans-serif"/>
          <w:b w:val="false"/>
          <w:color w:val="000000"/>
          <w:sz w:val="20"/>
        </w:rPr>
        <w:t xml:space="preserve">- The Company recognizes revenue at the time the related performance obligation is satisfied when control of the services or products are transferred to the customers, in an amount that reflects the consideration the Company expects to be entitled to in exchange for those services or products. The Company records its revenue net of any value added or sales tax. </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Subscription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subscriptions directly through its field and inside sales teams and indirectly through channel partners, as well as through its self-serve channel. The majority of the Company’s subscription contracts are one year in duration and are invoiced upfront or invoiced monthly in arrears. When the Company enters into multi-year subscription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contracts, the customer is typically invoiced on an annual basis or pays upfront. The Company’s subscription contracts are generally non-cancelable and non-refundable.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derives subscription revenue from providing its software to customers with its database-as-a-service offering that include comprehensive infrastructure and management of the Company’s database and can also be purchased with additional enterprise features. Performance obligations related to database-as-a-service solutions are recognized on a usage-basis, as the use of this service represents a direct measurement of the value to the customer of the goods or services transferred to date relative to the remaining goods or services promised under the contract.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subscription revenue also includes time-based software licenses sold in conjunction with PCS. These subscription offerings are generally priced on a per server basis, subject to a per server random access memory (“RAM”) limit. Performance obligations related to subscription revenue for time-based software licenses include a license portion, which represents functional intellectual property under which a customer has the legal right to the license. The license provides significant standalone functionality and is therefore deemed a distinct performance obligation. License revenue is recognized at a point in time, upon delivery and transfer of control of the underlying license to the customer, which is typically the subscription start date.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obligations related to PCS include unspecified updates, as well as support and maintenance. While separate performance obligations are identified within PCS, the underlying performance obligations generally have a consistent continuous pattern of transfer to a customer during the term of a contract. Revenue from PCS is recognized ratably over the contract duration.</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Services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services contracts are generally provisioned on a time-and-materials basis. Revenue is recognized on a proportional performance basis as the services are delivered to the customers.</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Contracts with Multiple Performance Obligations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Company’s contracts with customers contain multiple performance obligations, including those described above such as time-based software licenses, PCS, database-as-a-service offering and services. For these contracts, the Company accounts for individual performance obligations separately if they are distinct. The transaction price is allocated to each separate performance obligation based on its relative SSP basis.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Cost of Revenue</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Cost of Subscription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 primarily includes third-party cloud infrastructure expenses for the Company’s database- as-a-service offering. Cost of subscription revenue also includes personnel costs, including salaries, bonuses and benefits and stock-based compensation, for employees associated with the Company’s subscription arrangements principally related to technical support and allocated shared costs, as well as depreciation and amortization.</w:t>
      </w:r>
    </w:p>
    <w:p>
      <w:pPr>
        <w:pStyle w:val="TextBody"/>
        <w:bidi w:val="0"/>
        <w:spacing w:lineRule="auto" w:line="288" w:before="0" w:after="180"/>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Cost of Services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revenue primarily includes personnel costs, including salaries and benefits and stock-based compensation for employees associated with the Company’s professional service contracts, as well as, travel costs, allocated shared costs and depreciation and amortization.</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Deferred Commissions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its incremental costs of obtaining subscription contracts with customers, which generally consist of sales commissions paid to the Company’s sales force and related payroll taxes, as well as fees paid to marketplace vendors. Incremental costs that are expected to be amortized during the succeeding twelve months are recorded on the Company’s consolidated balance sheets as deferred commissions with the remaining, non-current, portion recorded under other assets. Deferred commissions are amortized over a period of benefit that the Company has determined to be generally five years. The Company determined the period of benefit by taking into consideration the length of its customer contracts, its technology and other factors. Deferred commissions also include all other sales commissions and related payroll taxes for subscription contracts, which are amortized based on the pattern of the associated revenue recognition over the related contractual subscription period. Sales commissions are generally paid up front and one month in arrears, however, the timing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pPr>
      <w:r>
        <w:rPr>
          <w:rFonts w:ascii="Times New Roman;sans-serif" w:hAnsi="Times New Roman;sans-serif"/>
          <w:b w:val="false"/>
          <w:color w:val="000000"/>
          <w:sz w:val="20"/>
        </w:rPr>
        <w:t xml:space="preserve">of payment is based on contractual terms of the underlying subscription contract and is subject to an evaluation of customer credit-worthiness. The deferred commission amounts are recoverable through the future revenue under the non-cancelable customer contracts. Amortization of deferred commissions is included in sales and marketing expense in the consolidated statements of operations. The Company adopted the practical expedient that permits an entity to expense the costs to obtain a contract as incurred when the expected amortization period is one year or less. Deferred commissions are reviewed periodically for impairment. Refer to Note 9, </w:t>
      </w: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Deferred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primarily consists of customer billings or payments received in advance of the Company satisfying the performance obligations on its subscription and services contracts. The Company generally invoices its customers annually in advance for its subscription services. Typical payment terms provide that customers pay the amount due within 30 days of the invoice date. Deferred revenue that is anticipated to be recognized during the succeeding twelve-month period is recorded as current deferred revenue and the remaining portion is recorded as non-current. The Company’s contract liabilities are classified as deferred revenue upon the right to invoice or when payments have been received for undelivered products or services. Deferred revenue does not necessarily represent the total contract value of annual or multi-year, non-cancelable subscription agreements.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Accounts Receivable and Allowance for Doubtful Accounts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 receivable when an unconditional right to consideration exists,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consolidated balance sheets.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credit losses primarily through the sales of subscriptions and services, which are recorded as accounts receivable, inclusive of unbilled receivables. The Company performs initial and ongoing evaluations of its customers' financial position and generally extends credit without collateral. Accounts receivable are recorded at amortized cost, net of an allowance for doubtful accounts, and do not bear interest.</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allowance for doubtful accounts represents the best estimate of lifetime expected credit losses against the existing accounts receivable, inclusive of unbilled receivables, based on certain factors including past collection experience, credit quality of the customer, current aging of the receivable balance, current economic conditions, reasonable and supportable forecasts, as well as specific circumstances arising with individual customers. Extensive judgment is required in assessing these factors. Due to the short-term nature of the Company’s accounts receivable, forecasts have limited relevance to the Company’s expected credit loss estimates. Accounts receivable are written off against the allowance for doubtful accounts when management determines a balance is uncollectible and the Company no longer actively pursues collection of the receivable. The Company’s estimates of the allowance for credit losses may not be indicative of the Company’s actual credit losses requiring additional charges to be incurred to reflect the actual amount collected. See also Note 9, </w:t>
      </w: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for more information on allowance for doubtful accounts and unbilled receivables.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Convertible Senior Notes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The Company early adopted Financial Accounting Standards Board (“FASB”) issued Accounting Standards Update (“ASU”) 2020-06—</w:t>
      </w:r>
      <w:r>
        <w:rPr>
          <w:rFonts w:ascii="Times New Roman;sans-serif" w:hAnsi="Times New Roman;sans-serif"/>
          <w:b w:val="false"/>
          <w:i/>
          <w:color w:val="000000"/>
          <w:sz w:val="20"/>
        </w:rPr>
        <w:t xml:space="preserve">Debt—Debt with Conversion and Other Options (Subtopic 470-20) and Derivatives and Hedging—Contracts in Entity’s Own Equity (Subtopic 815-40): </w:t>
      </w:r>
      <w:r>
        <w:rPr>
          <w:rFonts w:ascii="Times New Roman;sans-serif" w:hAnsi="Times New Roman;sans-serif"/>
          <w:b w:val="false"/>
          <w:color w:val="000000"/>
          <w:sz w:val="20"/>
        </w:rPr>
        <w:t xml:space="preserve">Accounting for Convertible Instruments and Contracts in an Entity’s Own Equity (“ASU 2020-06”) as of February 1, 2021 using the modified retrospective transition method.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in accounting for the issuance of the Company’s convertible senior notes (the “Notes”), the Notes were separated into liability and equity components.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Notes. This difference represented the debt discount that was amortized to interest expense over the respective terms of the Notes using the effective interest rate method. The equity component was recorded in additional paid-in capital and was not remeasured as long as it continued to meet the conditions for equity classification.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accounting for the debt issuance costs related to the Notes, the Company allocated the total amount incurred to the liability and equity components of the Notes based on their relative fair values. Issuance costs attributable to the liability component were being amortized to interest expense over the contractual term of the Notes. The issuance costs attributable to the equity component were netted against the equity component representing the conversion option in additional paid-in capital.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Transactions involving contemporaneous exchanges of cash between the same debtor and creditor in connection with the issuance of a new debt obligation and satisfaction of an existing debt obligation by the debtor are evaluated as a modification or an exchange transaction depending on whether the exchange is determined to have substantially different terms. For exchange transactions that are considered an extinguishment of debt, the total consideration for such an exchange is separated into liability and equity components by estimating the fair value of a similar liability without a conversion option and assigning the residual value to the equity component. The gain or loss on extinguishment of the debt is subsequently determined by comparing repurchase consideration allocated to the liability component to the sum of the carrying value of the liability component, net of the proportionate amounts of unamortized debt discount and remaining unamortized debt issuance costs.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liability component of the Notes was classified as non-current until the reporting period date was within one year of maturity of the Notes or when the Company has received a redemption request, but settlement would occur after the reporting period date. Under these circumstances, the net carrying amount of the Notes was classified as a current liability and a portion of the equity component representing the conversion option was reclassified to temporary equity in the consolidated balance sheets. The portion of the equity component classified as temporary equity was measured as the difference between the principal and net carrying amount of the Notes, excluding debt issuance costs.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Upon adoption of ASU 2020-06, the Company no longer records the conversion feature of its convertible senior notes in equity. Instead, the Company combined the previously separated equity component with the liability component, which together is now classified as debt, thereby eliminating the subsequent amortization of the debt discount as interest expense. Similarly, the portion of issuance costs previously allocated to equity was reclassified to debt and amortized as interest expense. Accordingly, the Company recorded a decrease to accumulated deficit of $52.6 million, a decrease to additional paid-in capital of $309.4 million, a decrease to temporary equity of $4.7 million and an increase to convertible senior notes, net, of $261.5 million. There was an immaterial benefit from the reversal of the deferred tax liability associated with the convertible senior notes upon the adoption of ASU 2020-06. Prior period financial statements were not restated.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Also upon adoption, the Company is no longer utilizing the treasury stock method for earnings per share purposes. Instead, the Company is applying the if-converted method when reporting the number of potentially dilutive shares of common stock. Although the required use of the if-converted method will not impact the diluted net loss per share as long as the Company is in a net loss position, the Company is required to include disclosures of all the underlying shares regardless of the average stock price for the reporting period.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convertible senior notes are classified as non-current liabilities until the reporting period date is within one year of maturity of the convertible senior notes or when the Company has received a redemption request, but settlement will occur after the reporting period date. Under such circumstances, the carrying amount of the convertible senior notes, net of the associated unamortized debt issuance costs, is classified as a current liability.</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Research and Development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and consist primarily of personnel costs, including salaries, bonuses and benefits and stock-based compensation. Research and development costs also include amortization associated with acquired finite-lived intangible assets and allocated overhead.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Advertising</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or the first time the advertising takes place, based on the nature of the advertising. Advertising costs were $29.7 million, $18.7 million and $18.0 million for the years ended January 31, 2024, 2023 and 2022, respectively. Advertising costs are recorded in sales and marketing expenses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Stock-Based Compensation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stock-based awards granted to employees and non-employees is calculated based on the fair value of stock-based awards on the date of grant. For restricted stock units, fair value is based on the closing price of the Company’s common stock on the grant date.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stock options and purchase rights issued to employees under the 2017 Employee Stock Purchase Plan (“2017 ESPP”), the Company determines the grant date fair value using the Black-Scholes option-pricing model. This option-pricing model requires the use of assumptions, which are subjective and generally requires significant judgment to determine. The assumptions for the option-pricing model were determined as follows:</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i.</w:t>
      </w: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The expected term represents the period that stock-based awards are expected to be outstanding. For option grants that are considered to be “plain vanilla,” the Company determines the expected term using the simplified method. The simplified method deems the term to be the average of the time-to-vesting and the contractual life of the options. For purchase rights granted under the 2017 ESPP, the expected term represents the offering period.</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ii.</w:t>
      </w: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Since the Company had limited trading history of its common stock, the expected volatility for its stock option grants was derived from the average historical stock volatilities of several unrelated public companies within the Company’s industry that the Company considered to be comparable to its own business over a period equivalent to the expected term of the stock option grants. For purchase rights granted under the 2017 ESPP, the volatility is derived from the historical volatility of the Company’s common stock.</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iii.</w:t>
      </w: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risk-free interest rate is based on the U.S. Treasury yield curve in effect at the time of grant for zero-coupon U.S. Treasury notes with maturities approximately equal to the option’s expected term and 2017 ESPP offering period.</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iv.</w:t>
      </w:r>
      <w:r>
        <w:rPr>
          <w:rFonts w:ascii="Times New Roman;sans-serif" w:hAnsi="Times New Roman;sans-serif"/>
          <w:b w:val="false"/>
          <w:i/>
          <w:color w:val="000000"/>
          <w:sz w:val="20"/>
        </w:rPr>
        <w:t xml:space="preserve">Dividend Rate. </w:t>
      </w:r>
      <w:r>
        <w:rPr>
          <w:rFonts w:ascii="Times New Roman;sans-serif" w:hAnsi="Times New Roman;sans-serif"/>
          <w:b w:val="false"/>
          <w:color w:val="000000"/>
          <w:sz w:val="20"/>
        </w:rPr>
        <w:t>The expected dividend is assumed to be zero as the Company has never paid dividends and has no current plans to do so.</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stock price volatility and expected option life involve management's best estimates, both of which impact the fair value estimated under the Black-Scholes option-pricing model and, ultimately, the expense that will be recognized.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related stock-based compensation expense for restricted stock units and stock options on a straight-line basis over the employee’s requisite service period, which is generally four years. The Company has elected to account for forfeitures as they occur. The Company recognizes the stock-based compensation expense related to the 2017 Employee Stock Purchase Plan on a straight-line basis over the offering period.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Net Loss Per Share</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Company calculates basic net loss per share by dividing the net loss by the weighted-average number of shares of common stock outstanding during the period, less shares subject to repurchase. Diluted net loss per share is computed by giving effect to all potentially dilutive securities outstanding for the period, including stock options, restricted stock units and convertible senior notes. Refer to Note 11. </w:t>
      </w:r>
      <w:r>
        <w:rPr>
          <w:rFonts w:ascii="Times New Roman;sans-serif" w:hAnsi="Times New Roman;sans-serif"/>
          <w:b w:val="false"/>
          <w:i/>
          <w:color w:val="000000"/>
          <w:sz w:val="20"/>
        </w:rPr>
        <w:t>Net Loss Per Share</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Segment Information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one operating and reportable segment as the Company’s chief operating decision maker, the Company’s Chief Executive Officer (“CEO”), reviews financial information on an aggregate and consolidated basis for purposes of allocating resources and evaluating financial performance. Accordingly, all required segment information can be found in these consolidated financial statements and accompanying notes.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Income Taxes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follows the asset and liability method of accounting for income taxes. This method requires recognition of deferred tax assets and liabilities for the expected future tax consequences of temporary differences between the carrying amounts and the tax basis of assets and liabilities. Valuation allowances are established when necessary to reduce the deferred tax assets to the amount the Company believes is more likely than not to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The Company recognizes interest and penalties on amounts due to taxing authorities as a component of other income (expense), net.</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Related Party Transactions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All contracts with related parties are executed in the ordinary course of business. There were no material related party transactions in the years ended January 31, 2024, 2023 and 2022. As of January 31, 2024 and 2023, there were no material amounts payable to or amounts receivable from related parties.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Recently Issued Accounting Pronouncements</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color w:val="000000"/>
          <w:sz w:val="20"/>
        </w:rPr>
        <w:t>In November 2023, the FASB issued ASU 2023-07</w:t>
      </w:r>
      <w:r>
        <w:rPr>
          <w:rFonts w:ascii="Times New Roman;sans-serif" w:hAnsi="Times New Roman;sans-serif"/>
          <w:b w:val="false"/>
          <w:i/>
          <w:color w:val="000000"/>
          <w:sz w:val="20"/>
        </w:rPr>
        <w:t>, Segment Reporting (Topic 280)</w:t>
      </w:r>
      <w:r>
        <w:rPr>
          <w:rFonts w:ascii="Times New Roman;sans-serif" w:hAnsi="Times New Roman;sans-serif"/>
          <w:b w:val="false"/>
          <w:color w:val="000000"/>
          <w:sz w:val="20"/>
        </w:rPr>
        <w:t>: Improvements to Reportable Segment Disclosures, which requires companies to provide disclosures of significant segment expenses and other segment items. The guidance requires companies to provide in interim periods all disclosures about a reportable segment’s profit or loss and assets that are currently required annually. The guidance is applied retrospectively and is effective for the Company for fiscal year ending January 31, 2025, and for interim periods beginning February 1, 2025. The Company is currently evaluating the impact of ASU 2023-07 on its consolidated financial statements.</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In December 2023, the FASB issued ASU 2023-09,</w:t>
      </w:r>
      <w:r>
        <w:rPr>
          <w:color w:val="000000"/>
        </w:rPr>
        <w:t xml:space="preserve"> </w:t>
      </w:r>
      <w:r>
        <w:rPr>
          <w:rFonts w:ascii="Times New Roman;sans-serif" w:hAnsi="Times New Roman;sans-serif"/>
          <w:b w:val="false"/>
          <w:i/>
          <w:color w:val="000000"/>
          <w:sz w:val="20"/>
        </w:rPr>
        <w:t>Income Taxes (Topic 740):</w:t>
      </w:r>
      <w:r>
        <w:rPr>
          <w:color w:val="000000"/>
        </w:rPr>
        <w:t xml:space="preserve"> </w:t>
      </w:r>
      <w:r>
        <w:rPr>
          <w:rFonts w:ascii="Times New Roman;sans-serif" w:hAnsi="Times New Roman;sans-serif"/>
          <w:b w:val="false"/>
          <w:color w:val="000000"/>
          <w:sz w:val="20"/>
        </w:rPr>
        <w:t>Improvements to Income Tax Disclosures, which requires companies to disclose additional information about income taxes, primarily their rate reconciliation information and income taxes paid. The new guidance requires companies to disclose in their rate reconciliation table additional categories of information about federal, state and foreign income taxes and to provide more details about the reconciling items in some categories if the items meet a quantitative threshold. Additionally companies will be required to disclose annually income taxes paid (net of refunds received) disaggregated by federal (national), state and foreign taxes and to disaggregate the information by jurisdiction based on a quantitative threshold. The guidance is effective for the Company for the fiscal year ending January 31, 2026, and early adoption is permitted. The Company is currently evaluating the impact of ASU 2023-09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3.</w:t>
      </w:r>
      <w:r>
        <w:rPr>
          <w:color w:val="000000"/>
        </w:rPr>
        <w:t xml:space="preserve"> </w:t>
      </w:r>
      <w:r>
        <w:rPr>
          <w:rFonts w:ascii="Times New Roman;sans-serif" w:hAnsi="Times New Roman;sans-serif"/>
          <w:b/>
          <w:color w:val="000000"/>
          <w:sz w:val="20"/>
        </w:rPr>
        <w:t>Fair Value Measurements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financial assets that have been measured at fair value on a recurring basis as of January 31, 2024 and 2023 and indicate the fair value hierarchy of the valuation inputs utilized to determine such fair value (in thousands):</w:t>
      </w:r>
    </w:p>
    <w:tbl>
      <w:tblPr>
        <w:tblW w:w="8105" w:type="dxa"/>
        <w:jc w:val="center"/>
        <w:tblInd w:w="0" w:type="dxa"/>
        <w:tblLayout w:type="fixed"/>
        <w:tblCellMar>
          <w:top w:w="28" w:type="dxa"/>
          <w:left w:w="28" w:type="dxa"/>
          <w:bottom w:w="28" w:type="dxa"/>
          <w:right w:w="28" w:type="dxa"/>
        </w:tblCellMar>
      </w:tblPr>
      <w:tblGrid>
        <w:gridCol w:w="1092"/>
        <w:gridCol w:w="958"/>
        <w:gridCol w:w="965"/>
        <w:gridCol w:w="211"/>
        <w:gridCol w:w="976"/>
        <w:gridCol w:w="109"/>
        <w:gridCol w:w="109"/>
        <w:gridCol w:w="109"/>
        <w:gridCol w:w="109"/>
        <w:gridCol w:w="213"/>
        <w:gridCol w:w="411"/>
        <w:gridCol w:w="112"/>
        <w:gridCol w:w="109"/>
        <w:gridCol w:w="109"/>
        <w:gridCol w:w="109"/>
        <w:gridCol w:w="213"/>
        <w:gridCol w:w="411"/>
        <w:gridCol w:w="112"/>
        <w:gridCol w:w="109"/>
        <w:gridCol w:w="109"/>
        <w:gridCol w:w="109"/>
        <w:gridCol w:w="211"/>
        <w:gridCol w:w="97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at January 31, 2024</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1,724,904 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05" w:type="dxa"/>
        <w:jc w:val="center"/>
        <w:tblInd w:w="0" w:type="dxa"/>
        <w:tblLayout w:type="fixed"/>
        <w:tblCellMar>
          <w:top w:w="28" w:type="dxa"/>
          <w:left w:w="28" w:type="dxa"/>
          <w:bottom w:w="28" w:type="dxa"/>
          <w:right w:w="28" w:type="dxa"/>
        </w:tblCellMar>
      </w:tblPr>
      <w:tblGrid>
        <w:gridCol w:w="1092"/>
        <w:gridCol w:w="958"/>
        <w:gridCol w:w="965"/>
        <w:gridCol w:w="211"/>
        <w:gridCol w:w="976"/>
        <w:gridCol w:w="109"/>
        <w:gridCol w:w="109"/>
        <w:gridCol w:w="109"/>
        <w:gridCol w:w="109"/>
        <w:gridCol w:w="213"/>
        <w:gridCol w:w="411"/>
        <w:gridCol w:w="112"/>
        <w:gridCol w:w="109"/>
        <w:gridCol w:w="109"/>
        <w:gridCol w:w="109"/>
        <w:gridCol w:w="213"/>
        <w:gridCol w:w="411"/>
        <w:gridCol w:w="112"/>
        <w:gridCol w:w="109"/>
        <w:gridCol w:w="109"/>
        <w:gridCol w:w="109"/>
        <w:gridCol w:w="211"/>
        <w:gridCol w:w="97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at January 31, 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utilized the market approach and Level 1 valuation inputs to value its money market mutual funds and U.S. government treasury securities because published net asset values were readily available.</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amortized cost and fair value of the Company’s short-term investments by remaining contractual maturity as of January 31, 2024 and January 31, 2023 (in thousands):</w:t>
      </w:r>
    </w:p>
    <w:tbl>
      <w:tblPr>
        <w:tblW w:w="10205" w:type="dxa"/>
        <w:jc w:val="left"/>
        <w:tblInd w:w="0" w:type="dxa"/>
        <w:tblLayout w:type="fixed"/>
        <w:tblCellMar>
          <w:top w:w="28" w:type="dxa"/>
          <w:left w:w="28" w:type="dxa"/>
          <w:bottom w:w="28" w:type="dxa"/>
          <w:right w:w="28" w:type="dxa"/>
        </w:tblCellMar>
      </w:tblPr>
      <w:tblGrid>
        <w:gridCol w:w="723"/>
        <w:gridCol w:w="268"/>
        <w:gridCol w:w="270"/>
        <w:gridCol w:w="211"/>
        <w:gridCol w:w="976"/>
        <w:gridCol w:w="109"/>
        <w:gridCol w:w="109"/>
        <w:gridCol w:w="109"/>
        <w:gridCol w:w="109"/>
        <w:gridCol w:w="233"/>
        <w:gridCol w:w="683"/>
        <w:gridCol w:w="122"/>
        <w:gridCol w:w="109"/>
        <w:gridCol w:w="109"/>
        <w:gridCol w:w="109"/>
        <w:gridCol w:w="211"/>
        <w:gridCol w:w="976"/>
        <w:gridCol w:w="109"/>
        <w:gridCol w:w="109"/>
        <w:gridCol w:w="109"/>
        <w:gridCol w:w="109"/>
        <w:gridCol w:w="211"/>
        <w:gridCol w:w="976"/>
        <w:gridCol w:w="109"/>
        <w:gridCol w:w="109"/>
        <w:gridCol w:w="109"/>
        <w:gridCol w:w="109"/>
        <w:gridCol w:w="229"/>
        <w:gridCol w:w="689"/>
        <w:gridCol w:w="120"/>
        <w:gridCol w:w="109"/>
        <w:gridCol w:w="109"/>
        <w:gridCol w:w="109"/>
        <w:gridCol w:w="211"/>
        <w:gridCol w:w="976"/>
        <w:gridCol w:w="158"/>
      </w:tblGrid>
      <w:tr>
        <w:trPr/>
        <w:tc>
          <w:tcPr>
            <w:tcW w:w="7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2023</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br/>
              <w:t>Gain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br/>
              <w:t>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1,380,804 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and within three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1,380,804 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unrealized gain on the Company’s U.S. government treasury securities were approximately $2.2 million. As of January 31, 2023, unrealized losses on the Company’s U.S. government treasury securities were approximately $2.4 million. These unrealized gains and losses were caused by fluctuations in interest rates, which results in changes to the market value of these securities. Because the decline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 January 31, 2024 and 2023. Gross realized gains and losses were not material for each of the for each of the years ended January 31, 2024 and 2023. There were no short-term investments in a continuous loss position for greater than twelve months.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Convertible Senior Notes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Company measures the fair value of its outstanding convertible senior notes on a quarterly basis for disclosure purposes. The Company considers the fair value of its convertible senior notes at January 31, 2024 to be a Level 2 measurement due to limited trading activity of the convertible senior notes. Refer to Note 6, </w:t>
      </w:r>
      <w:r>
        <w:rPr>
          <w:rFonts w:ascii="Times New Roman;sans-serif" w:hAnsi="Times New Roman;sans-serif"/>
          <w:b w:val="false"/>
          <w:i/>
          <w:color w:val="000000"/>
          <w:sz w:val="20"/>
        </w:rPr>
        <w:t>Convertible Senior Notes</w:t>
      </w:r>
      <w:r>
        <w:rPr>
          <w:rFonts w:ascii="Times New Roman;sans-serif" w:hAnsi="Times New Roman;sans-serif"/>
          <w:b w:val="false"/>
          <w:color w:val="000000"/>
          <w:sz w:val="20"/>
        </w:rPr>
        <w:t>, to the consolidated financial statements for further details.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Non-marketable Securities</w:t>
      </w:r>
    </w:p>
    <w:p>
      <w:pPr>
        <w:pStyle w:val="TextBody"/>
        <w:bidi w:val="0"/>
        <w:spacing w:lineRule="auto" w:line="288" w:before="180" w:after="180"/>
        <w:ind w:left="0" w:right="0" w:firstLine="540"/>
        <w:jc w:val="left"/>
        <w:rPr/>
      </w:pPr>
      <w:r>
        <w:rPr>
          <w:rFonts w:ascii="Times New Roman;sans-serif" w:hAnsi="Times New Roman;sans-serif"/>
          <w:b w:val="false"/>
          <w:color w:val="000000"/>
          <w:sz w:val="20"/>
        </w:rPr>
        <w:t xml:space="preserve">As of January 31, 2024 and 2023, the total amount of non-marketable equity and debt securities included in other assets on the Company’s balance sheets were $12.9 million and $9.8 million, respectively. During the years ended January 31, 2024 and 2023, the Company invested an additional $2.1 million and $3.1 million, respectively, of its cash in non-marketable equity securities. The Company recognized net unrealized gains on certain of these non-marketable securities of $1.0 million and $1.9 million during the years ended January 31, 2024 and 2023, respectively. Refer to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further details. The Company considers these assets as Level 3 within the fair value hierarchy when an impairment or observable price changes in orderly transactions are recognized on these non-marketable securities during the period.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ind w:left="0" w:right="0" w:hanging="180"/>
        <w:jc w:val="left"/>
        <w:rPr/>
      </w:pPr>
      <w:r>
        <w:rPr>
          <w:rFonts w:ascii="Times New Roman;sans-serif" w:hAnsi="Times New Roman;sans-serif"/>
          <w:b/>
          <w:color w:val="000000"/>
          <w:sz w:val="20"/>
        </w:rPr>
        <w:t>4.</w:t>
      </w:r>
      <w:r>
        <w:rPr>
          <w:color w:val="000000"/>
        </w:rPr>
        <w:t xml:space="preserve"> </w:t>
      </w:r>
      <w:r>
        <w:rPr>
          <w:rFonts w:ascii="Times New Roman;sans-serif" w:hAnsi="Times New Roman;sans-serif"/>
          <w:b/>
          <w:color w:val="000000"/>
          <w:sz w:val="20"/>
        </w:rPr>
        <w:t>Property and Equipment, Net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(in thousands):</w:t>
      </w:r>
    </w:p>
    <w:tbl>
      <w:tblPr>
        <w:tblW w:w="7269" w:type="dxa"/>
        <w:jc w:val="left"/>
        <w:tblInd w:w="0" w:type="dxa"/>
        <w:tblLayout w:type="fixed"/>
        <w:tblCellMar>
          <w:top w:w="28" w:type="dxa"/>
          <w:left w:w="28" w:type="dxa"/>
          <w:bottom w:w="28" w:type="dxa"/>
          <w:right w:w="28" w:type="dxa"/>
        </w:tblCellMar>
      </w:tblPr>
      <w:tblGrid>
        <w:gridCol w:w="1482"/>
        <w:gridCol w:w="1306"/>
        <w:gridCol w:w="1321"/>
        <w:gridCol w:w="282"/>
        <w:gridCol w:w="966"/>
        <w:gridCol w:w="146"/>
        <w:gridCol w:w="109"/>
        <w:gridCol w:w="109"/>
        <w:gridCol w:w="109"/>
        <w:gridCol w:w="279"/>
        <w:gridCol w:w="956"/>
        <w:gridCol w:w="204"/>
      </w:tblGrid>
      <w:tr>
        <w:trPr/>
        <w:tc>
          <w:tcPr>
            <w:tcW w:w="148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Servers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Website costs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pPr>
      <w:r>
        <w:rPr>
          <w:rFonts w:ascii="Times New Roman;sans-serif" w:hAnsi="Times New Roman;sans-serif"/>
          <w:b w:val="false"/>
          <w:color w:val="000000"/>
          <w:sz w:val="20"/>
        </w:rPr>
        <w:t xml:space="preserve">Depreciation and amortization expense related to property and equipment was $8.0 million, $6.9 million and $4.5 million for the years ended January 31, 2024, 2023 and 2022, respectively. Depreciation and amortization expense excludes amortization with respect to the finance lease right-of-use asset, which is described further in Note 7,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5.</w:t>
      </w:r>
      <w:r>
        <w:rPr>
          <w:color w:val="000000"/>
        </w:rPr>
        <w:t xml:space="preserve"> </w:t>
      </w:r>
      <w:r>
        <w:rPr>
          <w:rFonts w:ascii="Times New Roman;sans-serif" w:hAnsi="Times New Roman;sans-serif"/>
          <w:b/>
          <w:color w:val="000000"/>
          <w:sz w:val="20"/>
        </w:rPr>
        <w:t>Goodwill and Acquired Intangible Assets, Net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carrying amount of goodwill during the periods presented (in thousands):</w:t>
      </w:r>
    </w:p>
    <w:tbl>
      <w:tblPr>
        <w:tblW w:w="7629" w:type="dxa"/>
        <w:jc w:val="left"/>
        <w:tblInd w:w="0" w:type="dxa"/>
        <w:tblLayout w:type="fixed"/>
        <w:tblCellMar>
          <w:top w:w="28" w:type="dxa"/>
          <w:left w:w="28" w:type="dxa"/>
          <w:bottom w:w="28" w:type="dxa"/>
          <w:right w:w="28" w:type="dxa"/>
        </w:tblCellMar>
      </w:tblPr>
      <w:tblGrid>
        <w:gridCol w:w="1618"/>
        <w:gridCol w:w="1423"/>
        <w:gridCol w:w="1428"/>
        <w:gridCol w:w="282"/>
        <w:gridCol w:w="966"/>
        <w:gridCol w:w="146"/>
        <w:gridCol w:w="109"/>
        <w:gridCol w:w="109"/>
        <w:gridCol w:w="109"/>
        <w:gridCol w:w="279"/>
        <w:gridCol w:w="956"/>
        <w:gridCol w:w="204"/>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the year</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goodwill related to business combinations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the year</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27, 2023, the Company acquired the assets of Grainite, Inc. (“Grainite”), for total cash consideration of $15.0 million. Grainite is a stream processing application company and the transaction is intended to accelerate the development of the Company’s stream processing offering. The Company accounted for the transaction as a business combination, after determining that the acquired set of assets, the fair value of which was not concentrated in a single asset, or group of similar assets, and included (a) an assembled workforce and (b) intangible asset, met the definition of a business. As a result, the Company allocated the estimated fair value of $3.1 million of the identifiable asset acquired to the developed technology intangible asset. The fair value assigned to the intangible asset was determined through the use of a third-party valuation firm using replacement cost approach methodology, and includes the expected profit margin of a hypothetical third-party developer and a market participant’s opportunity cost. Judgment was applied for a number of assumptions used in the valuation of the identified intangible asset. The excess of the cash consideration over the identifiable intangible assets in the amount of $11.9 million was allocated to goodwill. This transaction is accounted for as an asset acquisition for tax purposes, and therefore both the goodwill and acquired intangible asset are deductible for tax purposes. Tax impacts were not material. Acquisition-related transaction costs were not material and have been expensed as incurred and included in general and administrative expenses in the consolidated statements of operations. The business combination did not have a material impact on the Company’s consolidated financial statements for the year ended January 31, 2024.</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made an acquisition for total cash consideration of $9.0 million, of which $4.5 million was the purchase price to be allocated and $4.5 million will be recognized as post-combination compensation expense. For accounting purposes, this business combination was deemed immaterial. The Company allocated $3.4 million to the acquired developed technology intangible asset based on fair value to be amortized over its economic useful life of five years. The Company also recorded $1.9 million of goodwill, which included a tax benefit associated with the acquisition due to the release of the valuation allowance of $0.8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and accumulated amortization of the Company’s intangible assets are as follows (in thousands):</w:t>
      </w:r>
    </w:p>
    <w:tbl>
      <w:tblPr>
        <w:tblW w:w="10205" w:type="dxa"/>
        <w:jc w:val="left"/>
        <w:tblInd w:w="0" w:type="dxa"/>
        <w:tblLayout w:type="fixed"/>
        <w:tblCellMar>
          <w:top w:w="28" w:type="dxa"/>
          <w:left w:w="28" w:type="dxa"/>
          <w:bottom w:w="28" w:type="dxa"/>
          <w:right w:w="28" w:type="dxa"/>
        </w:tblCellMar>
      </w:tblPr>
      <w:tblGrid>
        <w:gridCol w:w="650"/>
        <w:gridCol w:w="535"/>
        <w:gridCol w:w="539"/>
        <w:gridCol w:w="301"/>
        <w:gridCol w:w="1032"/>
        <w:gridCol w:w="156"/>
        <w:gridCol w:w="109"/>
        <w:gridCol w:w="109"/>
        <w:gridCol w:w="109"/>
        <w:gridCol w:w="332"/>
        <w:gridCol w:w="1242"/>
        <w:gridCol w:w="171"/>
        <w:gridCol w:w="109"/>
        <w:gridCol w:w="109"/>
        <w:gridCol w:w="109"/>
        <w:gridCol w:w="257"/>
        <w:gridCol w:w="753"/>
        <w:gridCol w:w="133"/>
        <w:gridCol w:w="109"/>
        <w:gridCol w:w="109"/>
        <w:gridCol w:w="109"/>
        <w:gridCol w:w="913"/>
        <w:gridCol w:w="913"/>
        <w:gridCol w:w="1297"/>
      </w:tblGrid>
      <w:tr>
        <w:trPr/>
        <w:tc>
          <w:tcPr>
            <w:tcW w:w="65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 (in years)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(52,443)</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8"/>
        <w:gridCol w:w="533"/>
        <w:gridCol w:w="537"/>
        <w:gridCol w:w="300"/>
        <w:gridCol w:w="1029"/>
        <w:gridCol w:w="155"/>
        <w:gridCol w:w="109"/>
        <w:gridCol w:w="109"/>
        <w:gridCol w:w="109"/>
        <w:gridCol w:w="330"/>
        <w:gridCol w:w="1237"/>
        <w:gridCol w:w="170"/>
        <w:gridCol w:w="109"/>
        <w:gridCol w:w="109"/>
        <w:gridCol w:w="109"/>
        <w:gridCol w:w="238"/>
        <w:gridCol w:w="814"/>
        <w:gridCol w:w="122"/>
        <w:gridCol w:w="109"/>
        <w:gridCol w:w="109"/>
        <w:gridCol w:w="109"/>
        <w:gridCol w:w="908"/>
        <w:gridCol w:w="908"/>
        <w:gridCol w:w="1295"/>
      </w:tblGrid>
      <w:tr>
        <w:trPr/>
        <w:tc>
          <w:tcPr>
            <w:tcW w:w="6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 (in years)</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(41,872)</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 are amortized on a straight-line basis. Amortization expense of intangible assets was $10.6 million, $9.2 million and $9.1 million for the years ended January 31, 2024, 2023 and 2022, respectively. Amortization expense for developed technology was included as research and development expense in the Company’s consolidated statements of operations. Amortization expense for customer relationships was included as sales and marketing expense in the Company’s consolidated statements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future amortization expense related to the intangible assets is as follows (in thousands):</w:t>
      </w:r>
    </w:p>
    <w:tbl>
      <w:tblPr>
        <w:tblW w:w="3321" w:type="dxa"/>
        <w:jc w:val="left"/>
        <w:tblInd w:w="0" w:type="dxa"/>
        <w:tblLayout w:type="fixed"/>
        <w:tblCellMar>
          <w:top w:w="28" w:type="dxa"/>
          <w:left w:w="28" w:type="dxa"/>
          <w:bottom w:w="28" w:type="dxa"/>
          <w:right w:w="28" w:type="dxa"/>
        </w:tblCellMar>
      </w:tblPr>
      <w:tblGrid>
        <w:gridCol w:w="846"/>
        <w:gridCol w:w="746"/>
        <w:gridCol w:w="748"/>
        <w:gridCol w:w="211"/>
        <w:gridCol w:w="61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January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80"/>
        <w:jc w:val="left"/>
        <w:rPr/>
      </w:pPr>
      <w:r>
        <w:rPr>
          <w:rFonts w:ascii="Times New Roman;sans-serif" w:hAnsi="Times New Roman;sans-serif"/>
          <w:b/>
          <w:color w:val="000000"/>
          <w:sz w:val="20"/>
        </w:rPr>
        <w:t>6.</w:t>
      </w:r>
      <w:r>
        <w:rPr>
          <w:color w:val="000000"/>
        </w:rPr>
        <w:t xml:space="preserve"> </w:t>
      </w:r>
      <w:r>
        <w:rPr>
          <w:rFonts w:ascii="Times New Roman;sans-serif" w:hAnsi="Times New Roman;sans-serif"/>
          <w:b/>
          <w:color w:val="000000"/>
          <w:sz w:val="20"/>
        </w:rPr>
        <w:t>Convertible Senior Notes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net carrying amounts of the Company’s 2026 Notes (as defined herein) were as follows for the periods presented (in thousands):</w:t>
      </w:r>
    </w:p>
    <w:tbl>
      <w:tblPr>
        <w:tblW w:w="5724" w:type="dxa"/>
        <w:jc w:val="left"/>
        <w:tblInd w:w="0" w:type="dxa"/>
        <w:tblLayout w:type="fixed"/>
        <w:tblCellMar>
          <w:top w:w="28" w:type="dxa"/>
          <w:left w:w="28" w:type="dxa"/>
          <w:bottom w:w="28" w:type="dxa"/>
          <w:right w:w="28" w:type="dxa"/>
        </w:tblCellMar>
      </w:tblPr>
      <w:tblGrid>
        <w:gridCol w:w="999"/>
        <w:gridCol w:w="877"/>
        <w:gridCol w:w="884"/>
        <w:gridCol w:w="211"/>
        <w:gridCol w:w="976"/>
        <w:gridCol w:w="109"/>
        <w:gridCol w:w="109"/>
        <w:gridCol w:w="109"/>
        <w:gridCol w:w="109"/>
        <w:gridCol w:w="211"/>
        <w:gridCol w:w="97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the total estimated fair value (Level 2) of the outstanding 2026 Notes, which is utilized solely for disclosure purposes, was approximately $2.2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interest expense related to the 2024 Notes (as defined herein) and 2026 Notes for the periods presented (in thousands):</w:t>
      </w:r>
    </w:p>
    <w:tbl>
      <w:tblPr>
        <w:tblW w:w="10037" w:type="dxa"/>
        <w:jc w:val="left"/>
        <w:tblInd w:w="0" w:type="dxa"/>
        <w:tblLayout w:type="fixed"/>
        <w:tblCellMar>
          <w:top w:w="28" w:type="dxa"/>
          <w:left w:w="28" w:type="dxa"/>
          <w:bottom w:w="28" w:type="dxa"/>
          <w:right w:w="28" w:type="dxa"/>
        </w:tblCellMar>
      </w:tblPr>
      <w:tblGrid>
        <w:gridCol w:w="954"/>
        <w:gridCol w:w="840"/>
        <w:gridCol w:w="845"/>
        <w:gridCol w:w="266"/>
        <w:gridCol w:w="512"/>
        <w:gridCol w:w="137"/>
        <w:gridCol w:w="109"/>
        <w:gridCol w:w="109"/>
        <w:gridCol w:w="109"/>
        <w:gridCol w:w="211"/>
        <w:gridCol w:w="616"/>
        <w:gridCol w:w="109"/>
        <w:gridCol w:w="109"/>
        <w:gridCol w:w="109"/>
        <w:gridCol w:w="109"/>
        <w:gridCol w:w="314"/>
        <w:gridCol w:w="604"/>
        <w:gridCol w:w="162"/>
        <w:gridCol w:w="109"/>
        <w:gridCol w:w="109"/>
        <w:gridCol w:w="109"/>
        <w:gridCol w:w="211"/>
        <w:gridCol w:w="616"/>
        <w:gridCol w:w="109"/>
        <w:gridCol w:w="109"/>
        <w:gridCol w:w="109"/>
        <w:gridCol w:w="109"/>
        <w:gridCol w:w="245"/>
        <w:gridCol w:w="543"/>
        <w:gridCol w:w="127"/>
        <w:gridCol w:w="109"/>
        <w:gridCol w:w="109"/>
        <w:gridCol w:w="109"/>
        <w:gridCol w:w="211"/>
        <w:gridCol w:w="61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2022</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color w:val="000000"/>
                <w:sz w:val="16"/>
              </w:rPr>
              <w:t xml:space="preserve">2024 Notes </w:t>
            </w:r>
            <w:r>
              <w:rPr>
                <w:rFonts w:ascii="Times New Roman;sans-serif" w:hAnsi="Times New Roman;sans-serif"/>
                <w:b/>
                <w:color w:val="000000"/>
                <w:sz w:val="10"/>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2024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2026 Notes</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issuance costs </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aggregate principal amount outstanding of the 2024 Notes was redeemed by the Company in December 2021.</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2018, the Company issued $250.0 million aggregate principal amount of 0.75% convertible senior notes due 2024 in a private placement and, in July 2018, the Company issued an additional $50.0 million aggregate principal amount of convertible senior notes pursuant to the exercise in full of the initial purchasers’ option to purchase additional convertible senior notes (collectively, the “2024 Notes”). The 2024 Notes were senior unsecured obligations of the Company with interest payable semiannually in arrears on June 15 and December 15 of each year, beginning on December 15, 2018, at a rate of 0.75% per year. The 2024 Notes had a maturity date of June 15, 2024, unless earlier converted, redeemed or repurchased. The total net proceeds from the offering, after deducting initial purchase discounts and debt issuance costs, were approximately $291.1 million.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14, 2020, in connection with the issuance of the 2026 Notes, the Company used a portion of the net proceeds to repurchase $210.0 million aggregate principal amount of the 2024 Notes (the “2024 Notes Partial Repurchase”) leaving $90.0 million aggregate principal outstanding on the 2024 Notes immediately after the exchange. The 2024 Notes Partial Repurchase were individually privately negotiated transactions conducted not pursuant to a redemption notice. The 2024 Notes Partial Repurchase and issuance of the 2026 Notes were deemed to have substantially different terms due to the significant difference between the value of the conversion option immediately prior to and after the exchange, and accordingly, the 2024 Notes Partial Repurchase was accounted for as a debt extinguishment.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2021, the Company issued a notice of redemption (the “Redemption Notice”) for the aggregate principal amount outstanding of its 2024 Notes. Pursuant to the Redemption Notice, the Company redeemed the outstanding principal of the 2024 Notes that were not converted prior to such date at a redemption price in cash equal to 100% of the principal amount of the 2024 Notes, plus accrued and unpaid interest. The extinguishment of the 2024 Notes on December 3, 2021 was immaterial to the Company’s consolidated financial statements.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Terms of the 2026 Notes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2026 Notes, the initial conversion rate is 4.7349 shares of the Company’s common stock per $1,000 principal amount of the 2026 Notes, which is equal to an initial conversion price of approximately $211.20 per share of common stock, subject to adjustment upon the occurrence of specified events.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will be convertible at the option of the holders at any time prior to the close of business on the business day immediately preceding October 15, 2025, only under the following circumstances: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(1)during any fiscal quarter commencing after the fiscal quarter ending on April 30, 2020 (and only during such fiscal quarter), if the last reported sale price of the Company’s common stock for at least 20 trading days (whether or not consecutive) during a period of 30 consecutive trading days ending on and including, the last trading day of the immediately preceding fiscal quarter is greater than or equal to 130% of the conversion price of the 2026 Notes on each applicable trading day;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(2)during the five-business day period after any five consecutive trading day period (the “measurement period”) in which the trading price per $1,000 principal amount of the 2026 Notes for each trading day of the measurement period was less than 98% of the product of the last reported sale price of the Company’s common stock and the conversion rate of the 2026 Notes on each such trading day;</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(3)if the Company calls any or all of the 2026 Notes for redemption, at any time prior to the close of business on the scheduled trading day immediately preceding the redemption date; or</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(4)upon the occurrence of specified corporate events (as set forth in the indenture governing the 2026 Notes).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or after October 15, 2025, until the close of business on the scheduled trading day immediately preceding the maturity date, holders may convert all or any portion of their 2026 Notes, in multiples of $1,000 principal amount, at the option of the holder, regardless of the foregoing circumstances. Upon conversion, the Company will satisfy its conversion obligation by paying or delivering, as the case may be, cash, shares of the Company’s common stock or a combination of cash and shares of the Company’s common stock, at the Company’s election. If a fundamental change (as defined in the indenture governing the 2026 Notes) occurs prior to the maturity date, holders of the 2026 Notes will have the right to require the Company to repurchase for cash all or any portion of their 2026 Notes at a repurchase price equal to 100% of the principal amount of the 2026 Notes to be repurchased, plus accrued and unpaid interest to, but excluding, the fundamental change repurchase date. In addition, if specific corporate events occur prior to the applicable maturity date, or if the Company elects to redeem the 2026 Notes, the Company will increase the conversion rate for a holder who elects to convert their notes in connection with such a corporate event or redemption in certain circumstances. It is the Company’s current intent to settle the principal amount of the 2026 Notes in cash.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January 31, 2024, the conditional conversion feature of the 2026 Notes was triggered as the last reported sale price of the Company's common stock was more than or equal to 130% of the conversion price for at least 20 trading days in the period of 30 consecutive trading days ending on January 31, 2024 (the last trading day of the fiscal quarter) and therefore the 2026 Notes are currently convertible, in whole or in part, at the option of the holders from February 1, 2024, through April 30, 2024. Whether the 2026 Notes will be convertible following such period will depend on the continued satisfaction of this condition or another conversion condition in the future. Since the Company has the election of repaying the 2026 Notes in cash, shares of the Company’s common stock, or a combination of both, the Company continued to classify the 2026 Notes as long-term debt on the Company’s consolidated balance sheet as of January 31, 2024.</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Beginning on January 20, 2023, the Company may redeem for cash all or any portion of the 2026 Notes, at its option, if the last reported sale price of its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2026 Notes to be redeemed, plus accrued and unpaid interest to, but excluding, the redemption date.</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Capped Calls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2024 Notes and 2026 Notes, the Company entered into privately negotiated capped call transactions with certain counterparties (the “Capped Calls”). The Capped Calls associated with the 2024 Notes each had an initial strike price of approximately $68.15 per share, subject to certain adjustments, which corresponded to the initial conversion price of the 2024 Notes. These Capped Calls had initial cap prices of $106.90 per share, subject to certain adjustments.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Capped Calls are expected to partially offset the potential dilution to the Company’s common stock upon any conversion of the 2024 Notes or 2026 Notes, with such offset subject to a cap based on the cap price. The Capped Calls associated with the 2024 Notes and 2026 Notes cover, subject to anti-dilution adjustments, approximately 4.4 million shares and 5.4 million shares of the Company’s common stock, respectively. The Capped Calls are subject to adjustment upon the occurrence of specified extraordinary events affecting the Company, including merger events, tender offers and the announcement of such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not part of the terms of the 2024 Notes and 2026 Notes. As these transactions meet certain accounting criteria, the Capped Calls are recorded in stockholders' equity and are not accounted for as derivatives. The cost of $37.1 million and $93.8 million incurred to purchase the Capped Calls associated with the 2024 Notes and 2026 Notes, respectively, was recorded as a reduction to additional paid-in capital and will not be remeasured. The Company did not unwind any of its Capped Calls through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Lease Costs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lease costs included in its consolidated statements of operations were as follows (in thousands):</w:t>
      </w:r>
    </w:p>
    <w:tbl>
      <w:tblPr>
        <w:tblW w:w="6458" w:type="dxa"/>
        <w:jc w:val="left"/>
        <w:tblInd w:w="0" w:type="dxa"/>
        <w:tblLayout w:type="fixed"/>
        <w:tblCellMar>
          <w:top w:w="28" w:type="dxa"/>
          <w:left w:w="28" w:type="dxa"/>
          <w:bottom w:w="28" w:type="dxa"/>
          <w:right w:w="28" w:type="dxa"/>
        </w:tblCellMar>
      </w:tblPr>
      <w:tblGrid>
        <w:gridCol w:w="1449"/>
        <w:gridCol w:w="1274"/>
        <w:gridCol w:w="1281"/>
        <w:gridCol w:w="211"/>
        <w:gridCol w:w="721"/>
        <w:gridCol w:w="109"/>
        <w:gridCol w:w="109"/>
        <w:gridCol w:w="109"/>
        <w:gridCol w:w="109"/>
        <w:gridCol w:w="211"/>
        <w:gridCol w:w="721"/>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Balance Sheet Components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of the Company’s finance and operating leases were recorded on the consolidated balance sheets as follows (in thousands):</w:t>
      </w:r>
    </w:p>
    <w:tbl>
      <w:tblPr>
        <w:tblW w:w="5693" w:type="dxa"/>
        <w:jc w:val="left"/>
        <w:tblInd w:w="0" w:type="dxa"/>
        <w:tblLayout w:type="fixed"/>
        <w:tblCellMar>
          <w:top w:w="28" w:type="dxa"/>
          <w:left w:w="28" w:type="dxa"/>
          <w:bottom w:w="28" w:type="dxa"/>
          <w:right w:w="28" w:type="dxa"/>
        </w:tblCellMar>
      </w:tblPr>
      <w:tblGrid>
        <w:gridCol w:w="1172"/>
        <w:gridCol w:w="1029"/>
        <w:gridCol w:w="1038"/>
        <w:gridCol w:w="211"/>
        <w:gridCol w:w="721"/>
        <w:gridCol w:w="109"/>
        <w:gridCol w:w="109"/>
        <w:gridCol w:w="109"/>
        <w:gridCol w:w="109"/>
        <w:gridCol w:w="211"/>
        <w:gridCol w:w="721"/>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8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Supplemental Information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related to the Company’s finance and operating leases (in thousands, except weighted-average information):</w:t>
      </w:r>
    </w:p>
    <w:tbl>
      <w:tblPr>
        <w:tblW w:w="8432" w:type="dxa"/>
        <w:jc w:val="left"/>
        <w:tblInd w:w="0" w:type="dxa"/>
        <w:tblLayout w:type="fixed"/>
        <w:tblCellMar>
          <w:top w:w="28" w:type="dxa"/>
          <w:left w:w="28" w:type="dxa"/>
          <w:bottom w:w="28" w:type="dxa"/>
          <w:right w:w="28" w:type="dxa"/>
        </w:tblCellMar>
      </w:tblPr>
      <w:tblGrid>
        <w:gridCol w:w="2126"/>
        <w:gridCol w:w="1864"/>
        <w:gridCol w:w="1874"/>
        <w:gridCol w:w="211"/>
        <w:gridCol w:w="616"/>
        <w:gridCol w:w="271"/>
        <w:gridCol w:w="109"/>
        <w:gridCol w:w="109"/>
        <w:gridCol w:w="109"/>
        <w:gridCol w:w="211"/>
        <w:gridCol w:w="616"/>
        <w:gridCol w:w="316"/>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Maturities of Lease Liabilities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finance and operating leases on an annual undiscounted cash flow basis as of January 31, 2024 were as follows (in thousands):</w:t>
      </w:r>
    </w:p>
    <w:tbl>
      <w:tblPr>
        <w:tblW w:w="7315" w:type="dxa"/>
        <w:jc w:val="left"/>
        <w:tblInd w:w="0" w:type="dxa"/>
        <w:tblLayout w:type="fixed"/>
        <w:tblCellMar>
          <w:top w:w="28" w:type="dxa"/>
          <w:left w:w="28" w:type="dxa"/>
          <w:bottom w:w="28" w:type="dxa"/>
          <w:right w:w="28" w:type="dxa"/>
        </w:tblCellMar>
      </w:tblPr>
      <w:tblGrid>
        <w:gridCol w:w="1459"/>
        <w:gridCol w:w="1286"/>
        <w:gridCol w:w="1290"/>
        <w:gridCol w:w="267"/>
        <w:gridCol w:w="914"/>
        <w:gridCol w:w="138"/>
        <w:gridCol w:w="109"/>
        <w:gridCol w:w="109"/>
        <w:gridCol w:w="109"/>
        <w:gridCol w:w="317"/>
        <w:gridCol w:w="1086"/>
        <w:gridCol w:w="231"/>
      </w:tblGrid>
      <w:tr>
        <w:trPr/>
        <w:tc>
          <w:tcPr>
            <w:tcW w:w="145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Year Ending January 31,</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Thereafter </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minimum payments </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 under leases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obligations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Commitments and Contingencies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certain non-cancelable agreements primarily for subscription, marketing services and cloud infrastructure capacity commitments entered into by the Company (in thousands):</w:t>
      </w:r>
    </w:p>
    <w:tbl>
      <w:tblPr>
        <w:tblW w:w="4271"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64"/>
        <w:gridCol w:w="1223"/>
        <w:gridCol w:w="193"/>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Year Ending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Other Obligations</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281,222 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276,646 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minimum payments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1,166,650 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pPr>
      <w:r>
        <w:rPr>
          <w:rFonts w:ascii="Times New Roman;sans-serif" w:hAnsi="Times New Roman;sans-serif"/>
          <w:b w:val="false"/>
          <w:color w:val="000000"/>
          <w:sz w:val="20"/>
        </w:rPr>
        <w:t xml:space="preserve">Refer to Note 7, </w:t>
      </w:r>
      <w:r>
        <w:rPr>
          <w:rFonts w:ascii="Times New Roman;sans-serif" w:hAnsi="Times New Roman;sans-serif"/>
          <w:b w:val="false"/>
          <w:i/>
          <w:color w:val="000000"/>
          <w:sz w:val="20"/>
        </w:rPr>
        <w:t>Leases</w:t>
      </w:r>
      <w:r>
        <w:rPr>
          <w:rFonts w:ascii="Times New Roman;sans-serif" w:hAnsi="Times New Roman;sans-serif"/>
          <w:b w:val="false"/>
          <w:color w:val="000000"/>
          <w:sz w:val="20"/>
        </w:rPr>
        <w:t>, for further details on obligations under non-cancelable finance and operating leases, including future minimum lease payments.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Non-cancelable Material Commitments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Other than certain non-cancelable operating leases described in Note 7, </w:t>
      </w:r>
      <w:r>
        <w:rPr>
          <w:rFonts w:ascii="Times New Roman;sans-serif" w:hAnsi="Times New Roman;sans-serif"/>
          <w:b w:val="false"/>
          <w:i/>
          <w:color w:val="000000"/>
          <w:sz w:val="20"/>
        </w:rPr>
        <w:t>Leases</w:t>
      </w:r>
      <w:r>
        <w:rPr>
          <w:rFonts w:ascii="Times New Roman;sans-serif" w:hAnsi="Times New Roman;sans-serif"/>
          <w:b w:val="false"/>
          <w:color w:val="000000"/>
          <w:sz w:val="20"/>
        </w:rPr>
        <w:t>, during the year ended January 31, 2024, there have been no material changes outside the ordinary course of business to the Company’s contractual obligations and commitments.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Commitments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irrevocable, standby letters of credit, which serve as security deposits for certain of the Company’s leases and expire through June 2026. The maximum amount that can be drawn under these letters of credit is $1.3 million. As of January 31, 2024, no amounts have been drawn under the letters of credit.</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Legal Matters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has become involved in claims, litigation and other legal matters arising in the ordinary course of business, including intellectual property, labor and employment and breach of contract claims. For example, on March 12, 2019, Realtime Data LLC (“Realtime”) filed a lawsuit against the Company in the United States District Court for the District of Delaware alleging that the Company is infringing three U.S. patents that it holds. On May 4, 2021, the District Court granted certain defendants' motion to dismiss without prejudice. Realtime filed an amended complaint on May 18, 2021, which the District Court dismissed on August 23, 2021. On August 25, 2021, Realtime filed a notice of appeal of the Delaware District Court’s order. The oral argument took place before the U.S. Court of Appeals for the Federal Circuit on February 10, 2023. On August 2, 2023, the U.S. Court of Appeals for the Federal Circuit issued an opinion affirming the District Court's order in favor of the Company. On October 31, 2023, Realtime filed a Petition for a Writ of Certiorari in the U.S. Supreme Court requesting the U.S. Supreme Court to review the lower court's decision. On January 8, 2024, the U.S. Supreme Court denied Realtime’s Writ of Certiorari, leaving the decision by the U.S.Court of Appeals for the Federal Circuit, invalidating the at-issue patents, intact. We consider this matter closed.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investigates all claims, litigation and other legal matters as they arise. Although claims and litigation are inherently unpredictable, as of January 31, 2024,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 </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Indemnification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Revenue</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Disaggregation of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information provided to and reviewed by the Company’s Chief Executive Officer,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revenues disaggregated by primary geographical markets, subscription product categories and services (in thousands):</w:t>
      </w:r>
    </w:p>
    <w:tbl>
      <w:tblPr>
        <w:tblW w:w="8232" w:type="dxa"/>
        <w:jc w:val="left"/>
        <w:tblInd w:w="0" w:type="dxa"/>
        <w:tblLayout w:type="fixed"/>
        <w:tblCellMar>
          <w:top w:w="28" w:type="dxa"/>
          <w:left w:w="28" w:type="dxa"/>
          <w:bottom w:w="28" w:type="dxa"/>
          <w:right w:w="28" w:type="dxa"/>
        </w:tblCellMar>
      </w:tblPr>
      <w:tblGrid>
        <w:gridCol w:w="1377"/>
        <w:gridCol w:w="1205"/>
        <w:gridCol w:w="1213"/>
        <w:gridCol w:w="211"/>
        <w:gridCol w:w="976"/>
        <w:gridCol w:w="109"/>
        <w:gridCol w:w="109"/>
        <w:gridCol w:w="109"/>
        <w:gridCol w:w="109"/>
        <w:gridCol w:w="211"/>
        <w:gridCol w:w="976"/>
        <w:gridCol w:w="109"/>
        <w:gridCol w:w="109"/>
        <w:gridCol w:w="109"/>
        <w:gridCol w:w="109"/>
        <w:gridCol w:w="211"/>
        <w:gridCol w:w="82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Primary geographical markets: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Americas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Asia Pacific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product categories and services: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MongoDB Atlas-related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subscription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Customers located in the United States accounted for 54%, 55% and 54% of total revenue for the years ended January 31, 2024, 2023 and 2022, respectively. No other country accounted for 10% or more of revenue for the periods presented.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and 2023, the majority of the Company’s long-lived assets were located in the United States and Ireland.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Contract Liabilities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 liabilities are recorded as deferred revenue in the Company’s consolidated balance sheets and consist of customer invoices issued or payments received in advance of revenues being recognized from the Company’s subscription and services contracts. Deferred revenue, including current and non-current balances as of January 31, 2024, 2023 and 2022 was $377.4 million, $460.3 million and $375.2 million, respectively. Approximately 25% and 27% of the total revenue recognized in the years ended January 31, 2024 and 2023 was from deferred revenue at the beginning of each respective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Remaining Performance Obligations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January 31, 2024, the aggregate transaction price allocated to remaining performance obligations was $591.4 million. Approximately 53%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Unbilled Receivables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consolidated balance sheets. As of January 31, 2024, 2023 and 2022, unbilled receivables were $22.7 million, $9.7 million and $6.1 million, respectively.</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Allowance for Doubtful Accounts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tbl>
      <w:tblPr>
        <w:tblW w:w="5340" w:type="dxa"/>
        <w:jc w:val="left"/>
        <w:tblInd w:w="0" w:type="dxa"/>
        <w:tblLayout w:type="fixed"/>
        <w:tblCellMar>
          <w:top w:w="28" w:type="dxa"/>
          <w:left w:w="28" w:type="dxa"/>
          <w:bottom w:w="28" w:type="dxa"/>
          <w:right w:w="28" w:type="dxa"/>
        </w:tblCellMar>
      </w:tblPr>
      <w:tblGrid>
        <w:gridCol w:w="875"/>
        <w:gridCol w:w="767"/>
        <w:gridCol w:w="773"/>
        <w:gridCol w:w="627"/>
        <w:gridCol w:w="1835"/>
        <w:gridCol w:w="463"/>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Doubtful Accounts</w:t>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31, 2022</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2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Recoveries/write-offs</w:t>
            </w:r>
          </w:p>
        </w:tc>
        <w:tc>
          <w:tcPr>
            <w:tcW w:w="2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31, 2023</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2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Recoveries/write-offs</w:t>
            </w:r>
          </w:p>
        </w:tc>
        <w:tc>
          <w:tcPr>
            <w:tcW w:w="2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(6,828)</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31, 2024</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8,054 </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allowance for doubtful accounts at January 31, 2024 was primarily driven by the increase in sales of our products and services.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Costs Capitalized to Obtain Contracts with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 were $294.2 million and $252.4 million as of January 31, 2024 and 2023, respectively, of which $201.7 million and $168.9 million comprised the non-current portion and was included in other assets on the Company’s consolidated balance sheets as of January 31, 2024 and 2023, respectively. Amortization expense with respect to deferred commissions, which is included in sales and marketing expense in the Company’s consolidated statements of operations, was $99.5 million, $79.6 million and $49.1 million for years ended January 31, 2024, 2023 and 2022, respectively. There was no impairment loss in relation to the costs capitalized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Equity Incentive Plans and Employee Stock Purchase Plan</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2008 Stock Incentive Plan and 2016 Equity Incentive Plan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 Stock options granted under the stock option plans may be either incentive stock options (“ISOs”) or nonstatutory stock options (“NSOs”). ISOs may be granted to employees and NSOs may be granted to employees, directors, or consultants. All outstanding stock options as of January 31, 2024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granted as NSOs with the exception of one ISO award. The exercise prices of the stock option grants must be no less than 100% of the fair value of the common stock on the grant date as determined by the Board of Directors. If, at the date of grant, the optionee owns more than 10% of the total combined voting power of all classes of outstanding stock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 RSU awards granted to new employees generally vest over a period of four years with 25% vesting on the one 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2016 Plan, the shares of the Company’s common stock reserved for issuance was increased by 3.5 million shares in February 2023. As of January 31, 2024, the Company has approximately 13.7 million shares of common stock available for future grants.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Stock Options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for the periods presented (in thousands, except share and per share data and years):</w:t>
      </w:r>
    </w:p>
    <w:tbl>
      <w:tblPr>
        <w:tblW w:w="10205" w:type="dxa"/>
        <w:jc w:val="left"/>
        <w:tblInd w:w="0" w:type="dxa"/>
        <w:tblLayout w:type="fixed"/>
        <w:tblCellMar>
          <w:top w:w="28" w:type="dxa"/>
          <w:left w:w="28" w:type="dxa"/>
          <w:bottom w:w="28" w:type="dxa"/>
          <w:right w:w="28" w:type="dxa"/>
        </w:tblCellMar>
      </w:tblPr>
      <w:tblGrid>
        <w:gridCol w:w="1740"/>
        <w:gridCol w:w="1516"/>
        <w:gridCol w:w="1526"/>
        <w:gridCol w:w="488"/>
        <w:gridCol w:w="488"/>
        <w:gridCol w:w="196"/>
        <w:gridCol w:w="109"/>
        <w:gridCol w:w="109"/>
        <w:gridCol w:w="109"/>
        <w:gridCol w:w="227"/>
        <w:gridCol w:w="551"/>
        <w:gridCol w:w="117"/>
        <w:gridCol w:w="109"/>
        <w:gridCol w:w="109"/>
        <w:gridCol w:w="109"/>
        <w:gridCol w:w="343"/>
        <w:gridCol w:w="343"/>
        <w:gridCol w:w="344"/>
        <w:gridCol w:w="109"/>
        <w:gridCol w:w="109"/>
        <w:gridCol w:w="109"/>
        <w:gridCol w:w="211"/>
        <w:gridCol w:w="976"/>
        <w:gridCol w:w="158"/>
      </w:tblGrid>
      <w:tr>
        <w:trPr/>
        <w:tc>
          <w:tcPr>
            <w:tcW w:w="1740"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Exercise </w:t>
              <w:br/>
              <w:t xml:space="preserve">Price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Remaining </w:t>
              <w:br/>
              <w:t xml:space="preserve">Contractual </w:t>
              <w:br/>
              <w:t xml:space="preserve">Term </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 xml:space="preserve">Intrinsic </w:t>
              <w:br/>
              <w:t>Value</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January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2,591,894 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1,030,680 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and 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January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1,789,813 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and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January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 January 31,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1,789,813 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 January 31, 2024</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835,623 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vested and expected to vest - January 31, 2024</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835,623 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options granted during the years ended January 31, 2024 and 2023. The intrinsic value of options exercised for the years ended January 31, 2024, 2023 and 2022 was determined to be $308.0 million, $211.1 million and $469.1 million, respectively.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options vested during the years ended January 31, 2024 and 2023. The aggregate grant date fair value of stock options vested during the year ended January 31, 2022, was $1.3 million. As of January 31, 2024, there was no unrecognized stock-based compensation expense related to outstanding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Restricted Stock Units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for the years ended January 31, 2024 and 2023:</w:t>
      </w:r>
    </w:p>
    <w:tbl>
      <w:tblPr>
        <w:tblW w:w="8082" w:type="dxa"/>
        <w:jc w:val="left"/>
        <w:tblInd w:w="0" w:type="dxa"/>
        <w:tblLayout w:type="fixed"/>
        <w:tblCellMar>
          <w:top w:w="28" w:type="dxa"/>
          <w:left w:w="28" w:type="dxa"/>
          <w:bottom w:w="28" w:type="dxa"/>
          <w:right w:w="28" w:type="dxa"/>
        </w:tblCellMar>
      </w:tblPr>
      <w:tblGrid>
        <w:gridCol w:w="880"/>
        <w:gridCol w:w="773"/>
        <w:gridCol w:w="776"/>
        <w:gridCol w:w="524"/>
        <w:gridCol w:w="526"/>
        <w:gridCol w:w="211"/>
        <w:gridCol w:w="109"/>
        <w:gridCol w:w="109"/>
        <w:gridCol w:w="109"/>
        <w:gridCol w:w="787"/>
        <w:gridCol w:w="2697"/>
        <w:gridCol w:w="581"/>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8"/>
              </w:rPr>
            </w:pPr>
            <w:r>
              <w:rPr>
                <w:rFonts w:ascii="Times New Roman;sans-serif" w:hAnsi="Times New Roman;sans-serif"/>
                <w:b/>
                <w:color w:val="000000"/>
                <w:sz w:val="18"/>
              </w:rPr>
              <w:t>Weighted-Average Grant Date Fair Value per RSU</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 January 31,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3,226,759 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258.85 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2,224,117 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(1,511,529)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224.04 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and 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 January 31,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3,480,206 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2,272,014 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(1,690,527)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and 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295.61 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 January 31, 2024</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3,566,406 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290.59 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there was $967.5 million of unrecognized stock-based compensation expense related to outstanding RSUs that is expected to be recognized over a weighted-average period of 2.73 years.</w:t>
      </w:r>
    </w:p>
    <w:p>
      <w:pPr>
        <w:pStyle w:val="TextBody"/>
        <w:bidi w:val="0"/>
        <w:spacing w:lineRule="auto" w:line="288" w:before="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Performance Share Awards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three months ended April 30, 2022, the Company created a long-term performance-based equity award program and granted performance share units (“PSUs”) to the Company’s CEO and certain other executives. The vesting of PSUs is conditioned upon the achievement of certain targets.The PSUs vest annually over a period of three years from the date of grant, subject to the executive’s continued employment with the Company. Each vested PSU entitles the executive to one share of common stock. A PSU performance factor of 100 will result in the targeted number of PSUs being vested. The minimum percentage of PSUs that can vest is zero, with a maximum percentage of 200. On each date of grant, the Company assumes a performance factor of 100.</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PSU activity for the years ended January 31, 2024 and 2023:</w:t>
      </w:r>
    </w:p>
    <w:tbl>
      <w:tblPr>
        <w:tblW w:w="8862" w:type="dxa"/>
        <w:jc w:val="left"/>
        <w:tblInd w:w="0" w:type="dxa"/>
        <w:tblLayout w:type="fixed"/>
        <w:tblCellMar>
          <w:top w:w="28" w:type="dxa"/>
          <w:left w:w="28" w:type="dxa"/>
          <w:bottom w:w="28" w:type="dxa"/>
          <w:right w:w="28" w:type="dxa"/>
        </w:tblCellMar>
      </w:tblPr>
      <w:tblGrid>
        <w:gridCol w:w="1255"/>
        <w:gridCol w:w="1101"/>
        <w:gridCol w:w="1108"/>
        <w:gridCol w:w="412"/>
        <w:gridCol w:w="414"/>
        <w:gridCol w:w="211"/>
        <w:gridCol w:w="109"/>
        <w:gridCol w:w="109"/>
        <w:gridCol w:w="109"/>
        <w:gridCol w:w="781"/>
        <w:gridCol w:w="2677"/>
        <w:gridCol w:w="576"/>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8"/>
              </w:rPr>
            </w:pPr>
            <w:r>
              <w:rPr>
                <w:rFonts w:ascii="Times New Roman;sans-serif" w:hAnsi="Times New Roman;sans-serif"/>
                <w:b/>
                <w:color w:val="000000"/>
                <w:sz w:val="18"/>
              </w:rPr>
              <w:t>Weighted-Average Grant Date Fair Value per PSU</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January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forfeited and canceled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January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316.49 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316.49 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performance achievement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forfeited and canceled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238.67 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January 31, 2024</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156,557 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244.06 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of PSUs was determined by using the market price of the Company’s common stock on the date of the grant. Compensation expense is recognized over the requisite service period based on the probability of the performance conditions being satisfied using the accelerated attribution method. Following the completion of the performance year, the achieved PSU performance factor was 151.0 and 98.5 for the years ended January 31, 2024 and 2023, respectively. The Company recognized $24.1 million and $11.5 million of compensation expense related to these PSUs for the years ended January 31, 2024 and 2023, respectively. As of January 31, 2024, the Company had $21.0 million of total unrecognized compensation cost related to these PSUs, which it expects to be recognized over a weighted-average period of 2.03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2016 China Stock Appreciation Rights Plan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2016, the Company adopted the 2016 China Stock Appreciation Rights Plan (as amended, the “China SAR Plan”) for its employees in China. These awards, which are granted to new employees, generally vest over four years with 25% vesting on the one year anniversary of the award and the remainder vesting monthly over the next 36 months of the grantee’s service to the Company. Awards granted to existing employees generally vest quarterly over a period of four years, subject to the grantee’s continued service to the Company. The China SAR Plan units are cash settled upon exercise and will be paid as a cash bonus equal to the difference between the strike price of the vested plan units and the fair market value of common stock at the end of each reporting period.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1, 2021, the Company does not expect to grant stock appreciation rights in the future and will instead grant RSUs to its employees in China. Therefore, no China SAR Plan units were granted for the years ended January 31, 2024 and 2023.</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January 31, 2022 the Company granted 5,532 units of the China SAR Plan at a weighted average strike price of $386.23 per share.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January 31, 2024, 2023 and 2022, upon the vesting of 619, 1,141 and 1,296 units, respectively, the total expense recognized related to China SAR was $3.3 million, $2.5 million and $1.6 million, respectively. As of January 31, 2024 and 2023, the Company’s liability balance related to the China SAR Plan was $5.8 million and $3.3 million, respectively. These amounts were recorded as part of the accrued compensation and benefits on the Company’s consolidated balance sheets and recognized as bonus expense in the Company’s consolidated statements of operations. During the year ended January 31, 2024, the Company paid $0.6 million in cash upon the exercise of 1,890 units. As of January 31, 2024, there were 15,098 China SAR Plan units outstanding of which 60 units remained unvested.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2017 Employee Stock Purchase Plan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Except for the initial offering period, the ESPP provides for separate six-month offering periods.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determined by the Board of Directors, the Company’s common stock will be purchased for the accounts of employees participating in the ESPP at a price per share that is the lesser of (1) 85% of the fair market value of the Company’s common stock on the first trading day of the offering period, or (2) 85% of the fair market value of the Company’s common stock on the last trading day of the offering period.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2017 ESPP, the shares of the Company’s common stock reserved for issuance was increased by 699,066 shares in February 2023. As of January 31, 2024, there were 3,533,472 shares of the Company’s common stock available for future issuance under the 2017 ESPP.</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January 31, 2024, 2023 and 2022 there were 167,574, 149,352 and 85,401 shares, respectively, of common stock purchased under the ESPP. The total expense related to the ESPP for years ended January 31, 2024, 2023 and 2022 was $16.4 million, $13.7 million and $9.4 million, respectively. As of January 31, 2024, there was $5.9 million of unrecognized stock-based compensation expense related to the ESPP offering period expected to end in June 2024.</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purchase rights granted under the 2017 ESPP was estimated on the first day of the offering period using the Black-Scholes option-pricing model with the following assumptions:</w:t>
      </w:r>
    </w:p>
    <w:tbl>
      <w:tblPr>
        <w:tblW w:w="6978" w:type="dxa"/>
        <w:jc w:val="left"/>
        <w:tblInd w:w="0" w:type="dxa"/>
        <w:tblLayout w:type="fixed"/>
        <w:tblCellMar>
          <w:top w:w="28" w:type="dxa"/>
          <w:left w:w="28" w:type="dxa"/>
          <w:bottom w:w="28" w:type="dxa"/>
          <w:right w:w="28" w:type="dxa"/>
        </w:tblCellMar>
      </w:tblPr>
      <w:tblGrid>
        <w:gridCol w:w="772"/>
        <w:gridCol w:w="678"/>
        <w:gridCol w:w="680"/>
        <w:gridCol w:w="434"/>
        <w:gridCol w:w="434"/>
        <w:gridCol w:w="437"/>
        <w:gridCol w:w="148"/>
        <w:gridCol w:w="148"/>
        <w:gridCol w:w="148"/>
        <w:gridCol w:w="434"/>
        <w:gridCol w:w="434"/>
        <w:gridCol w:w="437"/>
        <w:gridCol w:w="148"/>
        <w:gridCol w:w="148"/>
        <w:gridCol w:w="148"/>
        <w:gridCol w:w="395"/>
        <w:gridCol w:w="395"/>
        <w:gridCol w:w="560"/>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8"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term (in years) </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volatility </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 - 69%</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 - 92%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 - 61%</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 </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5.35% - 5.36%</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2.24% - 4.68%</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0.06% - 0.13%</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yield </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8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Stock-Based Compensation Expense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recognized in the Company’s consolidated statements of operations is as follows (in thousands):</w:t>
      </w:r>
    </w:p>
    <w:tbl>
      <w:tblPr>
        <w:tblW w:w="7632" w:type="dxa"/>
        <w:jc w:val="left"/>
        <w:tblInd w:w="0" w:type="dxa"/>
        <w:tblLayout w:type="fixed"/>
        <w:tblCellMar>
          <w:top w:w="28" w:type="dxa"/>
          <w:left w:w="28" w:type="dxa"/>
          <w:bottom w:w="28" w:type="dxa"/>
          <w:right w:w="28" w:type="dxa"/>
        </w:tblCellMar>
      </w:tblPr>
      <w:tblGrid>
        <w:gridCol w:w="1266"/>
        <w:gridCol w:w="1111"/>
        <w:gridCol w:w="1118"/>
        <w:gridCol w:w="211"/>
        <w:gridCol w:w="826"/>
        <w:gridCol w:w="109"/>
        <w:gridCol w:w="109"/>
        <w:gridCol w:w="109"/>
        <w:gridCol w:w="109"/>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Net Loss Per Share</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Company calculates basic net loss per share by dividing the net loss by the weighted-average number of shares of common stock outstanding during the year, less shares subject to repurchase. Diluted net loss per share is computed by giving effect to all potentially dilutive common shares outstanding for the period, including stock options and restricted stock units. Refer to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further details on the Company’s methodology for calculating net loss per share.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was the same for each year presented, as the inclusion of all potential common shares outstanding would have been anti-dilutive due to the net loss reported for each year presented.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2113"/>
        <w:gridCol w:w="1858"/>
        <w:gridCol w:w="1882"/>
        <w:gridCol w:w="211"/>
        <w:gridCol w:w="897"/>
        <w:gridCol w:w="109"/>
        <w:gridCol w:w="109"/>
        <w:gridCol w:w="109"/>
        <w:gridCol w:w="109"/>
        <w:gridCol w:w="211"/>
        <w:gridCol w:w="897"/>
        <w:gridCol w:w="109"/>
        <w:gridCol w:w="109"/>
        <w:gridCol w:w="109"/>
        <w:gridCol w:w="109"/>
        <w:gridCol w:w="211"/>
        <w:gridCol w:w="897"/>
        <w:gridCol w:w="156"/>
      </w:tblGrid>
      <w:tr>
        <w:trPr/>
        <w:tc>
          <w:tcPr>
            <w:tcW w:w="211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5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basic and diluted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68,628,267 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64,563,032 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basic and diluted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the Company calculated the potential dilutive effect of its 2024 Notes and 2026 Notes under the treasury stock method. As a result, only the amount by which the conversion value exceeded the aggregate principal amount of the 2024 Notes and 2026 Notes (the “conversion spread”) was considered in the diluted earnings per share computation. The conversion spread only had a dilutive impact on diluted net income per share when the average market price of the Company’s common stock for a given period exceeded the initial conversion price of $68.15 per share for the 2024 Notes and $211.20 per share for the 2026 Notes.</w:t>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Upon the adoption of ASU 2020-06 on February 1, 2021, the Company calculates the potential dilutive effect of its 2024 Notes and 2026 Notes under the if-converted method. Under this method, diluted earnings per share is determined by assuming that all of the 2024 Notes and 2026 Notes were converted into shares of the Company’s common stock at the beginning of the reporting period.</w:t>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2024 Notes and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outstanding potentially dilutive shares of common stock were excluded from the computation of diluted net loss per share for the periods presented because the impact of including them would have been anti-dilutive:</w:t>
      </w:r>
    </w:p>
    <w:tbl>
      <w:tblPr>
        <w:tblW w:w="9623" w:type="dxa"/>
        <w:jc w:val="left"/>
        <w:tblInd w:w="0" w:type="dxa"/>
        <w:tblLayout w:type="fixed"/>
        <w:tblCellMar>
          <w:top w:w="28" w:type="dxa"/>
          <w:left w:w="28" w:type="dxa"/>
          <w:bottom w:w="28" w:type="dxa"/>
          <w:right w:w="28" w:type="dxa"/>
        </w:tblCellMar>
      </w:tblPr>
      <w:tblGrid>
        <w:gridCol w:w="1777"/>
        <w:gridCol w:w="1561"/>
        <w:gridCol w:w="1566"/>
        <w:gridCol w:w="540"/>
        <w:gridCol w:w="541"/>
        <w:gridCol w:w="176"/>
        <w:gridCol w:w="148"/>
        <w:gridCol w:w="148"/>
        <w:gridCol w:w="148"/>
        <w:gridCol w:w="540"/>
        <w:gridCol w:w="541"/>
        <w:gridCol w:w="176"/>
        <w:gridCol w:w="148"/>
        <w:gridCol w:w="148"/>
        <w:gridCol w:w="148"/>
        <w:gridCol w:w="565"/>
        <w:gridCol w:w="516"/>
        <w:gridCol w:w="236"/>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pursuant to the 2016 Equity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571,680 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778,172 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pursuant to the 2008 Stock Incentive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1,599,415 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2,391,439 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4,162,660 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3,860,345 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3,680,895 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executive 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Early exercised stock options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the conversion option of the 2024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231,637 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the conversion option of the 2026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5,445,002 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5,445,039 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5,445,107 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11,134,692 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11,546,146 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12,527,352 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loss before provision for income taxes were as follows (in thousands):</w:t>
      </w:r>
    </w:p>
    <w:tbl>
      <w:tblPr>
        <w:tblW w:w="5561" w:type="dxa"/>
        <w:jc w:val="left"/>
        <w:tblInd w:w="0" w:type="dxa"/>
        <w:tblLayout w:type="fixed"/>
        <w:tblCellMar>
          <w:top w:w="28" w:type="dxa"/>
          <w:left w:w="28" w:type="dxa"/>
          <w:bottom w:w="28" w:type="dxa"/>
          <w:right w:w="28" w:type="dxa"/>
        </w:tblCellMar>
      </w:tblPr>
      <w:tblGrid>
        <w:gridCol w:w="435"/>
        <w:gridCol w:w="381"/>
        <w:gridCol w:w="383"/>
        <w:gridCol w:w="211"/>
        <w:gridCol w:w="901"/>
        <w:gridCol w:w="109"/>
        <w:gridCol w:w="109"/>
        <w:gridCol w:w="109"/>
        <w:gridCol w:w="109"/>
        <w:gridCol w:w="211"/>
        <w:gridCol w:w="901"/>
        <w:gridCol w:w="109"/>
        <w:gridCol w:w="109"/>
        <w:gridCol w:w="109"/>
        <w:gridCol w:w="109"/>
        <w:gridCol w:w="211"/>
        <w:gridCol w:w="90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were as follows (in thousands):</w:t>
      </w:r>
    </w:p>
    <w:tbl>
      <w:tblPr>
        <w:tblW w:w="6042" w:type="dxa"/>
        <w:jc w:val="left"/>
        <w:tblInd w:w="0" w:type="dxa"/>
        <w:tblLayout w:type="fixed"/>
        <w:tblCellMar>
          <w:top w:w="28" w:type="dxa"/>
          <w:left w:w="28" w:type="dxa"/>
          <w:bottom w:w="28" w:type="dxa"/>
          <w:right w:w="28" w:type="dxa"/>
        </w:tblCellMar>
      </w:tblPr>
      <w:tblGrid>
        <w:gridCol w:w="867"/>
        <w:gridCol w:w="720"/>
        <w:gridCol w:w="738"/>
        <w:gridCol w:w="211"/>
        <w:gridCol w:w="721"/>
        <w:gridCol w:w="109"/>
        <w:gridCol w:w="109"/>
        <w:gridCol w:w="109"/>
        <w:gridCol w:w="109"/>
        <w:gridCol w:w="211"/>
        <w:gridCol w:w="721"/>
        <w:gridCol w:w="109"/>
        <w:gridCol w:w="109"/>
        <w:gridCol w:w="109"/>
        <w:gridCol w:w="109"/>
        <w:gridCol w:w="211"/>
        <w:gridCol w:w="61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items accounting for the difference between income taxes computed at the federal statutory income tax rate and the provision for income taxes consisted of the following (in thousands):</w:t>
      </w:r>
    </w:p>
    <w:tbl>
      <w:tblPr>
        <w:tblW w:w="8442" w:type="dxa"/>
        <w:jc w:val="left"/>
        <w:tblInd w:w="0" w:type="dxa"/>
        <w:tblLayout w:type="fixed"/>
        <w:tblCellMar>
          <w:top w:w="28" w:type="dxa"/>
          <w:left w:w="28" w:type="dxa"/>
          <w:bottom w:w="28" w:type="dxa"/>
          <w:right w:w="28" w:type="dxa"/>
        </w:tblCellMar>
      </w:tblPr>
      <w:tblGrid>
        <w:gridCol w:w="1589"/>
        <w:gridCol w:w="1401"/>
        <w:gridCol w:w="1405"/>
        <w:gridCol w:w="211"/>
        <w:gridCol w:w="796"/>
        <w:gridCol w:w="109"/>
        <w:gridCol w:w="109"/>
        <w:gridCol w:w="109"/>
        <w:gridCol w:w="109"/>
        <w:gridCol w:w="211"/>
        <w:gridCol w:w="796"/>
        <w:gridCol w:w="109"/>
        <w:gridCol w:w="109"/>
        <w:gridCol w:w="109"/>
        <w:gridCol w:w="109"/>
        <w:gridCol w:w="211"/>
        <w:gridCol w:w="796"/>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branch income included in the United States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 compensation in excess of $1 million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withholding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true ups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the provision for income taxes during the years ended January 31, 2024 and January 31, 2023 was primarily due to an increase in foreign taxes as the Company continued its global expansion. In addition, the overall provision for income taxes for the year ended January 31, 2022 was lower due to a reduction in the valuation allowance as a result of goodwill from an immaterial business combination and the impact from the adoption of ASU 2020-06.</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Deferred Income Taxes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arise from temporary differences between the carrying amounts of assets and liabilities for financial reporting and the amounts used for income tax reporting purposes, as well as operating losses and tax credit carryforwards.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are shown in the following table as of January 31, 2024 and 2023, respectively (in thousands):</w:t>
      </w:r>
    </w:p>
    <w:tbl>
      <w:tblPr>
        <w:tblW w:w="6984" w:type="dxa"/>
        <w:jc w:val="left"/>
        <w:tblInd w:w="0" w:type="dxa"/>
        <w:tblLayout w:type="fixed"/>
        <w:tblCellMar>
          <w:top w:w="28" w:type="dxa"/>
          <w:left w:w="28" w:type="dxa"/>
          <w:bottom w:w="28" w:type="dxa"/>
          <w:right w:w="28" w:type="dxa"/>
        </w:tblCellMar>
      </w:tblPr>
      <w:tblGrid>
        <w:gridCol w:w="1567"/>
        <w:gridCol w:w="1374"/>
        <w:gridCol w:w="1379"/>
        <w:gridCol w:w="211"/>
        <w:gridCol w:w="826"/>
        <w:gridCol w:w="109"/>
        <w:gridCol w:w="109"/>
        <w:gridCol w:w="109"/>
        <w:gridCol w:w="109"/>
        <w:gridCol w:w="211"/>
        <w:gridCol w:w="82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accruals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are recognized when management believes it more likely than not that they will be realized. Deferred tax assets are reduced by a valuation allowance if, based on available evidence, it is more likely than not that some or all of the deferred tax assets will not be realized. The valuation allowance for deferred tax assets as of January 31, 2024, 2023 and 2022 was $903.7 million, $809.0 million and $677.3 million, respectively. The valuation allowance increased by $94.7 million and $131.7 million during the years ended January 31, 2024 and 2023,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the Company had net operating loss carryforwards for U.S. federal, state, Irish and U.K. income tax purposes of $2.1 billion, $2.0 billion, $781.5 million and $64.6 million, respectively, which begin to expire in the year ending January 31, 2028 for U.S. federal purposes and January 31, 2025 for state purposes. Ireland, U.K. and the U.S. federal losses for years after January 31, 2019 allows for operating losses to be carried forward indefinitely. The Company also has U.S. federal and state research credit carryforwards of $133.4 million and $11.8 million, respectively, which begin to expire in the year ending January 31, 2029 for federal purposes and January 31, 2025 for state purposes. Furthermore, the Company has U.S. foreign tax credit carryforwards of $9.9 million and U.S. charitable contribution carryforwards of $0.6 million, which will begin to expire in the year ending January 31, 2030 and January 31, 2025, respectively. Utilization of the federal net operating loss carryforwards and credits may be subject to a substantial annual limitation due to the ownership change limitations provided by the Internal Revenue Code of 1986,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Uncertain Tax Positions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of the Company’s tax obligations involves dealing with uncertainties in the application of complex tax laws and regulations.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the Company’s evaluation of the facts, circumstances and information available at each period end. For those tax positions where the Company has determined there is a greater than 50% likelihood that a tax benefit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that it has adequately reserved for its uncertain tax positions, the Company can provide no assurance that the final tax outcome of these matters will not be materially different. As the Company expands internationally, it will face increased complexity and the Company’s unrecognized tax benefits may increase in the future. The Company makes adjustments to its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Company’s unrecognized gross tax benefits during the periods presented (in thousands):</w:t>
      </w:r>
    </w:p>
    <w:tbl>
      <w:tblPr>
        <w:tblW w:w="8127" w:type="dxa"/>
        <w:jc w:val="left"/>
        <w:tblInd w:w="0" w:type="dxa"/>
        <w:tblLayout w:type="fixed"/>
        <w:tblCellMar>
          <w:top w:w="28" w:type="dxa"/>
          <w:left w:w="28" w:type="dxa"/>
          <w:bottom w:w="28" w:type="dxa"/>
          <w:right w:w="28" w:type="dxa"/>
        </w:tblCellMar>
      </w:tblPr>
      <w:tblGrid>
        <w:gridCol w:w="1560"/>
        <w:gridCol w:w="1369"/>
        <w:gridCol w:w="1376"/>
        <w:gridCol w:w="211"/>
        <w:gridCol w:w="721"/>
        <w:gridCol w:w="109"/>
        <w:gridCol w:w="109"/>
        <w:gridCol w:w="109"/>
        <w:gridCol w:w="109"/>
        <w:gridCol w:w="211"/>
        <w:gridCol w:w="721"/>
        <w:gridCol w:w="109"/>
        <w:gridCol w:w="109"/>
        <w:gridCol w:w="109"/>
        <w:gridCol w:w="109"/>
        <w:gridCol w:w="211"/>
        <w:gridCol w:w="721"/>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January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tax positions in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in the current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FY24, the Company recorded an addition in reserves for tax positions in prior years related to U.S. research and development tax credits. Additionally, the Company recorded additional intangible development costs for the current and historical years. As of January 31, 2024, $0.7 million of these total unrecognized tax benefits would have an impact on the Company’s effective tax rate if recognized.</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invest substantially all of our foreign subsidiary earnings, as well as our capital in our foreign subsidiaries, indefinitely outside of the U.S. in those jurisdictions in which we would incur significant, additional costs upon repatriation of such amounts.</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not currently under Internal Revenue Service, state, or foreign income tax examination with the exception of an audit in France for which the Company does not expect a material outcome. The Company does not anticipate any significant increases or decreases in its uncertain tax positions within the next twelve months. The Company files tax returns in the United States for federal and certain states. All tax years remain open to examination for both federal and state purposes as a result of the net operating loss and credit carryforwards. The Company files foreign tax returns in various locations. These foreign returns are open to examination for the fiscal years ending January 31, 2015 through January 31, 2023.</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9A. Controls and Procedures</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Our management, with the participation of our Chief Executive Officer and our Chief Financial Officer, evaluated the effectiveness of our disclosure controls and procedures as of </w:t>
      </w:r>
      <w:r>
        <w:rPr>
          <w:rFonts w:ascii="Times New Roman;sans-serif" w:hAnsi="Times New Roman;sans-serif"/>
          <w:b w:val="false"/>
          <w:color w:val="000000"/>
          <w:sz w:val="20"/>
        </w:rPr>
        <w:t>January 31, 2024</w:t>
      </w:r>
      <w:r>
        <w:rPr>
          <w:rFonts w:ascii="Times New Roman;sans-serif" w:hAnsi="Times New Roman;sans-serif"/>
          <w:b w:val="false"/>
          <w:color w:val="000000"/>
          <w:sz w:val="20"/>
          <w:shd w:fill="FFFFFF" w:val="clear"/>
        </w:rPr>
        <w:t xml:space="preserve">. Based on the evaluation of our disclosure controls and procedures as of </w:t>
      </w:r>
      <w:r>
        <w:rPr>
          <w:rFonts w:ascii="Times New Roman;sans-serif" w:hAnsi="Times New Roman;sans-serif"/>
          <w:b w:val="false"/>
          <w:color w:val="000000"/>
          <w:sz w:val="20"/>
        </w:rPr>
        <w:t>January 31, 2024</w:t>
      </w:r>
      <w:r>
        <w:rPr>
          <w:rFonts w:ascii="Times New Roman;sans-serif" w:hAnsi="Times New Roman;sans-serif"/>
          <w:b w:val="false"/>
          <w:color w:val="000000"/>
          <w:sz w:val="20"/>
          <w:shd w:fill="FFFFFF" w:val="clear"/>
        </w:rPr>
        <w:t>, our Chief Executive Officer and Chief Financial Officer concluded that, as of such date, our disclosure controls and procedures were effective at the reasonable assurance level.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2024 based on the criteria established in</w:t>
      </w:r>
      <w:r>
        <w:rPr>
          <w:color w:val="000000"/>
        </w:rPr>
        <w:t>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results of its evaluation, management concluded that our internal control over financial reporting was effective as of January 31, 2024. The effectiveness of our internal control over financial reporting as of January 31, 2024 has been audited by PricewaterhouseCoopers LLP, an independent registered public accounting firm, as stated in its report, which is included in Item 8 of this Form 10-K.</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There was no change in our internal control over financial reporting identified in connection with the evaluation required by Rule 13a-15(d) and Rule 15d-15(d) of the Exchange Act that occurred during the fiscal quarter ended </w:t>
      </w:r>
      <w:r>
        <w:rPr>
          <w:rFonts w:ascii="Times New Roman;sans-serif" w:hAnsi="Times New Roman;sans-serif"/>
          <w:b w:val="false"/>
          <w:color w:val="000000"/>
          <w:sz w:val="20"/>
        </w:rPr>
        <w:t>January 31, 2024</w:t>
      </w:r>
      <w:r>
        <w:rPr>
          <w:color w:val="000000"/>
          <w:shd w:fill="FFFFFF" w:val="clear"/>
        </w:rPr>
        <w:t xml:space="preserve"> </w:t>
      </w:r>
      <w:r>
        <w:rPr>
          <w:rFonts w:ascii="Times New Roman;sans-serif" w:hAnsi="Times New Roman;sans-serif"/>
          <w:b w:val="false"/>
          <w:color w:val="000000"/>
          <w:sz w:val="20"/>
          <w:shd w:fill="FFFFFF" w:val="clear"/>
        </w:rPr>
        <w:t xml:space="preserve">that has materially affected, or is reasonably likely to materially affect, our internal control over financial reporting. </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Inherent Limitations on Effectiveness of Controls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68" w:before="0" w:after="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Rule 10b5-1 and Non-Rule 10b5-1 Trading Arrangements</w:t>
      </w:r>
    </w:p>
    <w:p>
      <w:pPr>
        <w:pStyle w:val="TextBody"/>
        <w:bidi w:val="0"/>
        <w:spacing w:before="0" w:after="0"/>
        <w:ind w:left="0" w:right="0" w:firstLine="495"/>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executive officers and directors of the Company may execute purchases and sales of the Company's common stock through Rule 10b5-1 equity trading plans and “non-Rule 10b5-1 equity trading arrangements” (as defined in Item 408(c) of Regulation S-K).</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January 31, 2024, two members of our board of directors adopted the following Rule 10b5-1 trading arrangements: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26, 2023 Charles M. Hazard, Jr. adopted a trading plan intended to satisfy the conditions under Rule 10b5-1(c) of the Exchange Act. Mr. Hazard’s plan is for the sale of up to 10,000 shares of our common stock and 2,000 shares of our common stock held through a trust account in amounts and prices determined in accordance with a formula set forth in the plan and terminates on the earlier of the date that all the shares under the plan are sold and March 1, 2025, subject to early termination for certain specified events set forth in the plan.</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2024 Archana Agrawal adopted a trading plan intended to satisfy the conditions under Rule 10b5-1(c) of the Exchange Act. Ms. Agrawal’s plan is for the sale of up to 650 shares of our common stock in amounts and prices determined in accordance with a formula set forth in the plan and terminates on the earlier of the date that all the shares under the plan are sold and January 9, 2025, subject to early termination for certain specified events set forth in the plan.</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January 31, 2024, other than noted above, none of our executive officers or directors terminated or modified a 10b5-1 equity trading plan, or adopted, terminated, or modified any “non-Rule 10b5-1 equity trading arrangement”.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(other than the information set forth in the next paragraph in this Item) will be included in the 2024 Proxy Statement to be filed with the SEC within 120 days after the end of our fiscal year ended January 31, 2024 and is incorporated herein by reference.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(the “Code of Conduct”), applicable to all of our employees, executive officers and directors. The Code of Conduct is available on our website at investors.mongodb.com.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 The inclusion of our website address in this Form 10-K does not include or incorporate by reference into this Annual Report on Form 10-K (this “Form 10-K”) the information on or accessible through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included in the 2024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included in the 2024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2024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included in the 2024 Proxy Statement and is incorporated herein by reference. </w:t>
      </w:r>
    </w:p>
    <w:p>
      <w:pPr>
        <w:pStyle w:val="TextBody"/>
        <w:bidi w:val="0"/>
        <w:spacing w:before="0" w:after="180"/>
        <w:ind w:left="0" w:right="0" w:firstLine="540"/>
        <w:jc w:val="left"/>
        <w:rPr/>
      </w:pPr>
      <w:r>
        <w:rPr/>
      </w:r>
    </w:p>
    <w:p>
      <w:pPr>
        <w:pStyle w:val="TextBody"/>
        <w:bidi w:val="0"/>
        <w:spacing w:before="0" w:after="180"/>
        <w:ind w:left="0" w:right="0" w:firstLine="540"/>
        <w:jc w:val="left"/>
        <w:rPr/>
      </w:pPr>
      <w:r>
        <w:rPr/>
      </w:r>
    </w:p>
    <w:p>
      <w:pPr>
        <w:pStyle w:val="TextBody"/>
        <w:bidi w:val="0"/>
        <w:spacing w:before="120" w:after="18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18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 Documents filed as part of this report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 All financial statements</w:t>
      </w:r>
    </w:p>
    <w:tbl>
      <w:tblPr>
        <w:tblW w:w="8971" w:type="dxa"/>
        <w:jc w:val="center"/>
        <w:tblInd w:w="0" w:type="dxa"/>
        <w:tblLayout w:type="fixed"/>
        <w:tblCellMar>
          <w:top w:w="28" w:type="dxa"/>
          <w:left w:w="28" w:type="dxa"/>
          <w:bottom w:w="28" w:type="dxa"/>
          <w:right w:w="28" w:type="dxa"/>
        </w:tblCellMar>
      </w:tblPr>
      <w:tblGrid>
        <w:gridCol w:w="3063"/>
        <w:gridCol w:w="2691"/>
        <w:gridCol w:w="2706"/>
        <w:gridCol w:w="149"/>
        <w:gridCol w:w="149"/>
        <w:gridCol w:w="213"/>
      </w:tblGrid>
      <w:tr>
        <w:trPr/>
        <w:tc>
          <w:tcPr>
            <w:tcW w:w="3063"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Index to Consolidated Financial Statements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f037d429900d4d61abd62467a6714403_85">
              <w:r>
                <w:rPr>
                  <w:rStyle w:val="InternetLink"/>
                  <w:rFonts w:ascii="Times New Roman;sans-serif" w:hAnsi="Times New Roman;sans-serif"/>
                  <w:b w:val="false"/>
                  <w:color w:val="0000FF"/>
                  <w:sz w:val="20"/>
                  <w:u w:val="single"/>
                </w:rPr>
                <w:t>Report of Independent Registered Public Accounting Firm (PCAOB ID 238)</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037d429900d4d61abd62467a6714403_85">
              <w:r>
                <w:rPr>
                  <w:rStyle w:val="InternetLink"/>
                  <w:rFonts w:ascii="Times New Roman;sans-serif" w:hAnsi="Times New Roman;sans-serif"/>
                  <w:b w:val="false"/>
                  <w:color w:val="0000FF"/>
                  <w:sz w:val="20"/>
                  <w:u w:val="single"/>
                </w:rPr>
                <w:t>67</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88">
              <w:r>
                <w:rPr>
                  <w:rStyle w:val="InternetLink"/>
                  <w:rFonts w:ascii="Times New Roman;sans-serif" w:hAnsi="Times New Roman;sans-serif"/>
                  <w:b w:val="false"/>
                  <w:color w:val="0000FF"/>
                  <w:sz w:val="20"/>
                  <w:u w:val="single"/>
                </w:rPr>
                <w:t>Consolidated Balance Sheets as of January 31, 2024 and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88">
              <w:r>
                <w:rPr>
                  <w:rStyle w:val="InternetLink"/>
                  <w:rFonts w:ascii="Times New Roman;sans-serif" w:hAnsi="Times New Roman;sans-serif"/>
                  <w:b w:val="false"/>
                  <w:color w:val="0000FF"/>
                  <w:sz w:val="20"/>
                  <w:u w:val="single"/>
                </w:rPr>
                <w:t>69</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91">
              <w:r>
                <w:rPr>
                  <w:rStyle w:val="InternetLink"/>
                  <w:rFonts w:ascii="Times New Roman;sans-serif" w:hAnsi="Times New Roman;sans-serif"/>
                  <w:b w:val="false"/>
                  <w:color w:val="0000FF"/>
                  <w:sz w:val="20"/>
                  <w:u w:val="single"/>
                </w:rPr>
                <w:t>Consolidated Statements of Operations for the years ended January 31, 2024, 2023 and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91">
              <w:r>
                <w:rPr>
                  <w:rStyle w:val="InternetLink"/>
                  <w:rFonts w:ascii="Times New Roman;sans-serif" w:hAnsi="Times New Roman;sans-serif"/>
                  <w:b w:val="false"/>
                  <w:color w:val="0000FF"/>
                  <w:sz w:val="20"/>
                  <w:u w:val="single"/>
                </w:rPr>
                <w:t>70</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94">
              <w:r>
                <w:rPr>
                  <w:rStyle w:val="InternetLink"/>
                  <w:rFonts w:ascii="Times New Roman;sans-serif" w:hAnsi="Times New Roman;sans-serif"/>
                  <w:b w:val="false"/>
                  <w:color w:val="0000FF"/>
                  <w:sz w:val="20"/>
                  <w:u w:val="single"/>
                </w:rPr>
                <w:t>Consolidated Statements of Comprehensive Loss for the years ended January 31, 2024, 2023 and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94">
              <w:r>
                <w:rPr>
                  <w:rStyle w:val="InternetLink"/>
                  <w:rFonts w:ascii="Times New Roman;sans-serif" w:hAnsi="Times New Roman;sans-serif"/>
                  <w:b w:val="false"/>
                  <w:color w:val="0000FF"/>
                  <w:sz w:val="20"/>
                  <w:u w:val="single"/>
                </w:rPr>
                <w:t>71</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97">
              <w:r>
                <w:rPr>
                  <w:rStyle w:val="InternetLink"/>
                  <w:rFonts w:ascii="Times New Roman;sans-serif" w:hAnsi="Times New Roman;sans-serif"/>
                  <w:b w:val="false"/>
                  <w:color w:val="0000FF"/>
                  <w:sz w:val="20"/>
                  <w:u w:val="single"/>
                </w:rPr>
                <w:t>Consolidated Statements of Stockholders’ Equity for the years ended January 31, 2024, 2023 and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97">
              <w:r>
                <w:rPr>
                  <w:rStyle w:val="InternetLink"/>
                  <w:rFonts w:ascii="Times New Roman;sans-serif" w:hAnsi="Times New Roman;sans-serif"/>
                  <w:b w:val="false"/>
                  <w:color w:val="0000FF"/>
                  <w:sz w:val="20"/>
                  <w:u w:val="single"/>
                </w:rPr>
                <w:t>72</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00">
              <w:r>
                <w:rPr>
                  <w:rStyle w:val="InternetLink"/>
                  <w:rFonts w:ascii="Times New Roman;sans-serif" w:hAnsi="Times New Roman;sans-serif"/>
                  <w:b w:val="false"/>
                  <w:color w:val="0000FF"/>
                  <w:sz w:val="20"/>
                  <w:u w:val="single"/>
                </w:rPr>
                <w:t>Consolidated Statements of Cash Flows for years ended January 31, 2024, 2023 and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00">
              <w:r>
                <w:rPr>
                  <w:rStyle w:val="InternetLink"/>
                  <w:rFonts w:ascii="Times New Roman;sans-serif" w:hAnsi="Times New Roman;sans-serif"/>
                  <w:b w:val="false"/>
                  <w:color w:val="0000FF"/>
                  <w:sz w:val="20"/>
                  <w:u w:val="single"/>
                </w:rPr>
                <w:t>73</w:t>
              </w:r>
            </w:hyperlink>
          </w:p>
        </w:tc>
      </w:tr>
      <w:tr>
        <w:trPr/>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d429900d4d61abd62467a6714403_103">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d429900d4d61abd62467a6714403_103">
              <w:r>
                <w:rPr>
                  <w:rStyle w:val="InternetLink"/>
                  <w:rFonts w:ascii="Times New Roman;sans-serif" w:hAnsi="Times New Roman;sans-serif"/>
                  <w:b w:val="false"/>
                  <w:color w:val="0000FF"/>
                  <w:sz w:val="20"/>
                  <w:u w:val="single"/>
                </w:rPr>
                <w:t>75</w:t>
              </w:r>
            </w:hyperlink>
          </w:p>
        </w:tc>
      </w:tr>
    </w:tbl>
    <w:p>
      <w:pPr>
        <w:pStyle w:val="TextBody"/>
        <w:bidi w:val="0"/>
        <w:spacing w:before="80" w:after="18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Schedules have been omitted either because they are not applicable or the required information is included in the financial statements or the notes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53"/>
        <w:gridCol w:w="1606"/>
        <w:gridCol w:w="1623"/>
        <w:gridCol w:w="109"/>
        <w:gridCol w:w="109"/>
        <w:gridCol w:w="109"/>
        <w:gridCol w:w="175"/>
        <w:gridCol w:w="175"/>
        <w:gridCol w:w="174"/>
        <w:gridCol w:w="339"/>
        <w:gridCol w:w="261"/>
        <w:gridCol w:w="227"/>
        <w:gridCol w:w="210"/>
        <w:gridCol w:w="210"/>
        <w:gridCol w:w="211"/>
        <w:gridCol w:w="207"/>
        <w:gridCol w:w="207"/>
        <w:gridCol w:w="208"/>
        <w:gridCol w:w="109"/>
        <w:gridCol w:w="109"/>
        <w:gridCol w:w="109"/>
        <w:gridCol w:w="271"/>
        <w:gridCol w:w="271"/>
        <w:gridCol w:w="39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12"/>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Exhibit</w:t>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Retirement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6/16/20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Form of Class A common stock certificate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Indenture, dated as of January 14, 2020, by and between MongoDB,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Global Note, representing MongoDB, Inc.’s 0.25% Convertible Senior Notes due 2026 (included as Exhibit A to the Indenture filed as Exhibit 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exx44descriptionofstock.htm">
              <w:r>
                <w:rPr>
                  <w:rStyle w:val="InternetLink"/>
                  <w:rFonts w:ascii="Times New Roman;sans-serif" w:hAnsi="Times New Roman;sans-serif"/>
                  <w:b w:val="false"/>
                  <w:color w:val="0000FF"/>
                  <w:sz w:val="20"/>
                  <w:u w:val="single"/>
                </w:rPr>
                <w:t>Description of Registered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2008 Stock Incentive Plan and Forms of Option Agreement and Exercise Notice thereunder, as amended to date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Amended and Restated 2016 Equity Incentive Plan and Forms of Stock Option Agreement, Notice of Exercise, Stock Option Grant Notice and Restricted Stock Unit Award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Amended and Restated Form of Restricted Stock Unit Award Agreement, effective as of March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Forms of Restricted Stock Award Grant Notice and Restricted Stock Award Agreement under the Amended and Restated 2016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2016 China Stock Appreciation Rights Plan and Form of China Stock Appreciation Rights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2017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Form of Indemnification Agreement by and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Second Amended and Restated Offer Letter, dated December 20, 2021, by and between the Registrant and Dev Ittycheria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Second Amended and Restated Offer Letter, dated December 21, 2021, by and between the Registrant and Michael Gordon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Amended and Restated Employment Agreement, dated January 10, 2022, by and between MongoDB Switzerland GmbH and Cedric Pech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Amended and Restated Offer Letter, dated December 21, 2021, by and between the Registrant and Mark Porter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80"/>
                  <w:sz w:val="20"/>
                  <w:u w:val="single"/>
                </w:rPr>
                <w:t>Addendum to Employment Agreement, dated February 22,</w:t>
              </w:r>
            </w:hyperlink>
            <w:hyperlink r:id="rId21">
              <w:r>
                <w:rPr>
                  <w:rStyle w:val="InternetLink"/>
                  <w:rFonts w:ascii="Times New Roman;sans-serif" w:hAnsi="Times New Roman;sans-serif"/>
                  <w:b w:val="false"/>
                  <w:color w:val="000080"/>
                  <w:sz w:val="20"/>
                  <w:u w:val="single"/>
                </w:rPr>
                <w:t xml:space="preserve"> </w:t>
              </w:r>
            </w:hyperlink>
            <w:hyperlink r:id="rId22">
              <w:r>
                <w:rPr>
                  <w:rStyle w:val="InternetLink"/>
                  <w:rFonts w:ascii="Times New Roman;sans-serif" w:hAnsi="Times New Roman;sans-serif"/>
                  <w:b w:val="false"/>
                  <w:color w:val="000080"/>
                  <w:sz w:val="20"/>
                  <w:u w:val="single"/>
                </w:rPr>
                <w:t xml:space="preserve">2023, by and between the Registrant and </w:t>
              </w:r>
            </w:hyperlink>
            <w:hyperlink r:id="rId23">
              <w:r>
                <w:rPr>
                  <w:rStyle w:val="InternetLink"/>
                  <w:rFonts w:ascii="Times New Roman;sans-serif" w:hAnsi="Times New Roman;sans-serif"/>
                  <w:b w:val="false"/>
                  <w:color w:val="000080"/>
                  <w:sz w:val="20"/>
                  <w:u w:val="single"/>
                </w:rPr>
                <w:t>M</w:t>
              </w:r>
            </w:hyperlink>
            <w:hyperlink r:id="rId24">
              <w:r>
                <w:rPr>
                  <w:rStyle w:val="InternetLink"/>
                  <w:rFonts w:ascii="Times New Roman;sans-serif" w:hAnsi="Times New Roman;sans-serif"/>
                  <w:b w:val="false"/>
                  <w:color w:val="000080"/>
                  <w:sz w:val="20"/>
                  <w:u w:val="single"/>
                </w:rPr>
                <w:t>ark Porter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Separation Agreement, dated June 27, 2023, by and between the Registrant and Mark Porter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7"/>
        <w:gridCol w:w="235"/>
        <w:gridCol w:w="237"/>
        <w:gridCol w:w="109"/>
        <w:gridCol w:w="109"/>
        <w:gridCol w:w="109"/>
        <w:gridCol w:w="2267"/>
        <w:gridCol w:w="1414"/>
        <w:gridCol w:w="1431"/>
        <w:gridCol w:w="109"/>
        <w:gridCol w:w="109"/>
        <w:gridCol w:w="109"/>
        <w:gridCol w:w="171"/>
        <w:gridCol w:w="171"/>
        <w:gridCol w:w="169"/>
        <w:gridCol w:w="248"/>
        <w:gridCol w:w="248"/>
        <w:gridCol w:w="213"/>
        <w:gridCol w:w="210"/>
        <w:gridCol w:w="210"/>
        <w:gridCol w:w="211"/>
        <w:gridCol w:w="202"/>
        <w:gridCol w:w="202"/>
        <w:gridCol w:w="203"/>
        <w:gridCol w:w="109"/>
        <w:gridCol w:w="109"/>
        <w:gridCol w:w="109"/>
        <w:gridCol w:w="266"/>
        <w:gridCol w:w="266"/>
        <w:gridCol w:w="383"/>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12"/>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Exhibit</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Lease, between PGREF I 1633 Broadway Tower, L.P. and MongoDB, Inc., dated December 14,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"http://www.sec.gov/Archives/edgar/data/1441816/000110465918042924/a18-16173_1ex99d1.htm" \l "Exhibit99_1_050204"</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Purchase Agreement, dated June 25, 2018, by and among MongoDB, Inc. and Morgan Stanley &amp; Co. LLC, Goldman Sachs &amp; Co. LLC and Barclays Capital Inc.</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"http://www.sec.gov/Archives/edgar/data/1441816/000110465918042924/a18-16173_1ex99d2.htm" \l "Exhibit99_2_052450"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Form of Confirmation for 2018 Capped Call Transactions</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Purchase Agreement, dated January 9, 2020, by and among MongoDB, Inc. and Morgan Stanley &amp; Co. LLC, Goldman Sachs &amp; Co. LLC, Barclays Capital, Inc. and Citigroup Global Markets,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Form of Confirmation for 2020 Capped Call Transactions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ngodbincrestrictedstocku.htm">
              <w:r>
                <w:rPr>
                  <w:rStyle w:val="InternetLink"/>
                  <w:rFonts w:ascii="Times New Roman;sans-serif" w:hAnsi="Times New Roman;sans-serif"/>
                  <w:b w:val="false"/>
                  <w:color w:val="0000FF"/>
                  <w:sz w:val="20"/>
                  <w:u w:val="single"/>
                </w:rPr>
                <w:t>Form of Performance-Based Restricted Stock Unit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4x10kxex211.htm">
              <w:r>
                <w:rPr>
                  <w:rStyle w:val="InternetLink"/>
                  <w:rFonts w:ascii="Times New Roman;sans-serif" w:hAnsi="Times New Roman;sans-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4x10kxex231.htm">
              <w:r>
                <w:rPr>
                  <w:rStyle w:val="InternetLink"/>
                  <w:rFonts w:ascii="Times New Roman;sans-serif" w:hAnsi="Times New Roman;sans-serif"/>
                  <w:b w:val="false"/>
                  <w:color w:val="0000FF"/>
                  <w:sz w:val="20"/>
                  <w:u w:val="single"/>
                </w:rPr>
                <w:t>Consent of PricewaterhouseCoopers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4x10kxe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4x10kxe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4x10kx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4x10kx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ngodb-financialrestateme.htm">
              <w:r>
                <w:rPr>
                  <w:rStyle w:val="InternetLink"/>
                  <w:rFonts w:ascii="Times New Roman;sans-serif" w:hAnsi="Times New Roman;sans-serif"/>
                  <w:b w:val="false"/>
                  <w:color w:val="0000FF"/>
                  <w:sz w:val="20"/>
                  <w:u w:val="single"/>
                </w:rPr>
                <w:t>Financial Restatement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f037d429900d4d61abd62467a6714403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18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032" w:type="dxa"/>
        <w:jc w:val="center"/>
        <w:tblInd w:w="0" w:type="dxa"/>
        <w:tblLayout w:type="fixed"/>
        <w:tblCellMar>
          <w:top w:w="28" w:type="dxa"/>
          <w:left w:w="28" w:type="dxa"/>
          <w:bottom w:w="28" w:type="dxa"/>
          <w:right w:w="28" w:type="dxa"/>
        </w:tblCellMar>
      </w:tblPr>
      <w:tblGrid>
        <w:gridCol w:w="683"/>
        <w:gridCol w:w="601"/>
        <w:gridCol w:w="605"/>
        <w:gridCol w:w="175"/>
        <w:gridCol w:w="175"/>
        <w:gridCol w:w="175"/>
        <w:gridCol w:w="219"/>
        <w:gridCol w:w="219"/>
        <w:gridCol w:w="221"/>
        <w:gridCol w:w="1140"/>
        <w:gridCol w:w="1140"/>
        <w:gridCol w:w="1679"/>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MONGODB,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15, 2024</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 Ittycheria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 Ittycheria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bl>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482" w:type="dxa"/>
        <w:jc w:val="center"/>
        <w:tblInd w:w="0" w:type="dxa"/>
        <w:tblLayout w:type="fixed"/>
        <w:tblCellMar>
          <w:top w:w="28" w:type="dxa"/>
          <w:left w:w="28" w:type="dxa"/>
          <w:bottom w:w="28" w:type="dxa"/>
          <w:right w:w="28" w:type="dxa"/>
        </w:tblCellMar>
      </w:tblPr>
      <w:tblGrid>
        <w:gridCol w:w="770"/>
        <w:gridCol w:w="676"/>
        <w:gridCol w:w="683"/>
        <w:gridCol w:w="109"/>
        <w:gridCol w:w="109"/>
        <w:gridCol w:w="109"/>
        <w:gridCol w:w="1414"/>
        <w:gridCol w:w="1414"/>
        <w:gridCol w:w="1432"/>
        <w:gridCol w:w="109"/>
        <w:gridCol w:w="109"/>
        <w:gridCol w:w="109"/>
        <w:gridCol w:w="419"/>
        <w:gridCol w:w="419"/>
        <w:gridCol w:w="601"/>
      </w:tblGrid>
      <w:tr>
        <w:trPr/>
        <w:tc>
          <w:tcPr>
            <w:tcW w:w="7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 Ittycheria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Dev Ittycheria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Gordon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Michael Gordon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Bull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Thomas Bull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Tom Killalea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Tom Killalea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Archana Agrawal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Archana Agrawal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Roelof Botha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Roelof Botha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Hope Cochran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Hope Cochran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Francisco D’Souza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Francisco D’Souza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M. Hazard,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Charles M. Hazard,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Lewnes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 Lewnes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Dwight Merriman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Dwight Merriman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McMahon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McMahon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4.7</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DESCRIPTION OF THE REGISTRANT’S SECURITIES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REGISTERED PURSUANT TO SECTION 12 OF THE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bidi w:val="0"/>
        <w:spacing w:lineRule="auto" w:line="240" w:before="0" w:after="180"/>
        <w:ind w:left="0" w:right="0" w:firstLine="641"/>
        <w:jc w:val="left"/>
        <w:rPr>
          <w:rFonts w:ascii="Times New Roman;sans-serif" w:hAnsi="Times New Roman;sans-serif"/>
          <w:b w:val="false"/>
          <w:color w:val="000000"/>
          <w:sz w:val="24"/>
        </w:rPr>
      </w:pPr>
      <w:r>
        <w:rPr>
          <w:rFonts w:ascii="Times New Roman;sans-serif" w:hAnsi="Times New Roman;sans-serif"/>
          <w:b w:val="false"/>
          <w:color w:val="000000"/>
          <w:sz w:val="24"/>
        </w:rPr>
        <w:t>As of January 31, 2024, MongoDB, Inc. had one class of securities registered under Section 12 of the Securities Exchange Act of 1934, as amended, or the Exchange Act: our Class A common stock, $0.001 par value per share. References herein to the terms “we,” “our” and “us” refer to MongoDB, Inc. and its subsidiaries.</w:t>
      </w:r>
    </w:p>
    <w:p>
      <w:pPr>
        <w:pStyle w:val="TextBody"/>
        <w:bidi w:val="0"/>
        <w:spacing w:lineRule="auto" w:line="240" w:before="0" w:after="18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description of our capital stock is a summary and does not purport to be complete. It is subject to, and qualified in its entirety by reference to, the applicable provisions of our amended and restated certificate of incorporation and our amended and restated bylaws, which are filed as exhibits to our Annual Report on Form 10-K, of which this Exhibit 4.7 is a part, and are incorporated by reference herein. We encourage you to read our amended and restated certificate of incorporation, our amended and restated bylaws and the applicable provisions of the Delaware General Corporation Law, or the DGCL, for more information.</w:t>
      </w:r>
    </w:p>
    <w:p>
      <w:pPr>
        <w:pStyle w:val="TextBody"/>
        <w:bidi w:val="0"/>
        <w:spacing w:lineRule="auto" w:line="240" w:before="0" w:after="180"/>
        <w:jc w:val="left"/>
        <w:rPr>
          <w:rFonts w:ascii="Times New Roman;sans-serif" w:hAnsi="Times New Roman;sans-serif"/>
          <w:b/>
          <w:color w:val="000000"/>
          <w:sz w:val="24"/>
        </w:rPr>
      </w:pPr>
      <w:r>
        <w:rPr>
          <w:rFonts w:ascii="Times New Roman;sans-serif" w:hAnsi="Times New Roman;sans-serif"/>
          <w:b/>
          <w:color w:val="000000"/>
          <w:sz w:val="24"/>
        </w:rPr>
        <w:t xml:space="preserve">General </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Our authorized capital stock consists of shares, all with a par value of $0.001 per share, of which: </w:t>
      </w:r>
    </w:p>
    <w:p>
      <w:pPr>
        <w:pStyle w:val="TextBody"/>
        <w:bidi w:val="0"/>
        <w:spacing w:lineRule="auto" w:line="240" w:before="0" w:after="180"/>
        <w:ind w:left="0" w:right="0" w:hanging="367"/>
        <w:jc w:val="left"/>
        <w:rPr>
          <w:color w:val="000000"/>
        </w:rPr>
      </w:pPr>
      <w:r>
        <w:rPr>
          <w:color w:val="000000"/>
        </w:rPr>
        <w:t xml:space="preserve">• </w:t>
      </w:r>
      <w:r>
        <w:rPr>
          <w:rFonts w:ascii="Times New Roman;sans-serif" w:hAnsi="Times New Roman;sans-serif"/>
          <w:b w:val="false"/>
          <w:color w:val="000000"/>
          <w:sz w:val="24"/>
        </w:rPr>
        <w:t xml:space="preserve">1,000,000,000 shares are designated as Class A common stock; and </w:t>
      </w:r>
    </w:p>
    <w:p>
      <w:pPr>
        <w:pStyle w:val="TextBody"/>
        <w:bidi w:val="0"/>
        <w:spacing w:lineRule="auto" w:line="240" w:before="0" w:after="180"/>
        <w:ind w:left="0" w:right="0" w:hanging="367"/>
        <w:jc w:val="left"/>
        <w:rPr>
          <w:color w:val="000000"/>
        </w:rPr>
      </w:pPr>
      <w:r>
        <w:rPr>
          <w:color w:val="000000"/>
        </w:rPr>
        <w:t xml:space="preserve">• </w:t>
      </w:r>
      <w:r>
        <w:rPr>
          <w:rFonts w:ascii="Times New Roman;sans-serif" w:hAnsi="Times New Roman;sans-serif"/>
          <w:b w:val="false"/>
          <w:color w:val="000000"/>
          <w:sz w:val="24"/>
        </w:rPr>
        <w:t xml:space="preserve">100,000,000 shares are designated as preferred stock. </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Our board of directors may establish the rights and preferences of the preferred stock from time to time. </w:t>
      </w:r>
    </w:p>
    <w:p>
      <w:pPr>
        <w:pStyle w:val="TextBody"/>
        <w:bidi w:val="0"/>
        <w:spacing w:lineRule="auto" w:line="240" w:before="0" w:after="180"/>
        <w:jc w:val="left"/>
        <w:rPr>
          <w:rFonts w:ascii="Times New Roman;sans-serif" w:hAnsi="Times New Roman;sans-serif"/>
          <w:b/>
          <w:color w:val="000000"/>
          <w:sz w:val="24"/>
        </w:rPr>
      </w:pPr>
      <w:r>
        <w:rPr>
          <w:rFonts w:ascii="Times New Roman;sans-serif" w:hAnsi="Times New Roman;sans-serif"/>
          <w:b/>
          <w:color w:val="000000"/>
          <w:sz w:val="24"/>
        </w:rPr>
        <w:t xml:space="preserve">Class A Common Stock </w:t>
      </w:r>
    </w:p>
    <w:p>
      <w:pPr>
        <w:pStyle w:val="TextBody"/>
        <w:bidi w:val="0"/>
        <w:spacing w:lineRule="auto" w:line="240" w:before="0" w:after="180"/>
        <w:jc w:val="left"/>
        <w:rPr>
          <w:rFonts w:ascii="Times New Roman;sans-serif" w:hAnsi="Times New Roman;sans-serif"/>
          <w:b w:val="false"/>
          <w:i/>
          <w:color w:val="000000"/>
          <w:sz w:val="24"/>
          <w:shd w:fill="FFFFFF" w:val="clear"/>
        </w:rPr>
      </w:pPr>
      <w:r>
        <w:rPr>
          <w:rFonts w:ascii="Times New Roman;sans-serif" w:hAnsi="Times New Roman;sans-serif"/>
          <w:b w:val="false"/>
          <w:i/>
          <w:color w:val="000000"/>
          <w:sz w:val="24"/>
          <w:shd w:fill="FFFFFF" w:val="clear"/>
        </w:rPr>
        <w:t>Voting Rights</w:t>
      </w:r>
    </w:p>
    <w:p>
      <w:pPr>
        <w:pStyle w:val="TextBody"/>
        <w:bidi w:val="0"/>
        <w:spacing w:lineRule="auto" w:line="240" w:before="0" w:after="18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Each holder of our Class A common stock is entitled to one vote for each share on all matters submitted to a vote of the stockholders, including the election of directors. Under our amended and restated certificate of incorporation, as amended by the certificate of retirement dated June 16, 2020, and our amended and restated bylaws, our stockholders do not have cumulative voting rights. Because of this, the holders of a majority of the shares of our Class A common stock entitled to vote in any election of directors are able to elect all of the directors standing for election, if they should so choose.</w:t>
      </w:r>
    </w:p>
    <w:p>
      <w:pPr>
        <w:pStyle w:val="TextBody"/>
        <w:bidi w:val="0"/>
        <w:spacing w:lineRule="auto" w:line="240" w:before="0" w:after="180"/>
        <w:jc w:val="left"/>
        <w:rPr>
          <w:rFonts w:ascii="Times New Roman;sans-serif" w:hAnsi="Times New Roman;sans-serif"/>
          <w:b w:val="false"/>
          <w:i/>
          <w:color w:val="000000"/>
          <w:sz w:val="24"/>
          <w:shd w:fill="FFFFFF" w:val="clear"/>
        </w:rPr>
      </w:pPr>
      <w:r>
        <w:rPr>
          <w:rFonts w:ascii="Times New Roman;sans-serif" w:hAnsi="Times New Roman;sans-serif"/>
          <w:b w:val="false"/>
          <w:i/>
          <w:color w:val="000000"/>
          <w:sz w:val="24"/>
          <w:shd w:fill="FFFFFF" w:val="clear"/>
        </w:rPr>
        <w:t>Dividends</w:t>
      </w:r>
    </w:p>
    <w:p>
      <w:pPr>
        <w:pStyle w:val="TextBody"/>
        <w:bidi w:val="0"/>
        <w:spacing w:lineRule="auto" w:line="240" w:before="0" w:after="18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Subject to preferences that may be applicable to any then-outstanding preferred stock, holders of our Class A common stock are entitled to receive ratably those dividends, if any, as may be declared from time to time by our board of directors out of legally available funds.</w:t>
      </w:r>
    </w:p>
    <w:p>
      <w:pPr>
        <w:pStyle w:val="TextBody"/>
        <w:bidi w:val="0"/>
        <w:spacing w:lineRule="auto" w:line="240" w:before="0" w:after="180"/>
        <w:jc w:val="left"/>
        <w:rPr>
          <w:rFonts w:ascii="Times New Roman;sans-serif" w:hAnsi="Times New Roman;sans-serif"/>
          <w:b w:val="false"/>
          <w:i/>
          <w:color w:val="000000"/>
          <w:sz w:val="24"/>
          <w:shd w:fill="FFFFFF" w:val="clear"/>
        </w:rPr>
      </w:pPr>
      <w:r>
        <w:rPr>
          <w:rFonts w:ascii="Times New Roman;sans-serif" w:hAnsi="Times New Roman;sans-serif"/>
          <w:b w:val="false"/>
          <w:i/>
          <w:color w:val="000000"/>
          <w:sz w:val="24"/>
          <w:shd w:fill="FFFFFF" w:val="clear"/>
        </w:rPr>
        <w:t>Liquidation</w:t>
      </w:r>
    </w:p>
    <w:p>
      <w:pPr>
        <w:pStyle w:val="TextBody"/>
        <w:bidi w:val="0"/>
        <w:spacing w:lineRule="auto" w:line="240" w:before="0" w:after="18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 the event of our liquidation, dissolution or winding up, holders of our Class A common stock will be entitled to share ratably in the net assets legally available for distribution to our stockholders after the payment of all of our debts and other liabilities and the satisfaction of any liquidation preference granted to the holders of any then-outstanding shares of our preferred stock.</w:t>
      </w:r>
    </w:p>
    <w:p>
      <w:pPr>
        <w:pStyle w:val="TextBody"/>
        <w:bidi w:val="0"/>
        <w:spacing w:lineRule="auto" w:line="240" w:before="0" w:after="180"/>
        <w:jc w:val="left"/>
        <w:rPr>
          <w:rFonts w:ascii="Times New Roman;sans-serif" w:hAnsi="Times New Roman;sans-serif"/>
          <w:b w:val="false"/>
          <w:i/>
          <w:color w:val="000000"/>
          <w:sz w:val="24"/>
          <w:shd w:fill="FFFFFF" w:val="clear"/>
        </w:rPr>
      </w:pPr>
      <w:r>
        <w:rPr>
          <w:rFonts w:ascii="Times New Roman;sans-serif" w:hAnsi="Times New Roman;sans-serif"/>
          <w:b w:val="false"/>
          <w:i/>
          <w:color w:val="000000"/>
          <w:sz w:val="24"/>
          <w:shd w:fill="FFFFFF" w:val="clear"/>
        </w:rPr>
        <w:t>Rights and Preferences</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Holders of our Class A common stock have no preemptive, conversion or subscription rights and there are no redemption or sinking fund provisions applicable to the common stock. The rights, preferences and privileges of the holders of our Class A common stock are subject to, and may be adversely affected by, the rights of the holders of shares of any series of preferred stock that we may designate in the future.</w:t>
      </w:r>
    </w:p>
    <w:p>
      <w:pPr>
        <w:pStyle w:val="TextBody"/>
        <w:bidi w:val="0"/>
        <w:spacing w:lineRule="auto" w:line="240" w:before="0" w:after="180"/>
        <w:jc w:val="left"/>
        <w:rPr>
          <w:rFonts w:ascii="Times New Roman;sans-serif" w:hAnsi="Times New Roman;sans-serif"/>
          <w:b w:val="false"/>
          <w:i/>
          <w:color w:val="000000"/>
          <w:sz w:val="24"/>
          <w:shd w:fill="FFFFFF" w:val="clear"/>
        </w:rPr>
      </w:pPr>
      <w:r>
        <w:rPr>
          <w:rFonts w:ascii="Times New Roman;sans-serif" w:hAnsi="Times New Roman;sans-serif"/>
          <w:b w:val="false"/>
          <w:i/>
          <w:color w:val="000000"/>
          <w:sz w:val="24"/>
          <w:shd w:fill="FFFFFF" w:val="clear"/>
        </w:rPr>
        <w:t xml:space="preserve">Fully Paid and Non-Assessable </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All of the outstanding shares of our Class A common stock are fully paid and non-assessable. </w:t>
      </w:r>
    </w:p>
    <w:p>
      <w:pPr>
        <w:pStyle w:val="TextBody"/>
        <w:bidi w:val="0"/>
        <w:spacing w:lineRule="auto" w:line="240" w:before="0" w:after="180"/>
        <w:jc w:val="left"/>
        <w:rPr>
          <w:rFonts w:ascii="Times New Roman;sans-serif" w:hAnsi="Times New Roman;sans-serif"/>
          <w:b/>
          <w:color w:val="000000"/>
          <w:sz w:val="24"/>
        </w:rPr>
      </w:pPr>
      <w:r>
        <w:rPr>
          <w:rFonts w:ascii="Times New Roman;sans-serif" w:hAnsi="Times New Roman;sans-serif"/>
          <w:b/>
          <w:color w:val="000000"/>
          <w:sz w:val="24"/>
        </w:rPr>
        <w:t>Anti-Takeover Provisions</w:t>
      </w:r>
    </w:p>
    <w:p>
      <w:pPr>
        <w:pStyle w:val="TextBody"/>
        <w:bidi w:val="0"/>
        <w:spacing w:lineRule="auto" w:line="240" w:before="0" w:after="180"/>
        <w:jc w:val="left"/>
        <w:rPr>
          <w:rFonts w:ascii="Times New Roman;sans-serif" w:hAnsi="Times New Roman;sans-serif"/>
          <w:b w:val="false"/>
          <w:i/>
          <w:color w:val="000000"/>
          <w:sz w:val="24"/>
          <w:shd w:fill="FFFFFF" w:val="clear"/>
        </w:rPr>
      </w:pPr>
      <w:r>
        <w:rPr>
          <w:rFonts w:ascii="Times New Roman;sans-serif" w:hAnsi="Times New Roman;sans-serif"/>
          <w:b w:val="false"/>
          <w:i/>
          <w:color w:val="000000"/>
          <w:sz w:val="24"/>
          <w:shd w:fill="FFFFFF" w:val="clear"/>
        </w:rPr>
        <w:t>Anti-Takeover Statute</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before such date, the board of directors of the corporation approved either the business combination or the transaction that resulted in the stockholder becoming an interested stockholder;</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In general, Section 203 defines a “business combination” to include the following:</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any merger or consolidation involving the corporation and the interested stockholder;</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any sale, transfer, pledge or other disposition of 10% or more of the assets of the corporation involving the interested stockholder;</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subject to certain exceptions, any transaction that results in the issuance or transfer by the corporation of any stock of the corporation to the interested stockholder;</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any transaction involving the corporation that has the effect of increasing the proportionate share of the stock or any class or series of the corporation beneficially owned by the interested stockholder; or</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the receipt by the interested stockholder of the benefit of any loans, advances, guarantees, pledges or other financial benefits by or through the corporation.</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general, Section 203 defines an "interested stockholder" as an entity or person who, together with the person's affiliates and associates, beneficially owns, or within three years prior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time of determination of interested stockholder status did own, 15% or more of the outstanding voting stock of the corporation.</w:t>
      </w:r>
    </w:p>
    <w:p>
      <w:pPr>
        <w:pStyle w:val="TextBody"/>
        <w:bidi w:val="0"/>
        <w:spacing w:lineRule="auto" w:line="240" w:before="0" w:after="180"/>
        <w:jc w:val="left"/>
        <w:rPr>
          <w:rFonts w:ascii="Times New Roman;sans-serif" w:hAnsi="Times New Roman;sans-serif"/>
          <w:b w:val="false"/>
          <w:i/>
          <w:color w:val="000000"/>
          <w:sz w:val="24"/>
        </w:rPr>
      </w:pPr>
      <w:r>
        <w:rPr>
          <w:rFonts w:ascii="Times New Roman;sans-serif" w:hAnsi="Times New Roman;sans-serif"/>
          <w:b w:val="false"/>
          <w:i/>
          <w:color w:val="000000"/>
          <w:sz w:val="24"/>
        </w:rPr>
        <w:t>Anti-Takeover Effects of Certain Provisions of Our Amended and Restated Certificate of Incorporation and Amended and Restated Bylaws</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provides for a board of directors comprised of three classes of directors, with each class serving a three-year term beginning and ending in different years than those of the other two classes. Only one class of directors will be elected at each annual meeting of stockholders, with the other classes continuing for the remainder of their respective three-year terms.</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Because our stockholders do not have cumulative voting rights, stockholders holding a majority of the voting power of the Class A common stock will be able to elect all of our directors. </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and amended and restated bylaws also provide that:</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the authorized number of directors may be changed only by resolution of the board of directors;</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vacancies and newly created directorships on the board of directors may be filled (1) by a majority vote of the directors then serving on the board, even though less than a quorum, except as otherwise required by law or determined by the board, or (2) by the stockholders;</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stockholder action may be taken at a duly called meeting of stockholders; and</w:t>
      </w:r>
    </w:p>
    <w:p>
      <w:pPr>
        <w:pStyle w:val="TextBody"/>
        <w:bidi w:val="0"/>
        <w:spacing w:lineRule="auto" w:line="240" w:before="0" w:after="180"/>
        <w:ind w:left="0" w:right="0" w:hanging="360"/>
        <w:jc w:val="left"/>
        <w:rPr>
          <w:color w:val="000000"/>
        </w:rPr>
      </w:pPr>
      <w:r>
        <w:rPr>
          <w:color w:val="000000"/>
        </w:rPr>
        <w:t>•</w:t>
      </w:r>
      <w:r>
        <w:rPr>
          <w:rFonts w:ascii="Times New Roman;sans-serif" w:hAnsi="Times New Roman;sans-serif"/>
          <w:b w:val="false"/>
          <w:color w:val="000000"/>
          <w:sz w:val="24"/>
        </w:rPr>
        <w:t>a special meeting of stockholders may be called by a majority of our whole board of directors, the chair of our board of directors, or our chief executive officer.</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The combination of these provisions will make it more difficult for another party to obtain control of us by replacing our board of directors. Since our board of directors has the power to retain and discharge our officers, these provisions could also make it more difficult for another party to effect a change in management.</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bidi w:val="0"/>
        <w:spacing w:lineRule="auto" w:line="240" w:before="0" w:after="180"/>
        <w:jc w:val="left"/>
        <w:rPr>
          <w:rFonts w:ascii="Times New Roman;sans-serif" w:hAnsi="Times New Roman;sans-serif"/>
          <w:b/>
          <w:color w:val="000000"/>
          <w:sz w:val="24"/>
        </w:rPr>
      </w:pPr>
      <w:r>
        <w:rPr>
          <w:rFonts w:ascii="Times New Roman;sans-serif" w:hAnsi="Times New Roman;sans-serif"/>
          <w:b/>
          <w:color w:val="000000"/>
          <w:sz w:val="24"/>
        </w:rPr>
        <w:t>Choice of Forum</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amended and restated bylaws; or (v) any action asserting a claim against us that is governed by the internal affairs doctrine. Several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lawsuits have been filed in Delaware challenging the enforceability of similar choice of forum provisions, and it is possible that a court could determine such provisions are not enforceable.</w:t>
      </w:r>
    </w:p>
    <w:p>
      <w:pPr>
        <w:pStyle w:val="TextBody"/>
        <w:bidi w:val="0"/>
        <w:spacing w:lineRule="auto" w:line="240"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further provides that the federal district courts of the United States of America will be the exclusive forum for resolving any complaint asserting a cause of action arising under the Securities Act.</w:t>
      </w:r>
    </w:p>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10.19</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Performance-Based Restricted Stock Unit Grant Notice (International)</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(2016 Equity Incentive Plan)</w:t>
      </w:r>
    </w:p>
    <w:p>
      <w:pPr>
        <w:pStyle w:val="TextBody"/>
        <w:bidi w:val="0"/>
        <w:spacing w:lineRule="auto" w:line="240" w:before="200" w:after="200"/>
        <w:jc w:val="both"/>
        <w:rPr/>
      </w:pPr>
      <w:r>
        <w:rPr>
          <w:rFonts w:ascii="Times New Roman;sans-serif" w:hAnsi="Times New Roman;sans-serif"/>
          <w:b w:val="false"/>
          <w:color w:val="000000"/>
          <w:sz w:val="20"/>
        </w:rPr>
        <w:t>MongoDB,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pursuant to its 2016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hereby awards to Participant a Performance-Based Restricted Stock Unit Award for the number of shares of the Company’s Common Stock (“</w:t>
      </w:r>
      <w:r>
        <w:rPr>
          <w:rFonts w:ascii="Times New Roman;sans-serif" w:hAnsi="Times New Roman;sans-serif"/>
          <w:b/>
          <w:i/>
          <w:color w:val="000000"/>
          <w:sz w:val="20"/>
        </w:rPr>
        <w:t>Restricted Stock Units</w:t>
      </w:r>
      <w:r>
        <w:rPr>
          <w:color w:val="000000"/>
        </w:rPr>
        <w:t>”</w:t>
      </w:r>
      <w:r>
        <w:rPr>
          <w:rFonts w:ascii="Times New Roman;sans-serif" w:hAnsi="Times New Roman;sans-serif"/>
          <w:b w:val="false"/>
          <w:color w:val="000000"/>
          <w:sz w:val="20"/>
        </w:rPr>
        <w:t>) set forth below (the “</w:t>
      </w:r>
      <w:r>
        <w:rPr>
          <w:rFonts w:ascii="Times New Roman;sans-serif" w:hAnsi="Times New Roman;sans-serif"/>
          <w:b/>
          <w:i/>
          <w:color w:val="000000"/>
          <w:sz w:val="20"/>
        </w:rPr>
        <w:t>Award</w:t>
      </w:r>
      <w:r>
        <w:rPr>
          <w:color w:val="000000"/>
        </w:rPr>
        <w:t>”</w:t>
      </w:r>
      <w:r>
        <w:rPr>
          <w:rFonts w:ascii="Times New Roman;sans-serif" w:hAnsi="Times New Roman;sans-serif"/>
          <w:b w:val="false"/>
          <w:color w:val="000000"/>
          <w:sz w:val="20"/>
        </w:rPr>
        <w:t>). The Award is subject to all of the terms and conditions as set forth in this notice of grant (this “</w:t>
      </w:r>
      <w:r>
        <w:rPr>
          <w:rFonts w:ascii="Times New Roman;sans-serif" w:hAnsi="Times New Roman;sans-serif"/>
          <w:b/>
          <w:i/>
          <w:color w:val="000000"/>
          <w:sz w:val="20"/>
        </w:rPr>
        <w:t>Performance-Based</w:t>
      </w:r>
      <w:r>
        <w:rPr>
          <w:color w:val="000000"/>
        </w:rPr>
        <w:t xml:space="preserve"> </w:t>
      </w:r>
      <w:r>
        <w:rPr>
          <w:rFonts w:ascii="Times New Roman;sans-serif" w:hAnsi="Times New Roman;sans-serif"/>
          <w:b/>
          <w:i/>
          <w:color w:val="000000"/>
          <w:sz w:val="20"/>
        </w:rPr>
        <w:t>Restricted Stock Unit Grant Notice</w:t>
      </w:r>
      <w:r>
        <w:rPr>
          <w:color w:val="000000"/>
        </w:rPr>
        <w:t>”</w:t>
      </w:r>
      <w:r>
        <w:rPr>
          <w:rFonts w:ascii="Times New Roman;sans-serif" w:hAnsi="Times New Roman;sans-serif"/>
          <w:b w:val="false"/>
          <w:color w:val="000000"/>
          <w:sz w:val="20"/>
        </w:rPr>
        <w:t>) and in the Plan and the Restricted Stock Unit Agreement (the “</w:t>
      </w:r>
      <w:r>
        <w:rPr>
          <w:rFonts w:ascii="Times New Roman;sans-serif" w:hAnsi="Times New Roman;sans-serif"/>
          <w:b/>
          <w:i/>
          <w:color w:val="000000"/>
          <w:sz w:val="20"/>
        </w:rPr>
        <w:t>Award Agreement</w:t>
      </w:r>
      <w:r>
        <w:rPr>
          <w:color w:val="000000"/>
        </w:rPr>
        <w:t>”</w:t>
      </w:r>
      <w:r>
        <w:rPr>
          <w:rFonts w:ascii="Times New Roman;sans-serif" w:hAnsi="Times New Roman;sans-serif"/>
          <w:b w:val="false"/>
          <w:color w:val="000000"/>
          <w:sz w:val="20"/>
        </w:rPr>
        <w:t>), both of which are attached hereto and incorporated herein in their entirety. Capitalized terms not otherwise defined herein will have the meanings set forth in the Plan or the Award Agreement. In the event of any conflict between the terms in the Award and the Plan, the terms of the Plan will control.</w:t>
      </w:r>
    </w:p>
    <w:tbl>
      <w:tblPr>
        <w:tblW w:w="6536" w:type="dxa"/>
        <w:jc w:val="left"/>
        <w:tblInd w:w="0" w:type="dxa"/>
        <w:tblLayout w:type="fixed"/>
        <w:tblCellMar>
          <w:top w:w="28" w:type="dxa"/>
          <w:left w:w="28" w:type="dxa"/>
          <w:bottom w:w="28" w:type="dxa"/>
          <w:right w:w="28" w:type="dxa"/>
        </w:tblCellMar>
      </w:tblPr>
      <w:tblGrid>
        <w:gridCol w:w="2229"/>
        <w:gridCol w:w="1962"/>
        <w:gridCol w:w="1973"/>
        <w:gridCol w:w="109"/>
        <w:gridCol w:w="109"/>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Grant:</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Base Date:</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Target Number of Restricted Stock Units (based on 100% attainment): </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Number of Restricted Stock Units: (based on 200% attainment):</w:t>
            </w:r>
          </w:p>
        </w:tc>
        <w:tc>
          <w:tcPr>
            <w:tcW w:w="37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0"/>
        </w:rPr>
        <w:t>Vesting Schedule:</w:t>
      </w:r>
      <w:r>
        <w:rPr>
          <w:color w:val="000000"/>
        </w:rPr>
        <w:t xml:space="preserve"> </w:t>
      </w:r>
      <w:r>
        <w:rPr>
          <w:rFonts w:ascii="Times New Roman;sans-serif" w:hAnsi="Times New Roman;sans-serif"/>
          <w:b w:val="false"/>
          <w:color w:val="000000"/>
          <w:sz w:val="20"/>
        </w:rPr>
        <w:t>[____________________]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If a Participant’s Continuous Service terminates for any reason, then the Participant shall not vest in any further Restricted Stock Units after the date of such termination;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that if the Participant’s Continuous Service is terminated without Cause within twelve months following a Change in Control, 100% of any then-unvested Restricted Stock Units shall vest as of the date of such termination.</w:t>
      </w:r>
    </w:p>
    <w:p>
      <w:pPr>
        <w:pStyle w:val="TextBody"/>
        <w:bidi w:val="0"/>
        <w:spacing w:before="0" w:after="0"/>
        <w:jc w:val="left"/>
        <w:rPr/>
      </w:pPr>
      <w:r>
        <w:rPr/>
      </w:r>
    </w:p>
    <w:p>
      <w:pPr>
        <w:pStyle w:val="TextBody"/>
        <w:bidi w:val="0"/>
        <w:spacing w:lineRule="auto" w:line="240" w:before="0" w:after="0"/>
        <w:ind w:left="0" w:right="0" w:hanging="1800"/>
        <w:jc w:val="both"/>
        <w:rPr/>
      </w:pPr>
      <w:r>
        <w:rPr>
          <w:rFonts w:ascii="Times New Roman;sans-serif" w:hAnsi="Times New Roman;sans-serif"/>
          <w:b/>
          <w:color w:val="000000"/>
          <w:sz w:val="20"/>
        </w:rPr>
        <w:t>Issuance Schedule:    </w:t>
      </w:r>
      <w:r>
        <w:rPr>
          <w:rFonts w:ascii="Times New Roman;sans-serif" w:hAnsi="Times New Roman;sans-serif"/>
          <w:b w:val="false"/>
          <w:color w:val="000000"/>
          <w:sz w:val="20"/>
        </w:rPr>
        <w:t>The shares of Common Stock to be issued in respect of the Award will be issued in accordance with the issuance schedule set forth in Section 6 of the Restricted Stock Unit Agreement.</w:t>
      </w:r>
    </w:p>
    <w:p>
      <w:pPr>
        <w:pStyle w:val="TextBody"/>
        <w:bidi w:val="0"/>
        <w:spacing w:lineRule="auto" w:line="240" w:before="200" w:after="200"/>
        <w:jc w:val="both"/>
        <w:rPr/>
      </w:pPr>
      <w:r>
        <w:rPr>
          <w:rFonts w:ascii="Times New Roman;sans-serif" w:hAnsi="Times New Roman;sans-serif"/>
          <w:b/>
          <w:color w:val="000000"/>
          <w:sz w:val="20"/>
        </w:rPr>
        <w:t>Additional Terms/Acknowledgements:</w:t>
      </w:r>
      <w:r>
        <w:rPr>
          <w:color w:val="000000"/>
        </w:rPr>
        <w:t xml:space="preserve"> </w:t>
      </w:r>
      <w:r>
        <w:rPr>
          <w:rFonts w:ascii="Times New Roman;sans-serif" w:hAnsi="Times New Roman;sans-serif"/>
          <w:b w:val="false"/>
          <w:color w:val="000000"/>
          <w:sz w:val="20"/>
        </w:rPr>
        <w:t>Participant acknowledges receipt of, and understands and agrees to, this Performance-Based Restricted Stock Unit Grant Notice, the Award Agreement, including any country-specific appendices, and the Plan. Participant acknowledges and agrees that this Performance-Based Restricted Stock Unit Grant Notice and the Award Agreement may not be modified, amended or revised except as provided in the Plan. Participant further acknowledges that as of the Date of Grant, this Performance-Based Restricted Stock Unit Grant Notice, the Award Agreement and the Plan set forth the entire understanding between Participant and the Company regarding the acquisition of Common Stock pursuant to the Award and supersede all prior oral and written agreements on that subject with the exception, if applicable, of (i) equity awards previously granted and delivered to Participant, (ii) any compensation recovery policy that is adopted by the Company or is otherwise required by applicable law, and (iii) any written employment or severance arrangement that would provide for vesting acceleration of this Award upon the terms and conditions set forth therein.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By accepting this Award, Participant consents to receive such documents by electronic delivery and to participate in the Plan through an on-line or electronic system established and maintained by the Company or another third party designated by the Company and such system shall have the same force and effect as hard-copy execution.</w:t>
      </w:r>
    </w:p>
    <w:p>
      <w:pPr>
        <w:pStyle w:val="TextBody"/>
        <w:bidi w:val="0"/>
        <w:spacing w:before="200" w:after="200"/>
        <w:jc w:val="both"/>
        <w:rPr/>
      </w:pPr>
      <w:r>
        <w:rPr/>
      </w:r>
    </w:p>
    <w:p>
      <w:pPr>
        <w:pStyle w:val="TextBody"/>
        <w:bidi w:val="0"/>
        <w:spacing w:lineRule="auto" w:line="240" w:before="480" w:after="283"/>
        <w:jc w:val="left"/>
        <w:rPr>
          <w:rFonts w:ascii="Times New Roman;sans-serif" w:hAnsi="Times New Roman;sans-serif"/>
          <w:b/>
          <w:color w:val="000000"/>
          <w:sz w:val="20"/>
        </w:rPr>
      </w:pPr>
      <w:r>
        <w:rPr>
          <w:rFonts w:ascii="Times New Roman;sans-serif" w:hAnsi="Times New Roman;sans-serif"/>
          <w:b/>
          <w:color w:val="000000"/>
          <w:sz w:val="20"/>
        </w:rPr>
        <w:t>MongoDB, Inc.        Participant</w:t>
      </w:r>
    </w:p>
    <w:p>
      <w:pPr>
        <w:pStyle w:val="TextBody"/>
        <w:bidi w:val="0"/>
        <w:spacing w:before="4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600" w:after="283"/>
        <w:jc w:val="left"/>
        <w:rPr/>
      </w:pPr>
      <w:r>
        <w:rPr>
          <w:rFonts w:ascii="Times New Roman;sans-serif" w:hAnsi="Times New Roman;sans-serif"/>
          <w:b w:val="false"/>
          <w:color w:val="000000"/>
          <w:sz w:val="20"/>
        </w:rPr>
        <w:t xml:space="preserve">By: </w:t>
      </w:r>
      <w:r>
        <w:rPr>
          <w:color w:val="000000"/>
          <w:u w:val="single"/>
        </w:rPr>
        <w:t>    </w:t>
      </w:r>
      <w:r>
        <w:rPr>
          <w:color w:val="000000"/>
        </w:rPr>
        <w:t>    </w:t>
      </w:r>
      <w:r>
        <w:rPr>
          <w:rFonts w:ascii="Times New Roman;sans-serif" w:hAnsi="Times New Roman;sans-serif"/>
          <w:b w:val="false"/>
          <w:color w:val="000000"/>
          <w:sz w:val="20"/>
        </w:rPr>
        <w:t xml:space="preserve">By: </w:t>
      </w:r>
      <w:r>
        <w:rPr>
          <w:color w:val="000000"/>
          <w:u w:val="single"/>
        </w:rPr>
        <w:t>    </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Signature         Signature</w:t>
      </w:r>
    </w:p>
    <w:p>
      <w:pPr>
        <w:pStyle w:val="TextBody"/>
        <w:bidi w:val="0"/>
        <w:spacing w:lineRule="auto" w:line="240" w:before="0" w:after="24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2"/>
        </w:rPr>
        <w:t>Andrew Stephens</w:t>
      </w:r>
      <w:r>
        <w:rPr>
          <w:color w:val="000000"/>
        </w:rPr>
        <w:t>        </w:t>
      </w:r>
      <w:r>
        <w:rPr>
          <w:rFonts w:ascii="Times New Roman;sans-serif" w:hAnsi="Times New Roman;sans-serif"/>
          <w:b w:val="false"/>
          <w:color w:val="000000"/>
          <w:sz w:val="20"/>
        </w:rPr>
        <w:t xml:space="preserve">Date: </w:t>
      </w:r>
      <w:r>
        <w:rPr>
          <w:color w:val="000000"/>
          <w:u w:val="single"/>
        </w:rPr>
        <w:t>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Title: General Counsel</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0"/>
        </w:rPr>
        <w:t>Attachments:</w:t>
      </w:r>
      <w:r>
        <w:rPr>
          <w:color w:val="000000"/>
        </w:rPr>
        <w:t xml:space="preserve"> </w:t>
      </w:r>
      <w:r>
        <w:rPr>
          <w:rFonts w:ascii="Times New Roman;sans-serif" w:hAnsi="Times New Roman;sans-serif"/>
          <w:b w:val="false"/>
          <w:color w:val="000000"/>
          <w:sz w:val="20"/>
        </w:rPr>
        <w:t>Award Agreement, 2016 Equity Incentive Plan</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MongoDB, Inc.</w:t>
        <w:br/>
        <w:t>2016 Equity Incentive Plan</w:t>
        <w:br/>
        <w:t>Restricted Stock Unit Agreement</w:t>
      </w:r>
    </w:p>
    <w:p>
      <w:pPr>
        <w:pStyle w:val="TextBody"/>
        <w:bidi w:val="0"/>
        <w:spacing w:lineRule="auto" w:line="240" w:before="200" w:after="200"/>
        <w:ind w:left="0" w:right="0" w:firstLine="720"/>
        <w:jc w:val="both"/>
        <w:rPr/>
      </w:pPr>
      <w:r>
        <w:rPr>
          <w:rFonts w:ascii="Times New Roman;sans-serif" w:hAnsi="Times New Roman;sans-serif"/>
          <w:b w:val="false"/>
          <w:color w:val="000000"/>
          <w:sz w:val="20"/>
        </w:rPr>
        <w:t>Pursuant to the Performance-Based Restricted Stock Unit Grant Notice (the “</w:t>
      </w:r>
      <w:r>
        <w:rPr>
          <w:rFonts w:ascii="Times New Roman;sans-serif" w:hAnsi="Times New Roman;sans-serif"/>
          <w:b/>
          <w:i/>
          <w:color w:val="000000"/>
          <w:sz w:val="20"/>
        </w:rPr>
        <w:t>Grant Notice</w:t>
      </w:r>
      <w:r>
        <w:rPr>
          <w:color w:val="000000"/>
        </w:rPr>
        <w:t>”</w:t>
      </w:r>
      <w:r>
        <w:rPr>
          <w:rFonts w:ascii="Times New Roman;sans-serif" w:hAnsi="Times New Roman;sans-serif"/>
          <w:b w:val="false"/>
          <w:color w:val="000000"/>
          <w:sz w:val="20"/>
        </w:rPr>
        <w:t>) and this Restricted Stock Unit Agreement (the “</w:t>
      </w:r>
      <w:r>
        <w:rPr>
          <w:rFonts w:ascii="Times New Roman;sans-serif" w:hAnsi="Times New Roman;sans-serif"/>
          <w:b/>
          <w:i/>
          <w:color w:val="000000"/>
          <w:sz w:val="20"/>
        </w:rPr>
        <w:t>Award Agreement</w:t>
      </w:r>
      <w:r>
        <w:rPr>
          <w:color w:val="000000"/>
        </w:rPr>
        <w:t>”</w:t>
      </w:r>
      <w:r>
        <w:rPr>
          <w:rFonts w:ascii="Times New Roman;sans-serif" w:hAnsi="Times New Roman;sans-serif"/>
          <w:b w:val="false"/>
          <w:color w:val="000000"/>
          <w:sz w:val="20"/>
        </w:rPr>
        <w:t>) and in consideration of your services, MongoDB,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awarded you (“</w:t>
      </w:r>
      <w:r>
        <w:rPr>
          <w:rFonts w:ascii="Times New Roman;sans-serif" w:hAnsi="Times New Roman;sans-serif"/>
          <w:b/>
          <w:i/>
          <w:color w:val="000000"/>
          <w:sz w:val="20"/>
        </w:rPr>
        <w:t>Participant</w:t>
      </w:r>
      <w:r>
        <w:rPr>
          <w:color w:val="000000"/>
        </w:rPr>
        <w:t>”</w:t>
      </w:r>
      <w:r>
        <w:rPr>
          <w:rFonts w:ascii="Times New Roman;sans-serif" w:hAnsi="Times New Roman;sans-serif"/>
          <w:b w:val="false"/>
          <w:color w:val="000000"/>
          <w:sz w:val="20"/>
        </w:rPr>
        <w:t>) a Performance-Based Restricted Stock Unit Award (the “</w:t>
      </w:r>
      <w:r>
        <w:rPr>
          <w:rFonts w:ascii="Times New Roman;sans-serif" w:hAnsi="Times New Roman;sans-serif"/>
          <w:b/>
          <w:i/>
          <w:color w:val="000000"/>
          <w:sz w:val="20"/>
        </w:rPr>
        <w:t>Award</w:t>
      </w:r>
      <w:r>
        <w:rPr>
          <w:color w:val="000000"/>
        </w:rPr>
        <w:t>”</w:t>
      </w:r>
      <w:r>
        <w:rPr>
          <w:rFonts w:ascii="Times New Roman;sans-serif" w:hAnsi="Times New Roman;sans-serif"/>
          <w:b w:val="false"/>
          <w:color w:val="000000"/>
          <w:sz w:val="20"/>
        </w:rPr>
        <w:t>) pursuant to Section 6 of the Company’s 2016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for the number of Restricted Stock Units/shares indicated in the Grant Notice. Capitalized terms not explicitly defined in this Award Agreement or the Grant Notice will have the same meanings given to them in the Plan. The terms of your Award, in addition to those set forth in the Grant Notice and the Plan, are as follows.</w:t>
      </w:r>
    </w:p>
    <w:p>
      <w:pPr>
        <w:pStyle w:val="TextBody"/>
        <w:bidi w:val="0"/>
        <w:spacing w:lineRule="auto" w:line="240" w:before="0" w:after="240"/>
        <w:ind w:left="0" w:right="0" w:firstLine="720"/>
        <w:jc w:val="both"/>
        <w:rPr/>
      </w:pPr>
      <w:r>
        <w:rPr>
          <w:rFonts w:ascii="Times New Roman;sans-serif" w:hAnsi="Times New Roman;sans-serif"/>
          <w:b/>
          <w:color w:val="000000"/>
          <w:sz w:val="20"/>
        </w:rPr>
        <w:t>1.</w:t>
      </w:r>
      <w:r>
        <w:rPr>
          <w:rFonts w:ascii="Times New Roman;sans-serif" w:hAnsi="Times New Roman;sans-serif"/>
          <w:b/>
          <w:color w:val="000000"/>
          <w:sz w:val="20"/>
        </w:rPr>
        <w:t>Grant of the Award</w:t>
      </w:r>
      <w:r>
        <w:rPr>
          <w:rFonts w:ascii="Times New Roman;sans-serif" w:hAnsi="Times New Roman;sans-serif"/>
          <w:b w:val="false"/>
          <w:color w:val="000000"/>
          <w:sz w:val="20"/>
        </w:rPr>
        <w:t>. This Award represents the right to be issued on a future date one (1) share of Common Stock 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sans-serif" w:hAnsi="Times New Roman;sans-serif"/>
          <w:b/>
          <w:i/>
          <w:color w:val="000000"/>
          <w:sz w:val="20"/>
        </w:rPr>
        <w:t>Account</w:t>
      </w:r>
      <w:r>
        <w:rPr>
          <w:color w:val="000000"/>
        </w:rPr>
        <w:t>”</w:t>
      </w:r>
      <w:r>
        <w:rPr>
          <w:rFonts w:ascii="Times New Roman;sans-serif" w:hAnsi="Times New Roman;sans-serif"/>
          <w:b w:val="false"/>
          <w:color w:val="000000"/>
          <w:sz w:val="20"/>
        </w:rPr>
        <w:t>) the number of Restricted Stock Units/shares of Common Stock subject to the Award. This Award was granted in consideration of your services to the Company or an Affiliate.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vesting of your Restricted Stock Units, and, to the extent applicable, references in this Award Agreement and the Grant Notice to Common Stock issuable in connection with your Restricted Stock Units will include the potential issuance of its cash equivalent pursuant to such right.</w:t>
      </w:r>
    </w:p>
    <w:p>
      <w:pPr>
        <w:pStyle w:val="TextBody"/>
        <w:bidi w:val="0"/>
        <w:spacing w:lineRule="auto" w:line="240" w:before="0" w:after="240"/>
        <w:ind w:left="0" w:right="0" w:firstLine="720"/>
        <w:jc w:val="both"/>
        <w:rPr/>
      </w:pPr>
      <w:r>
        <w:rPr>
          <w:rFonts w:ascii="Times New Roman;sans-serif" w:hAnsi="Times New Roman;sans-serif"/>
          <w:b/>
          <w:color w:val="000000"/>
          <w:sz w:val="20"/>
        </w:rPr>
        <w:t>2.</w:t>
      </w:r>
      <w:r>
        <w:rPr>
          <w:rFonts w:ascii="Times New Roman;sans-serif" w:hAnsi="Times New Roman;sans-serif"/>
          <w:b/>
          <w:color w:val="000000"/>
          <w:sz w:val="20"/>
        </w:rPr>
        <w:t>Vesting</w:t>
      </w:r>
      <w:r>
        <w:rPr>
          <w:rFonts w:ascii="Times New Roman;sans-serif" w:hAnsi="Times New Roman;sans-serif"/>
          <w:b w:val="false"/>
          <w:color w:val="000000"/>
          <w:sz w:val="20"/>
        </w:rPr>
        <w:t>. Subject to the limitations contained herein, your Award will vest, if at all, in accordance with the vesting 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pStyle w:val="TextBody"/>
        <w:bidi w:val="0"/>
        <w:spacing w:lineRule="auto" w:line="240" w:before="0" w:after="240"/>
        <w:ind w:left="0" w:right="0" w:firstLine="720"/>
        <w:jc w:val="both"/>
        <w:rPr/>
      </w:pPr>
      <w:r>
        <w:rPr>
          <w:rFonts w:ascii="Times New Roman;sans-serif" w:hAnsi="Times New Roman;sans-serif"/>
          <w:b/>
          <w:color w:val="000000"/>
          <w:sz w:val="20"/>
        </w:rPr>
        <w:t>3.</w:t>
      </w:r>
      <w:r>
        <w:rPr>
          <w:rFonts w:ascii="Times New Roman;sans-serif" w:hAnsi="Times New Roman;sans-serif"/>
          <w:b/>
          <w:color w:val="000000"/>
          <w:sz w:val="20"/>
        </w:rPr>
        <w:t>Number of Shares</w:t>
      </w:r>
      <w:r>
        <w:rPr>
          <w:rFonts w:ascii="Times New Roman;sans-serif" w:hAnsi="Times New Roman;sans-serif"/>
          <w:b w:val="false"/>
          <w:color w:val="000000"/>
          <w:sz w:val="20"/>
        </w:rPr>
        <w:t>. The number of Restricted Stock Units/shares subject to your Award may be adjusted from time to time for Capitalization 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w:t>
      </w:r>
    </w:p>
    <w:p>
      <w:pPr>
        <w:pStyle w:val="TextBody"/>
        <w:bidi w:val="0"/>
        <w:spacing w:lineRule="auto" w:line="240" w:before="0" w:after="240"/>
        <w:ind w:left="0" w:right="0" w:firstLine="720"/>
        <w:jc w:val="both"/>
        <w:rPr/>
      </w:pPr>
      <w:r>
        <w:rPr>
          <w:rFonts w:ascii="Times New Roman;sans-serif" w:hAnsi="Times New Roman;sans-serif"/>
          <w:b/>
          <w:color w:val="000000"/>
          <w:sz w:val="20"/>
        </w:rPr>
        <w:t>4.</w:t>
      </w:r>
      <w:r>
        <w:rPr>
          <w:rFonts w:ascii="Times New Roman;sans-serif" w:hAnsi="Times New Roman;sans-serif"/>
          <w:b/>
          <w:color w:val="000000"/>
          <w:sz w:val="20"/>
        </w:rPr>
        <w:t>US Securities Law Compliance</w:t>
      </w:r>
      <w:r>
        <w:rPr>
          <w:rFonts w:ascii="Times New Roman;sans-serif" w:hAnsi="Times New Roman;sans-serif"/>
          <w:b w:val="false"/>
          <w:color w:val="000000"/>
          <w:sz w:val="20"/>
        </w:rPr>
        <w:t>. You may not be issued any Common Stock under your Award unless the shares of 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w:t>
      </w:r>
    </w:p>
    <w:p>
      <w:pPr>
        <w:pStyle w:val="TextBody"/>
        <w:bidi w:val="0"/>
        <w:spacing w:lineRule="auto" w:line="240" w:before="0" w:after="240"/>
        <w:ind w:left="0" w:right="0" w:firstLine="720"/>
        <w:jc w:val="both"/>
        <w:rPr/>
      </w:pPr>
      <w:r>
        <w:rPr>
          <w:rFonts w:ascii="Times New Roman;sans-serif" w:hAnsi="Times New Roman;sans-serif"/>
          <w:b/>
          <w:color w:val="000000"/>
          <w:sz w:val="20"/>
        </w:rPr>
        <w:t>5.</w:t>
      </w:r>
      <w:r>
        <w:rPr>
          <w:rFonts w:ascii="Times New Roman;sans-serif" w:hAnsi="Times New Roman;sans-serif"/>
          <w:b/>
          <w:color w:val="000000"/>
          <w:sz w:val="20"/>
        </w:rPr>
        <w:t>Transfer Restrictions</w:t>
      </w:r>
      <w:r>
        <w:rPr>
          <w:rFonts w:ascii="Times New Roman;sans-serif" w:hAnsi="Times New Roman;sans-serif"/>
          <w:b w:val="false"/>
          <w:color w:val="000000"/>
          <w:sz w:val="20"/>
        </w:rPr>
        <w:t>. Prior to the time that shares of Common Stock have been delivered to you, you may not 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Award Agreement. In the absence of such a designation, your legal representative will be entitled to receive, on behalf of your estate, such Common Stock or other consideration.</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color w:val="000000"/>
          <w:sz w:val="20"/>
        </w:rPr>
        <w:t>Death</w:t>
      </w:r>
      <w:r>
        <w:rPr>
          <w:rFonts w:ascii="Times New Roman;sans-serif" w:hAnsi="Times New Roman;sans-serif"/>
          <w:b w:val="false"/>
          <w:color w:val="000000"/>
          <w:sz w:val="20"/>
        </w:rPr>
        <w:t>. Your Award is transferable by will and by the laws of descent and distribution. At your death, vesting of your Award will cease and your executor or administrator of your estate will be entitled to receive, on behalf of your estate, any Common Stock or other consideration that vested but was not issued before your death.</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color w:val="000000"/>
          <w:sz w:val="20"/>
        </w:rPr>
        <w:t>Domestic Relations Orders</w:t>
      </w:r>
      <w:r>
        <w:rPr>
          <w:rFonts w:ascii="Times New Roman;sans-serif" w:hAnsi="Times New Roman;sans-serif"/>
          <w:b w:val="false"/>
          <w:color w:val="000000"/>
          <w:sz w:val="20"/>
        </w:rPr>
        <w:t>. Upon receiving written permission from the Board or its duly authorized designee, and provided that you 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6.</w:t>
      </w:r>
      <w:r>
        <w:rPr>
          <w:rFonts w:ascii="Times New Roman;sans-serif" w:hAnsi="Times New Roman;sans-serif"/>
          <w:b/>
          <w:color w:val="000000"/>
          <w:sz w:val="20"/>
        </w:rPr>
        <w:t>Date of Issuance</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The issuance of shares in respect of the Restricted Stock Units is intended to comply with Treasury Regulations Section 1.409A-1(b)(4) and will be construed and administered in such a manner. Subject to the satisfaction of the withholding obligations set forth in this Award Agreement,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The issuance date determined by this paragraph is referred to as the “</w:t>
      </w:r>
      <w:r>
        <w:rPr>
          <w:rFonts w:ascii="Times New Roman;sans-serif" w:hAnsi="Times New Roman;sans-serif"/>
          <w:b/>
          <w:i/>
          <w:color w:val="000000"/>
          <w:sz w:val="20"/>
        </w:rPr>
        <w:t>Original Issuance Date</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If the Original Issuance Date falls on a date that is not a business day, delivery will instead occur on the next following business day. In addition, if:</w:t>
      </w:r>
    </w:p>
    <w:p>
      <w:pPr>
        <w:pStyle w:val="TextBody"/>
        <w:bidi w:val="0"/>
        <w:spacing w:lineRule="auto" w:line="240" w:before="0" w:after="240"/>
        <w:ind w:left="0" w:right="0" w:firstLine="2160"/>
        <w:jc w:val="both"/>
        <w:rPr/>
      </w:pPr>
      <w:r>
        <w:rPr>
          <w:rFonts w:ascii="Times New Roman;sans-serif" w:hAnsi="Times New Roman;sans-serif"/>
          <w:b/>
          <w:color w:val="000000"/>
          <w:sz w:val="20"/>
        </w:rPr>
        <w:t>(i)</w:t>
      </w:r>
      <w:r>
        <w:rPr>
          <w:rFonts w:ascii="Times New Roman;sans-serif" w:hAnsi="Times New Roman;sans-serif"/>
          <w:b w:val="false"/>
          <w:color w:val="000000"/>
          <w:sz w:val="20"/>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ans-serif" w:hAnsi="Times New Roman;sans-serif"/>
          <w:b/>
          <w:i/>
          <w:color w:val="000000"/>
          <w:sz w:val="20"/>
        </w:rPr>
        <w:t>10b5-1 Plan</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and</w:t>
      </w:r>
    </w:p>
    <w:p>
      <w:pPr>
        <w:pStyle w:val="TextBody"/>
        <w:bidi w:val="0"/>
        <w:spacing w:lineRule="auto" w:line="240" w:before="0" w:after="240"/>
        <w:ind w:left="0" w:right="0" w:firstLine="2160"/>
        <w:jc w:val="both"/>
        <w:rPr/>
      </w:pPr>
      <w:r>
        <w:rPr>
          <w:rFonts w:ascii="Times New Roman;sans-serif" w:hAnsi="Times New Roman;sans-serif"/>
          <w:b/>
          <w:color w:val="000000"/>
          <w:sz w:val="20"/>
        </w:rPr>
        <w:t>(ii)</w:t>
      </w:r>
      <w:r>
        <w:rPr>
          <w:rFonts w:ascii="Times New Roman;sans-serif" w:hAnsi="Times New Roman;sans-serif"/>
          <w:b w:val="false"/>
          <w:color w:val="000000"/>
          <w:sz w:val="20"/>
        </w:rPr>
        <w:t>either (1) Withholding Taxes do not apply, or (2) the Company decides, prior to the Original Issuance Date, (A) not to satisfy the Withholding Taxes by withholding shares of Common Stock from the shares otherwise due, on the Original Issuance Date, to you under this Award, and (B) not to permit you to enter into a “same day sale” commitment with a broker-dealer pursuant to Section 11 of this Award Agreement (including but not limited to a commitment under a 10b5-1 Plan) and (C) not to permit you to pay the Withholding Taxes in cash or from other compensation otherwise payable to you by the Company,</w:t>
      </w:r>
    </w:p>
    <w:p>
      <w:pPr>
        <w:pStyle w:val="TextBody"/>
        <w:bidi w:val="0"/>
        <w:spacing w:lineRule="auto" w:line="240" w:before="200" w:after="200"/>
        <w:jc w:val="both"/>
        <w:rPr/>
      </w:pPr>
      <w:r>
        <w:rPr>
          <w:rFonts w:ascii="Times New Roman;sans-serif" w:hAnsi="Times New Roman;sans-serif"/>
          <w:b w:val="false"/>
          <w:i/>
          <w:color w:val="000000"/>
          <w:sz w:val="20"/>
        </w:rPr>
        <w:t>then</w:t>
      </w:r>
      <w:r>
        <w:rPr>
          <w:color w:val="000000"/>
        </w:rPr>
        <w:t xml:space="preserve"> </w:t>
      </w:r>
      <w:r>
        <w:rPr>
          <w:rFonts w:ascii="Times New Roman;sans-serif" w:hAnsi="Times New Roman;sans-serif"/>
          <w:b w:val="false"/>
          <w:color w:val="000000"/>
          <w:sz w:val="20"/>
        </w:rPr>
        <w:t xml:space="preserve">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sans-serif" w:hAnsi="Times New Roman;sans-serif"/>
          <w:b w:val="false"/>
          <w:i/>
          <w:color w:val="000000"/>
          <w:sz w:val="20"/>
        </w:rPr>
        <w:t>if and only if</w:t>
      </w:r>
      <w:r>
        <w:rPr>
          <w:color w:val="000000"/>
        </w:rPr>
        <w:t xml:space="preserve"> </w:t>
      </w:r>
      <w:r>
        <w:rPr>
          <w:rFonts w:ascii="Times New Roman;sans-serif" w:hAnsi="Times New Roman;sans-serif"/>
          <w:b w:val="false"/>
          <w:color w:val="000000"/>
          <w:sz w:val="20"/>
        </w:rPr>
        <w:t>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pStyle w:val="TextBody"/>
        <w:bidi w:val="0"/>
        <w:spacing w:lineRule="auto" w:line="240" w:before="0" w:after="240"/>
        <w:ind w:left="0" w:right="0" w:firstLine="1440"/>
        <w:jc w:val="both"/>
        <w:rPr/>
      </w:pPr>
      <w:r>
        <w:rPr>
          <w:rFonts w:ascii="Times New Roman;sans-serif" w:hAnsi="Times New Roman;sans-serif"/>
          <w:b/>
          <w:color w:val="000000"/>
          <w:sz w:val="20"/>
        </w:rPr>
        <w:t>(c)</w:t>
      </w:r>
      <w:r>
        <w:rPr>
          <w:rFonts w:ascii="Times New Roman;sans-serif" w:hAnsi="Times New Roman;sans-serif"/>
          <w:b w:val="false"/>
          <w:color w:val="000000"/>
          <w:sz w:val="20"/>
        </w:rPr>
        <w:t>The form of delivery of the shares of Common Stock in respect of your Award (e.g., a stock certificate or electronic entry evidencing such shares) will be determined by the Company.</w:t>
      </w:r>
    </w:p>
    <w:p>
      <w:pPr>
        <w:pStyle w:val="TextBody"/>
        <w:bidi w:val="0"/>
        <w:spacing w:lineRule="auto" w:line="240" w:before="0" w:after="240"/>
        <w:ind w:left="0" w:right="0" w:firstLine="720"/>
        <w:jc w:val="both"/>
        <w:rPr/>
      </w:pPr>
      <w:r>
        <w:rPr>
          <w:rFonts w:ascii="Times New Roman;sans-serif" w:hAnsi="Times New Roman;sans-serif"/>
          <w:b/>
          <w:color w:val="000000"/>
          <w:sz w:val="20"/>
        </w:rPr>
        <w:t>7.</w:t>
      </w:r>
      <w:r>
        <w:rPr>
          <w:rFonts w:ascii="Times New Roman;sans-serif" w:hAnsi="Times New Roman;sans-serif"/>
          <w:b/>
          <w:color w:val="000000"/>
          <w:sz w:val="20"/>
        </w:rPr>
        <w:t>Dividends</w:t>
      </w:r>
      <w:r>
        <w:rPr>
          <w:rFonts w:ascii="Times New Roman;sans-serif" w:hAnsi="Times New Roman;sans-serif"/>
          <w:b w:val="false"/>
          <w:color w:val="000000"/>
          <w:sz w:val="20"/>
        </w:rPr>
        <w:t>. You will receive no benefit or adjustment to your Award with respect to any cash dividend, stock dividend or 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pStyle w:val="TextBody"/>
        <w:bidi w:val="0"/>
        <w:spacing w:lineRule="auto" w:line="240" w:before="0" w:after="240"/>
        <w:ind w:left="0" w:right="0" w:firstLine="720"/>
        <w:jc w:val="both"/>
        <w:rPr/>
      </w:pPr>
      <w:r>
        <w:rPr>
          <w:rFonts w:ascii="Times New Roman;sans-serif" w:hAnsi="Times New Roman;sans-serif"/>
          <w:b/>
          <w:color w:val="000000"/>
          <w:sz w:val="20"/>
        </w:rPr>
        <w:t>8.</w:t>
      </w:r>
      <w:r>
        <w:rPr>
          <w:rFonts w:ascii="Times New Roman;sans-serif" w:hAnsi="Times New Roman;sans-serif"/>
          <w:b/>
          <w:color w:val="000000"/>
          <w:sz w:val="20"/>
        </w:rPr>
        <w:t>Restrictive Legends</w:t>
      </w:r>
      <w:r>
        <w:rPr>
          <w:rFonts w:ascii="Times New Roman;sans-serif" w:hAnsi="Times New Roman;sans-serif"/>
          <w:b w:val="false"/>
          <w:color w:val="000000"/>
          <w:sz w:val="20"/>
        </w:rPr>
        <w:t>. The shares of Common Stock issued under your Award will be endorsed with appropriate legends as determined by the Company.</w:t>
      </w:r>
    </w:p>
    <w:p>
      <w:pPr>
        <w:pStyle w:val="TextBody"/>
        <w:bidi w:val="0"/>
        <w:spacing w:lineRule="auto" w:line="240" w:before="0" w:after="240"/>
        <w:ind w:left="0" w:right="0" w:firstLine="720"/>
        <w:jc w:val="both"/>
        <w:rPr/>
      </w:pPr>
      <w:r>
        <w:rPr>
          <w:rFonts w:ascii="Times New Roman;sans-serif" w:hAnsi="Times New Roman;sans-serif"/>
          <w:b/>
          <w:color w:val="000000"/>
          <w:sz w:val="20"/>
        </w:rPr>
        <w:t>9.</w:t>
      </w:r>
      <w:r>
        <w:rPr>
          <w:rFonts w:ascii="Times New Roman;sans-serif" w:hAnsi="Times New Roman;sans-serif"/>
          <w:b/>
          <w:color w:val="000000"/>
          <w:sz w:val="20"/>
        </w:rPr>
        <w:t>Execution of Documents</w:t>
      </w:r>
      <w:r>
        <w:rPr>
          <w:rFonts w:ascii="Times New Roman;sans-serif" w:hAnsi="Times New Roman;sans-serif"/>
          <w:b w:val="false"/>
          <w:color w:val="000000"/>
          <w:sz w:val="20"/>
        </w:rPr>
        <w:t>. You hereby acknowledge and agree that the manner selected by the Company by which you indicate your consent to your Grant Notice is also deemed to be your execution of your Grant Notice and of this Award Agreement. You further agree that such manner of indicating consent may be relied upon as your signature for establishing your execution of any documents to be executed in the future in connection with your Award.</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10.</w:t>
      </w:r>
      <w:r>
        <w:rPr>
          <w:rFonts w:ascii="Times New Roman;sans-serif" w:hAnsi="Times New Roman;sans-serif"/>
          <w:b/>
          <w:color w:val="000000"/>
          <w:sz w:val="20"/>
        </w:rPr>
        <w:t>Award not a Service Contract</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Your Continuous Service with the Company or an Affiliate is not for any specified term and may be terminated by you or by the Company or an Affiliate at any time, for any reason, with or without cause and with or without notice, subject to applicable laws and your service or employment agreement. Nothing in this Award Agreement (including, but not limited to, the vesting of your Award or the issuance of the shares subject to your Award), the Plan or any covenant of good faith and fair dealing that may be found implicit in this Award Agreement or the Plan will: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Award Agreement or the Plan unless such right or benefit has specifically accrued under the terms of this Award Agreement or Plan; or (iv) deprive the Company of the right to terminate you without regard to any future vesting opportunity that you may have.</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By accepting this Award, you acknowledge and agree that the right to continue vesting in the Award is earned only by continuing as an employee, director or consultant of the Company or an Affiliate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Award Agreement, including but not limited to, the termination of the right to continue vesting in the Award. You further acknowledge and agree that this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Award Agreement, for any period, or at all, and will not interfere in any way with your right or the right of the Company or an Affiliate to terminate your Continuous Service at any time, with or without cause and with or without notice, subject to applicable laws, and will not interfere in any way with the Company’s right to conduct a reorganization.</w:t>
      </w:r>
    </w:p>
    <w:p>
      <w:pPr>
        <w:pStyle w:val="TextBody"/>
        <w:bidi w:val="0"/>
        <w:spacing w:lineRule="auto" w:line="240" w:before="0" w:after="240"/>
        <w:ind w:left="0" w:right="0" w:firstLine="720"/>
        <w:jc w:val="both"/>
        <w:rPr/>
      </w:pPr>
      <w:r>
        <w:rPr>
          <w:rFonts w:ascii="Times New Roman;sans-serif" w:hAnsi="Times New Roman;sans-serif"/>
          <w:b/>
          <w:color w:val="000000"/>
          <w:sz w:val="20"/>
        </w:rPr>
        <w:t>11.</w:t>
      </w:r>
      <w:r>
        <w:rPr>
          <w:rFonts w:ascii="Times New Roman;sans-serif" w:hAnsi="Times New Roman;sans-serif"/>
          <w:b/>
          <w:color w:val="000000"/>
          <w:sz w:val="20"/>
        </w:rPr>
        <w:t>Tax Withholding Obligations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 otherwise agree to make adequate provision in cash for any sums required to satisfy the federal, state, local and foreign tax and social insurance contribution withholding obligations of the Company or any Affiliate that arise in connection with your Award (the “</w:t>
      </w:r>
      <w:r>
        <w:rPr>
          <w:rFonts w:ascii="Times New Roman;sans-serif" w:hAnsi="Times New Roman;sans-serif"/>
          <w:b/>
          <w:i/>
          <w:color w:val="000000"/>
          <w:sz w:val="20"/>
        </w:rPr>
        <w:t>Withholding Taxes</w:t>
      </w:r>
      <w:r>
        <w:rPr>
          <w:color w:val="000000"/>
        </w:rPr>
        <w:t>”</w:t>
      </w:r>
      <w:r>
        <w:rPr>
          <w:rFonts w:ascii="Times New Roman;sans-serif" w:hAnsi="Times New Roman;sans-serif"/>
          <w:b w:val="false"/>
          <w:color w:val="000000"/>
          <w:sz w:val="20"/>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or an Affiliate; (ii) causing you to tender a cash payment; (iii) permitting or requiring you to enter into a “same day sale” commitment, if applicable, with a broker-dealer that is a member of the Financial Industry Regulatory Authority (a “</w:t>
      </w:r>
      <w:r>
        <w:rPr>
          <w:rFonts w:ascii="Times New Roman;sans-serif" w:hAnsi="Times New Roman;sans-serif"/>
          <w:b/>
          <w:i/>
          <w:color w:val="000000"/>
          <w:sz w:val="20"/>
        </w:rPr>
        <w:t>FINRA Dealer</w:t>
      </w:r>
      <w:r>
        <w:rPr>
          <w:color w:val="000000"/>
        </w:rPr>
        <w:t>”</w:t>
      </w:r>
      <w:r>
        <w:rPr>
          <w:rFonts w:ascii="Times New Roman;sans-serif" w:hAnsi="Times New Roman;sans-serif"/>
          <w:b w:val="false"/>
          <w:color w:val="000000"/>
          <w:sz w:val="20"/>
        </w:rPr>
        <w:t>) (pursuant to this authorization and without further consent)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 its Affiliates; or (iv) withholding shares of Common Stock from the shares of Common Stock issued or otherwise issuable to you in connection with the Award with a Fair Market Value (measured as of the date shares of Common Stock are issued to you pursuant to Section 6) equal to the amount of such Withholding Taxes; provided, however, that the number of such shares of Common Stock so withheld will not exceed the amount necessary to satisfy the Company’s required tax withholding obligations using the minimum statutory withholding rates for federal, state, local and, if applicable, foreign tax purposes, including payroll taxes, that are applicable to supplemental taxable income; and provided further, that to the extent necessary to qualify for an exemption from application of Section 16(b) of the Exchange Act, if applicable, such share withholding procedure will be subject to the express prior approval of the Company’s Compensation Committee. However, the Company does not guarantee that you will be able to satisfy the Withholding Taxes through any of the methods described in the preceding provisions and in all circumstances you remain responsible for timely and fully satisfying the Withholding Taxes.</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Unless the tax withholding obligations of the Company and any Affiliate are satisfied, the Company will have no obligation to deliver to you any Common Stock or other consideration pursuant to this Award.</w:t>
      </w:r>
    </w:p>
    <w:p>
      <w:pPr>
        <w:pStyle w:val="TextBody"/>
        <w:bidi w:val="0"/>
        <w:spacing w:lineRule="auto" w:line="240" w:before="0" w:after="240"/>
        <w:ind w:left="0" w:right="0" w:firstLine="1440"/>
        <w:jc w:val="both"/>
        <w:rPr/>
      </w:pPr>
      <w:r>
        <w:rPr>
          <w:rFonts w:ascii="Times New Roman;sans-serif" w:hAnsi="Times New Roman;sans-serif"/>
          <w:b/>
          <w:color w:val="000000"/>
          <w:sz w:val="20"/>
        </w:rPr>
        <w:t>(c)</w:t>
      </w:r>
      <w:r>
        <w:rPr>
          <w:rFonts w:ascii="Times New Roman;sans-serif" w:hAnsi="Times New Roman;sans-serif"/>
          <w:b w:val="false"/>
          <w:color w:val="000000"/>
          <w:sz w:val="20"/>
        </w:rPr>
        <w:t xml:space="preserve">In the event the Company’s obligation to withhold arises prior to the delivery to you of Common Stock or it is determined after the delivery of Common Stock to you that the amount of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withholding obligation was greater than the amount withheld by the Company, you agree to indemnify and hold the Company harmless from any failure by the Company to withhold the proper amount.</w:t>
      </w:r>
    </w:p>
    <w:p>
      <w:pPr>
        <w:pStyle w:val="TextBody"/>
        <w:bidi w:val="0"/>
        <w:spacing w:lineRule="auto" w:line="240" w:before="0" w:after="240"/>
        <w:ind w:left="0" w:right="0" w:firstLine="720"/>
        <w:jc w:val="both"/>
        <w:rPr/>
      </w:pPr>
      <w:r>
        <w:rPr>
          <w:rFonts w:ascii="Times New Roman;sans-serif" w:hAnsi="Times New Roman;sans-serif"/>
          <w:b/>
          <w:color w:val="000000"/>
          <w:sz w:val="20"/>
        </w:rPr>
        <w:t>12.</w:t>
      </w:r>
      <w:r>
        <w:rPr>
          <w:rFonts w:ascii="Times New Roman;sans-serif" w:hAnsi="Times New Roman;sans-serif"/>
          <w:b/>
          <w:color w:val="000000"/>
          <w:sz w:val="20"/>
        </w:rPr>
        <w:t>Tax Consequences</w:t>
      </w:r>
      <w:r>
        <w:rPr>
          <w:rFonts w:ascii="Times New Roman;sans-serif" w:hAnsi="Times New Roman;sans-serif"/>
          <w:b w:val="false"/>
          <w:color w:val="000000"/>
          <w:sz w:val="20"/>
        </w:rPr>
        <w:t>. The Company has no duty or obligation to minimize the tax consequences to you of this Award and will not be liable to you for any adverse tax consequences to you arising in connection with this Award. You are hereby advised to consult with your own personal tax, financial and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13.</w:t>
      </w:r>
      <w:r>
        <w:rPr>
          <w:rFonts w:ascii="Times New Roman;sans-serif" w:hAnsi="Times New Roman;sans-serif"/>
          <w:b/>
          <w:color w:val="000000"/>
          <w:sz w:val="20"/>
        </w:rPr>
        <w:t>Data Privacy</w:t>
      </w:r>
      <w:r>
        <w:rPr>
          <w:rFonts w:ascii="Times New Roman;sans-serif" w:hAnsi="Times New Roman;sans-serif"/>
          <w:b w:val="false"/>
          <w:color w:val="000000"/>
          <w:sz w:val="20"/>
        </w:rPr>
        <w:t>.</w:t>
      </w:r>
    </w:p>
    <w:p>
      <w:pPr>
        <w:pStyle w:val="TextBody"/>
        <w:bidi w:val="0"/>
        <w:spacing w:lineRule="auto" w:line="240" w:before="200" w:after="200"/>
        <w:ind w:left="0" w:right="0" w:firstLine="144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The following provisions shall apply to you if you reside in the EU or EEA.</w:t>
      </w:r>
    </w:p>
    <w:p>
      <w:pPr>
        <w:pStyle w:val="TextBody"/>
        <w:bidi w:val="0"/>
        <w:spacing w:lineRule="auto" w:line="240" w:before="200" w:after="200"/>
        <w:ind w:left="0" w:right="0" w:firstLine="1440"/>
        <w:jc w:val="both"/>
        <w:rPr>
          <w:rFonts w:ascii="Times New Roman;sans-serif" w:hAnsi="Times New Roman;sans-serif"/>
          <w:b w:val="false"/>
          <w:i/>
          <w:color w:val="000000"/>
          <w:sz w:val="20"/>
        </w:rPr>
      </w:pPr>
      <w:r>
        <w:rPr>
          <w:rFonts w:ascii="Times New Roman;sans-serif" w:hAnsi="Times New Roman;sans-serif"/>
          <w:b w:val="false"/>
          <w:i/>
          <w:color w:val="000000"/>
          <w:sz w:val="20"/>
        </w:rPr>
        <w:t>Data Collected and Purposes of Collection</w:t>
      </w:r>
    </w:p>
    <w:p>
      <w:pPr>
        <w:pStyle w:val="TextBody"/>
        <w:bidi w:val="0"/>
        <w:spacing w:lineRule="auto" w:line="240" w:before="200" w:after="200"/>
        <w:ind w:left="0" w:right="0" w:firstLine="1440"/>
        <w:jc w:val="both"/>
        <w:rPr/>
      </w:pPr>
      <w:r>
        <w:rPr>
          <w:rFonts w:ascii="Times New Roman;sans-serif" w:hAnsi="Times New Roman;sans-serif"/>
          <w:b w:val="false"/>
          <w:color w:val="000000"/>
          <w:sz w:val="20"/>
        </w:rPr>
        <w:t>You understands that the Company, acting as controller as well as your employer, may collect, to the extent permissible under applicable law, certain personal information about you, including name, home address and telephone number, information necessary to process payment of the Award (e.g., mailing address for a check payment or bank account wire transfer information), date of birth, social insurance number or other identification number, salary, nationality, job title, employment location, any capital shares or directorships held in the Company (but only where needed for legal or tax compliance), any other information necessary to process mandatory tax withholding and reporting, details of all Awards granted, canceled, vested, unvested or outstanding in your favor, and where applicable service termination date and reason for termination (e.g., for cause or other than for cause) (all such personal information is referred to as “</w:t>
      </w:r>
      <w:r>
        <w:rPr>
          <w:rFonts w:ascii="Times New Roman;sans-serif" w:hAnsi="Times New Roman;sans-serif"/>
          <w:b/>
          <w:i/>
          <w:color w:val="000000"/>
          <w:sz w:val="20"/>
        </w:rPr>
        <w:t>Data</w:t>
      </w:r>
      <w:r>
        <w:rPr>
          <w:color w:val="000000"/>
        </w:rPr>
        <w:t>”</w:t>
      </w:r>
      <w:r>
        <w:rPr>
          <w:rFonts w:ascii="Times New Roman;sans-serif" w:hAnsi="Times New Roman;sans-serif"/>
          <w:b w:val="false"/>
          <w:color w:val="000000"/>
          <w:sz w:val="20"/>
        </w:rPr>
        <w:t>). The Data is collected from you, your employer, and from the Company, for the exclusive purpose of implementing, administering and managing the Plan pursuant to the terms of this Award Agreement. The legal basis (that is, the legal justification) for processing the Data is to perform this Award Agreement. The Data must be provided in order for you to participate in the Plan and for the parties to this Award Agreement to perform their respective obligations thereunder. If you do not provide Data, you will not be able to participate in the Plan and become a party to this Award Agreement.</w:t>
      </w:r>
    </w:p>
    <w:p>
      <w:pPr>
        <w:pStyle w:val="TextBody"/>
        <w:bidi w:val="0"/>
        <w:spacing w:lineRule="auto" w:line="240" w:before="200" w:after="200"/>
        <w:ind w:left="0" w:right="0" w:firstLine="144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Transfers and Retention of Data</w:t>
      </w:r>
    </w:p>
    <w:p>
      <w:pPr>
        <w:pStyle w:val="TextBody"/>
        <w:bidi w:val="0"/>
        <w:spacing w:lineRule="auto" w:line="240" w:before="200" w:after="20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You understand that your employer will transfer Data to the Company for purposes of plan administration. The Company and your employer may also transfer your Data to other service providers (such as accounting firms, payroll processing firms or tax firms), as may be selected by the Company in the future, to assist the Company with the implementation, administration and management of this Award Agreement. You understand that the recipients of the Data may be located in the United States, a country that does not benefit from an adequacy decision issued by the European Commission. Where a recipient is located in a country that does not benefit from an adequacy decision, the transfer of the Data to that recipient will be made through the European Commission-approved standard contractual clauses. You understand that Data will be held only as long as is necessary to implement, administer and manage your rights and obligations under this Award Agreement, and for the duration of the relevant statutes of limitations, which may be longer than the term of this Award Agreement.</w:t>
      </w:r>
    </w:p>
    <w:p>
      <w:pPr>
        <w:pStyle w:val="TextBody"/>
        <w:bidi w:val="0"/>
        <w:spacing w:lineRule="auto" w:line="240" w:before="200" w:after="200"/>
        <w:ind w:left="0" w:right="0" w:firstLine="14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Participant’s Rights in Respect of Data</w:t>
      </w:r>
    </w:p>
    <w:p>
      <w:pPr>
        <w:pStyle w:val="TextBody"/>
        <w:bidi w:val="0"/>
        <w:spacing w:lineRule="auto" w:line="240" w:before="200" w:after="20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take steps in accordance with applicable legislation to keep Data accurate, complete and up-to-date. You are entitled to have any inadequate, incomplete or incorrect Data corrected (that is, rectified). You also have the right to request access to your Data as well as additional information about the processing of that Data. Further, you are entitled to object to the processing of Data or have your Data erased, under certain circumstances. As from 25 May 2018, and subject to conditions set forth in applicable law, you are entitled to (i) restrict the processing of your Data so that it is stored but not actively processed (e.g., while the Company assesses whether you are entitled to have Data erased) and (ii) receive a copy of the Data provided pursuant to this Award Agreement or generated by you, in a common machine-readable format. To exercise your rights, you may contact the local human resources representative. You may also contact the relevant data protection supervisory authority, as you have the right to lodge a complaint. The data protection officer may be contacted at privacy@mongodb.com.</w:t>
      </w:r>
    </w:p>
    <w:p>
      <w:pPr>
        <w:pStyle w:val="TextBody"/>
        <w:bidi w:val="0"/>
        <w:spacing w:lineRule="auto" w:line="240" w:before="200" w:after="200"/>
        <w:ind w:left="0" w:right="0" w:firstLine="144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The following provisions shall apply to you if you reside outside the US and EU/EEA.</w:t>
      </w:r>
    </w:p>
    <w:p>
      <w:pPr>
        <w:pStyle w:val="TextBody"/>
        <w:bidi w:val="0"/>
        <w:spacing w:lineRule="auto" w:line="240" w:before="200" w:after="20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hereby explicitly and unambiguously (i) acknowledge and (ii) to the extent required under applicable law, consent to, the collection, use and transfer, in electronic or other form, of your personal data as described in and necessary to perform this Award Agreement and any other Award grant materials, by and among,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200" w:after="200"/>
        <w:jc w:val="both"/>
        <w:rPr/>
      </w:pPr>
      <w:r>
        <w:rPr>
          <w:rFonts w:ascii="Times New Roman;sans-serif" w:hAnsi="Times New Roman;sans-serif"/>
          <w:b w:val="false"/>
          <w:color w:val="000000"/>
          <w:sz w:val="20"/>
        </w:rPr>
        <w:t>as applicable, the Company and its Affiliates for the exclusive purpose of implementing, administering and managing your participation in the Plan. You understand that to the extent not prohibited under applicable law, the Company and the Affiliate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vested, unvested or outstanding in your favor ("</w:t>
      </w:r>
      <w:r>
        <w:rPr>
          <w:rFonts w:ascii="Times New Roman;sans-serif" w:hAnsi="Times New Roman;sans-serif"/>
          <w:b/>
          <w:i/>
          <w:color w:val="000000"/>
          <w:sz w:val="20"/>
        </w:rPr>
        <w:t>Data</w:t>
      </w:r>
      <w:r>
        <w:rPr>
          <w:rFonts w:ascii="Times New Roman;sans-serif" w:hAnsi="Times New Roman;sans-serif"/>
          <w:b w:val="false"/>
          <w:color w:val="000000"/>
          <w:sz w:val="20"/>
        </w:rPr>
        <w:t>"), for the purpose of implementing, administering and managing the Plan. Certain Data may also constitute “sensitive personal data” within the meaning of applicable law. Such Data includes, but is not limited to, the information provided above and any changes thereto and other required personal and financial data about you. You hereby (i) acknowledge and (ii) to the extent required under applicable law, provide explicit consent to, the processing of any such Data by the Company and any Affiliate. You understand that Data will be transferred to such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data privacy laws and protections that are not considered adequate in your country. You understand that if you resides outside the United States, you may request in those countries where required to be disclosed under applicable law, a list with the names and addresses of any potential recipients of the Data by contacting your local human resources representative. You (i) acknowledge and (ii) to the extent required under applicable law, authorize the receipt, possession, use, retention and transfer of the Data, in electronic or other form, by the Company, any other possible recipients which may assist the Company with implementing, administering and managing the Plan, for the sole purposes of such implementation, administration and management. You understand that Data will be held only as long as is necessary to implement, administer and manage your participation in the Plan. You understand that if you reside outside the United States, you may, if required by applicable law, view Data, request additional information about the storage and processing of Data, require any necessary amendments to Data, or refuse or withdraw the consents herein insofar as such consents are required under applicable law, in any case without cost, by contacting in writing your local human resources representative. Further, you acknowledge that if you are providing consent(s) herein, you are doing so on a purely voluntary basis. Insofar as any consent is required under applicable law, and you either do not consent or later seek to revoke your consent, your employment status or service and career with the Company or Affiliate will not be adversely affected; the only adverse consequence of refusing or withdrawing your consent is that the Company will not be able to grant you options or other equity awards or administer or maintain such awards. Therefore, you understand that refusing or withdrawing your consent (insofar as consent is required under applicable law) may affect your ability to participate in the Plan, but will have no further detrimental implications for you. For more information on the consequences of your refusal to consent or withdrawal of consent in the event that consent is required under applicable law, you understand that you may contact the local human resources representative.</w:t>
      </w:r>
    </w:p>
    <w:p>
      <w:pPr>
        <w:pStyle w:val="TextBody"/>
        <w:bidi w:val="0"/>
        <w:spacing w:lineRule="auto" w:line="240" w:before="0" w:after="240"/>
        <w:ind w:left="0" w:right="0" w:firstLine="720"/>
        <w:jc w:val="both"/>
        <w:rPr/>
      </w:pPr>
      <w:r>
        <w:rPr>
          <w:rFonts w:ascii="Times New Roman;sans-serif" w:hAnsi="Times New Roman;sans-serif"/>
          <w:b/>
          <w:color w:val="000000"/>
          <w:sz w:val="20"/>
        </w:rPr>
        <w:t>14.</w:t>
      </w:r>
      <w:r>
        <w:rPr>
          <w:rFonts w:ascii="Times New Roman;sans-serif" w:hAnsi="Times New Roman;sans-serif"/>
          <w:b/>
          <w:color w:val="000000"/>
          <w:sz w:val="20"/>
        </w:rPr>
        <w:t>Unsecured Obligation</w:t>
      </w:r>
      <w:r>
        <w:rPr>
          <w:rFonts w:ascii="Times New Roman;sans-serif" w:hAnsi="Times New Roman;sans-serif"/>
          <w:b w:val="false"/>
          <w:color w:val="000000"/>
          <w:sz w:val="20"/>
        </w:rPr>
        <w:t>. Your Award is unfunded, and as a holder of a vested Award, you will be considered an unsecured creditor of the Company with respect to the Company’s obligation, if any, to issue shares or other property pursuant to this Award Agreement. You will not have voting or any other rights as a stockholder of the Company with respect to the shares to be issued pursuant to this Award Agreement until such shares are issued to you pursuant to Section 6 of this Award Agreement. Upon such issuance, you will obtain full voting and other rights as a stockholder of the Company. Nothing contained in this Award Agreement, and no action taken pursuant to its provisions, will create or be construed to create a trust of any kind or a fiduciary relationship between you and the Company or any other person.</w:t>
      </w:r>
    </w:p>
    <w:p>
      <w:pPr>
        <w:pStyle w:val="TextBody"/>
        <w:bidi w:val="0"/>
        <w:spacing w:lineRule="auto" w:line="240" w:before="0" w:after="240"/>
        <w:ind w:left="0" w:right="0" w:firstLine="720"/>
        <w:jc w:val="both"/>
        <w:rPr/>
      </w:pPr>
      <w:r>
        <w:rPr>
          <w:rFonts w:ascii="Times New Roman;sans-serif" w:hAnsi="Times New Roman;sans-serif"/>
          <w:b/>
          <w:color w:val="000000"/>
          <w:sz w:val="20"/>
        </w:rPr>
        <w:t>15.</w:t>
      </w:r>
      <w:r>
        <w:rPr>
          <w:rFonts w:ascii="Times New Roman;sans-serif" w:hAnsi="Times New Roman;sans-serif"/>
          <w:b/>
          <w:color w:val="000000"/>
          <w:sz w:val="20"/>
        </w:rPr>
        <w:t>Notices</w:t>
      </w:r>
      <w:r>
        <w:rPr>
          <w:rFonts w:ascii="Times New Roman;sans-serif" w:hAnsi="Times New Roman;sans-serif"/>
          <w:b w:val="false"/>
          <w:color w:val="000000"/>
          <w:sz w:val="20"/>
        </w:rPr>
        <w:t>. Any notice or request required or permitted hereunder will be given in writing to each of the other parties hereto and will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you at your address as on file with the Company at the time notice is given.</w:t>
      </w:r>
    </w:p>
    <w:p>
      <w:pPr>
        <w:pStyle w:val="TextBody"/>
        <w:bidi w:val="0"/>
        <w:spacing w:lineRule="auto" w:line="240" w:before="0" w:after="240"/>
        <w:ind w:left="0" w:right="0" w:firstLine="720"/>
        <w:jc w:val="both"/>
        <w:rPr/>
      </w:pPr>
      <w:r>
        <w:rPr>
          <w:rFonts w:ascii="Times New Roman;sans-serif" w:hAnsi="Times New Roman;sans-serif"/>
          <w:b/>
          <w:color w:val="000000"/>
          <w:sz w:val="20"/>
        </w:rPr>
        <w:t>16.</w:t>
      </w:r>
      <w:r>
        <w:rPr>
          <w:rFonts w:ascii="Times New Roman;sans-serif" w:hAnsi="Times New Roman;sans-serif"/>
          <w:b/>
          <w:color w:val="000000"/>
          <w:sz w:val="20"/>
        </w:rPr>
        <w:t>Headings</w:t>
      </w:r>
      <w:r>
        <w:rPr>
          <w:rFonts w:ascii="Times New Roman;sans-serif" w:hAnsi="Times New Roman;sans-serif"/>
          <w:b w:val="false"/>
          <w:color w:val="000000"/>
          <w:sz w:val="20"/>
        </w:rPr>
        <w:t>. The headings of the Sections in this Award Agreement are inserted for convenience only and will not be deemed to constitute a part of this Award Agreement or to affect the meaning of this Award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17.</w:t>
      </w:r>
      <w:r>
        <w:rPr>
          <w:rFonts w:ascii="Times New Roman;sans-serif" w:hAnsi="Times New Roman;sans-serif"/>
          <w:b/>
          <w:color w:val="000000"/>
          <w:sz w:val="20"/>
        </w:rPr>
        <w:t>Additional Acknowledgements</w:t>
      </w:r>
      <w:r>
        <w:rPr>
          <w:rFonts w:ascii="Times New Roman;sans-serif" w:hAnsi="Times New Roman;sans-serif"/>
          <w:b w:val="false"/>
          <w:color w:val="000000"/>
          <w:sz w:val="20"/>
        </w:rPr>
        <w:t>. You hereby consent and acknowledge that:</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 xml:space="preserve">Participation in the Plan is voluntary and therefore you must accept the terms and conditions of the Plan and this Award Agreement and Grant Notice as a condition to participating in the Plan and receipt of this Award. This Award and any other awards under the Plan are voluntary and occasional and do not create any contractual or other right to receive future awards or other benefits in lieu of future awards, even if similar awards have been granted repeatedly in the past. All determinations with respect to any such future awards,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including, but not limited to, the time or times when such awards are made, the size of such awards and performance and other conditions applied to the awards, will be at the sole discretion of the Company.</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w:t>
      </w:r>
    </w:p>
    <w:p>
      <w:pPr>
        <w:pStyle w:val="TextBody"/>
        <w:bidi w:val="0"/>
        <w:spacing w:lineRule="auto" w:line="240" w:before="0" w:after="240"/>
        <w:ind w:left="0" w:right="0" w:firstLine="1440"/>
        <w:jc w:val="both"/>
        <w:rPr/>
      </w:pPr>
      <w:r>
        <w:rPr>
          <w:rFonts w:ascii="Times New Roman;sans-serif" w:hAnsi="Times New Roman;sans-serif"/>
          <w:b/>
          <w:color w:val="000000"/>
          <w:sz w:val="20"/>
        </w:rPr>
        <w:t>(c)</w:t>
      </w:r>
      <w:r>
        <w:rPr>
          <w:rFonts w:ascii="Times New Roman;sans-serif" w:hAnsi="Times New Roman;sans-serif"/>
          <w:b w:val="false"/>
          <w:color w:val="000000"/>
          <w:sz w:val="20"/>
        </w:rPr>
        <w:t>The rights and obligations of the Company under your Award will be transferable by the Company to any one or more persons or entities, and all covenants and agreements hereunder will inure to the benefit of, and be enforceable by, the Company’s successors and assigns.</w:t>
      </w:r>
    </w:p>
    <w:p>
      <w:pPr>
        <w:pStyle w:val="TextBody"/>
        <w:bidi w:val="0"/>
        <w:spacing w:lineRule="auto" w:line="240" w:before="0" w:after="240"/>
        <w:ind w:left="0" w:right="0" w:firstLine="1440"/>
        <w:jc w:val="both"/>
        <w:rPr/>
      </w:pPr>
      <w:r>
        <w:rPr>
          <w:rFonts w:ascii="Times New Roman;sans-serif" w:hAnsi="Times New Roman;sans-serif"/>
          <w:b/>
          <w:color w:val="000000"/>
          <w:sz w:val="20"/>
        </w:rPr>
        <w:t>(d)</w:t>
      </w:r>
      <w:r>
        <w:rPr>
          <w:rFonts w:ascii="Times New Roman;sans-serif" w:hAnsi="Times New Roman;sans-serif"/>
          <w:b w:val="false"/>
          <w:color w:val="000000"/>
          <w:sz w:val="20"/>
        </w:rPr>
        <w:t>You agree upon request to execute any further documents or instruments necessary or desirable in the sole determination of the Company to carry out the purposes or intent of your Award.</w:t>
      </w:r>
    </w:p>
    <w:p>
      <w:pPr>
        <w:pStyle w:val="TextBody"/>
        <w:bidi w:val="0"/>
        <w:spacing w:lineRule="auto" w:line="240" w:before="0" w:after="240"/>
        <w:ind w:left="0" w:right="0" w:firstLine="1440"/>
        <w:jc w:val="both"/>
        <w:rPr/>
      </w:pPr>
      <w:r>
        <w:rPr>
          <w:rFonts w:ascii="Times New Roman;sans-serif" w:hAnsi="Times New Roman;sans-serif"/>
          <w:b/>
          <w:color w:val="000000"/>
          <w:sz w:val="20"/>
        </w:rPr>
        <w:t>(e)</w:t>
      </w:r>
      <w:r>
        <w:rPr>
          <w:rFonts w:ascii="Times New Roman;sans-serif" w:hAnsi="Times New Roman;sans-serif"/>
          <w:b w:val="false"/>
          <w:color w:val="000000"/>
          <w:sz w:val="20"/>
        </w:rPr>
        <w:t>You acknowledge and agree that you have reviewed your Award in its entirety, have had an opportunity to obtain the advice of counsel prior to executing and accepting your Award and fully understand all provisions of your Award.</w:t>
      </w:r>
    </w:p>
    <w:p>
      <w:pPr>
        <w:pStyle w:val="TextBody"/>
        <w:bidi w:val="0"/>
        <w:spacing w:lineRule="auto" w:line="240" w:before="0" w:after="240"/>
        <w:ind w:left="0" w:right="0" w:firstLine="1440"/>
        <w:jc w:val="both"/>
        <w:rPr/>
      </w:pPr>
      <w:r>
        <w:rPr>
          <w:rFonts w:ascii="Times New Roman;sans-serif" w:hAnsi="Times New Roman;sans-serif"/>
          <w:b/>
          <w:color w:val="000000"/>
          <w:sz w:val="20"/>
        </w:rPr>
        <w:t>(f)</w:t>
      </w:r>
      <w:r>
        <w:rPr>
          <w:rFonts w:ascii="Times New Roman;sans-serif" w:hAnsi="Times New Roman;sans-serif"/>
          <w:b w:val="false"/>
          <w:color w:val="000000"/>
          <w:sz w:val="20"/>
        </w:rPr>
        <w:t>This Award Agreement will be subject to all applicable laws, rules, and regulations, and to such approvals by any governmental agencies or national securities exchanges as may be required.</w:t>
      </w:r>
    </w:p>
    <w:p>
      <w:pPr>
        <w:pStyle w:val="TextBody"/>
        <w:bidi w:val="0"/>
        <w:spacing w:lineRule="auto" w:line="240" w:before="0" w:after="240"/>
        <w:ind w:left="0" w:right="0" w:firstLine="1440"/>
        <w:jc w:val="both"/>
        <w:rPr/>
      </w:pPr>
      <w:r>
        <w:rPr>
          <w:rFonts w:ascii="Times New Roman;sans-serif" w:hAnsi="Times New Roman;sans-serif"/>
          <w:b/>
          <w:color w:val="000000"/>
          <w:sz w:val="20"/>
        </w:rPr>
        <w:t>(g)</w:t>
      </w:r>
      <w:r>
        <w:rPr>
          <w:rFonts w:ascii="Times New Roman;sans-serif" w:hAnsi="Times New Roman;sans-serif"/>
          <w:b w:val="false"/>
          <w:color w:val="000000"/>
          <w:sz w:val="20"/>
        </w:rPr>
        <w:t>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w:t>
      </w:r>
    </w:p>
    <w:p>
      <w:pPr>
        <w:pStyle w:val="TextBody"/>
        <w:bidi w:val="0"/>
        <w:spacing w:lineRule="auto" w:line="240" w:before="0" w:after="240"/>
        <w:ind w:left="0" w:right="0" w:firstLine="720"/>
        <w:jc w:val="both"/>
        <w:rPr/>
      </w:pPr>
      <w:r>
        <w:rPr>
          <w:rFonts w:ascii="Times New Roman;sans-serif" w:hAnsi="Times New Roman;sans-serif"/>
          <w:b/>
          <w:color w:val="000000"/>
          <w:sz w:val="20"/>
        </w:rPr>
        <w:t>18.</w:t>
      </w:r>
      <w:r>
        <w:rPr>
          <w:rFonts w:ascii="Times New Roman;sans-serif" w:hAnsi="Times New Roman;sans-serif"/>
          <w:b/>
          <w:color w:val="000000"/>
          <w:sz w:val="20"/>
        </w:rPr>
        <w:t>Governing Plan Document</w:t>
      </w:r>
      <w:r>
        <w:rPr>
          <w:rFonts w:ascii="Times New Roman;sans-serif" w:hAnsi="Times New Roman;sans-serif"/>
          <w:b w:val="false"/>
          <w:color w:val="000000"/>
          <w:sz w:val="20"/>
        </w:rPr>
        <w:t>.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pStyle w:val="TextBody"/>
        <w:bidi w:val="0"/>
        <w:spacing w:lineRule="auto" w:line="240" w:before="0" w:after="240"/>
        <w:ind w:left="0" w:right="0" w:firstLine="720"/>
        <w:jc w:val="both"/>
        <w:rPr/>
      </w:pPr>
      <w:r>
        <w:rPr>
          <w:rFonts w:ascii="Times New Roman;sans-serif" w:hAnsi="Times New Roman;sans-serif"/>
          <w:b/>
          <w:color w:val="000000"/>
          <w:sz w:val="20"/>
        </w:rPr>
        <w:t>19.</w:t>
      </w:r>
      <w:r>
        <w:rPr>
          <w:rFonts w:ascii="Times New Roman;sans-serif" w:hAnsi="Times New Roman;sans-serif"/>
          <w:b/>
          <w:color w:val="000000"/>
          <w:sz w:val="20"/>
        </w:rPr>
        <w:t>Effect on Other Employee Benefit Plans</w:t>
      </w:r>
      <w:r>
        <w:rPr>
          <w:rFonts w:ascii="Times New Roman;sans-serif" w:hAnsi="Times New Roman;sans-serif"/>
          <w:b w:val="false"/>
          <w:color w:val="000000"/>
          <w:sz w:val="20"/>
        </w:rPr>
        <w:t>. The value of the Award subject to this Award Agreement will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pStyle w:val="TextBody"/>
        <w:bidi w:val="0"/>
        <w:spacing w:lineRule="auto" w:line="240" w:before="0" w:after="240"/>
        <w:ind w:left="0" w:right="0" w:firstLine="720"/>
        <w:jc w:val="both"/>
        <w:rPr/>
      </w:pPr>
      <w:r>
        <w:rPr>
          <w:rFonts w:ascii="Times New Roman;sans-serif" w:hAnsi="Times New Roman;sans-serif"/>
          <w:b/>
          <w:color w:val="000000"/>
          <w:sz w:val="20"/>
        </w:rPr>
        <w:t>20.</w:t>
      </w:r>
      <w:r>
        <w:rPr>
          <w:rFonts w:ascii="Times New Roman;sans-serif" w:hAnsi="Times New Roman;sans-serif"/>
          <w:b/>
          <w:color w:val="000000"/>
          <w:sz w:val="20"/>
        </w:rPr>
        <w:t>Choice of Law</w:t>
      </w:r>
      <w:r>
        <w:rPr>
          <w:rFonts w:ascii="Times New Roman;sans-serif" w:hAnsi="Times New Roman;sans-serif"/>
          <w:b w:val="false"/>
          <w:color w:val="000000"/>
          <w:sz w:val="20"/>
        </w:rPr>
        <w:t>. The interpretation, performance and enforcement of this Award Agreement will be governed by the law of the State of Delaware without regard to that state’s conflicts of laws rules.</w:t>
      </w:r>
    </w:p>
    <w:p>
      <w:pPr>
        <w:pStyle w:val="TextBody"/>
        <w:bidi w:val="0"/>
        <w:spacing w:lineRule="auto" w:line="240" w:before="0" w:after="240"/>
        <w:ind w:left="0" w:right="0" w:firstLine="720"/>
        <w:jc w:val="both"/>
        <w:rPr/>
      </w:pPr>
      <w:r>
        <w:rPr>
          <w:rFonts w:ascii="Times New Roman;sans-serif" w:hAnsi="Times New Roman;sans-serif"/>
          <w:b/>
          <w:color w:val="000000"/>
          <w:sz w:val="20"/>
        </w:rPr>
        <w:t>21.</w:t>
      </w:r>
      <w:r>
        <w:rPr>
          <w:rFonts w:ascii="Times New Roman;sans-serif" w:hAnsi="Times New Roman;sans-serif"/>
          <w:b/>
          <w:color w:val="000000"/>
          <w:sz w:val="20"/>
        </w:rPr>
        <w:t>Severability</w:t>
      </w:r>
      <w:r>
        <w:rPr>
          <w:rFonts w:ascii="Times New Roman;sans-serif" w:hAnsi="Times New Roman;sans-serif"/>
          <w:b w:val="false"/>
          <w:color w:val="000000"/>
          <w:sz w:val="20"/>
        </w:rPr>
        <w:t>. If all or any part of this Award Agreement or the Plan is declared by any court or governmental authority to be unlawful or invalid, 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lineRule="auto" w:line="240" w:before="0" w:after="240"/>
        <w:ind w:left="0" w:right="0" w:firstLine="720"/>
        <w:jc w:val="both"/>
        <w:rPr/>
      </w:pPr>
      <w:r>
        <w:rPr>
          <w:rFonts w:ascii="Times New Roman;sans-serif" w:hAnsi="Times New Roman;sans-serif"/>
          <w:b/>
          <w:color w:val="000000"/>
          <w:sz w:val="20"/>
        </w:rPr>
        <w:t>22.</w:t>
      </w:r>
      <w:r>
        <w:rPr>
          <w:rFonts w:ascii="Times New Roman;sans-serif" w:hAnsi="Times New Roman;sans-serif"/>
          <w:b/>
          <w:color w:val="000000"/>
          <w:sz w:val="20"/>
        </w:rPr>
        <w:t>Other Documents</w:t>
      </w:r>
      <w:r>
        <w:rPr>
          <w:rFonts w:ascii="Times New Roman;sans-serif" w:hAnsi="Times New Roman;sans-serif"/>
          <w:b w:val="false"/>
          <w:color w:val="000000"/>
          <w:sz w:val="20"/>
        </w:rPr>
        <w:t>. You hereby acknowledge receipt of and the right to receive a document providing the information required by Rule 428(b)(1) promulgated under the Securities Act, which includes the Plan prospectus. In addition, you acknowledge receipt of the Company’s insider trading policy permitting directors and employees to sell shares only during certain “window” periods, in effect from time to time.</w:t>
      </w:r>
    </w:p>
    <w:p>
      <w:pPr>
        <w:pStyle w:val="TextBody"/>
        <w:bidi w:val="0"/>
        <w:spacing w:lineRule="auto" w:line="240" w:before="0" w:after="240"/>
        <w:ind w:left="0" w:right="0" w:firstLine="720"/>
        <w:jc w:val="both"/>
        <w:rPr/>
      </w:pPr>
      <w:r>
        <w:rPr>
          <w:rFonts w:ascii="Times New Roman;sans-serif" w:hAnsi="Times New Roman;sans-serif"/>
          <w:b/>
          <w:color w:val="000000"/>
          <w:sz w:val="20"/>
        </w:rPr>
        <w:t>23.</w:t>
      </w:r>
      <w:r>
        <w:rPr>
          <w:rFonts w:ascii="Times New Roman;sans-serif" w:hAnsi="Times New Roman;sans-serif"/>
          <w:b/>
          <w:color w:val="000000"/>
          <w:sz w:val="20"/>
        </w:rPr>
        <w:t>Amendment</w:t>
      </w:r>
      <w:r>
        <w:rPr>
          <w:rFonts w:ascii="Times New Roman;sans-serif" w:hAnsi="Times New Roman;sans-serif"/>
          <w:b w:val="false"/>
          <w:color w:val="000000"/>
          <w:sz w:val="20"/>
        </w:rPr>
        <w:t xml:space="preserve">. This Award Agreement may not be modified, amended or terminated except by an instrument in writing, signed by you and by a duly authorized representative of the Company. Notwithstanding the foregoing, this Award Agreement may be amended solely by the Board by a writing which specifically states that it is amending this Award Agreement, so long as a copy of such amendment is delivered to you, and provided that, except as otherwise expressly provided in the Plan, no such amendment materially adversely affecting your rights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hereunder may be made without your written consent. Without limiting the foregoing, the Board reserves the right to change, by written notice to you, the provisions of this Award Agreement in any way it may deem necessary or advisable to carry out the purpose of the Award as a result of any change in applicable laws or regulations or any future law, regulation, ruling, or judicial decision, provided that any such change will be applicable only to rights relating to that portion of the Award which is then subject to restrictions as provided herein.</w:t>
      </w:r>
    </w:p>
    <w:p>
      <w:pPr>
        <w:pStyle w:val="TextBody"/>
        <w:bidi w:val="0"/>
        <w:spacing w:lineRule="auto" w:line="240" w:before="0" w:after="240"/>
        <w:ind w:left="0" w:right="0" w:firstLine="720"/>
        <w:jc w:val="both"/>
        <w:rPr/>
      </w:pPr>
      <w:r>
        <w:rPr>
          <w:rFonts w:ascii="Times New Roman;sans-serif" w:hAnsi="Times New Roman;sans-serif"/>
          <w:b/>
          <w:color w:val="000000"/>
          <w:sz w:val="20"/>
        </w:rPr>
        <w:t>24.</w:t>
      </w:r>
      <w:r>
        <w:rPr>
          <w:rFonts w:ascii="Times New Roman;sans-serif" w:hAnsi="Times New Roman;sans-serif"/>
          <w:b/>
          <w:color w:val="000000"/>
          <w:sz w:val="20"/>
        </w:rPr>
        <w:t>Compliance with Section 409A of the Code</w:t>
      </w:r>
      <w:r>
        <w:rPr>
          <w:rFonts w:ascii="Times New Roman;sans-serif" w:hAnsi="Times New Roman;sans-serif"/>
          <w:b w:val="false"/>
          <w:color w:val="000000"/>
          <w:sz w:val="20"/>
        </w:rPr>
        <w:t>. This Award is intended to comply with the “short-term deferral” rule set forth in Treasury Regulation Section 1.409A-1(b)(4). Notwithstanding the foregoing, if it is determined that the Award fails to satisfy the requirements of the short-term deferral rule and is otherwise deferred compensation subject to Section 409A, and if you are a “</w:t>
      </w:r>
      <w:r>
        <w:rPr>
          <w:rFonts w:ascii="Times New Roman;sans-serif" w:hAnsi="Times New Roman;sans-serif"/>
          <w:b/>
          <w:i/>
          <w:color w:val="000000"/>
          <w:sz w:val="20"/>
        </w:rPr>
        <w:t>Specified Employee</w:t>
      </w:r>
      <w:r>
        <w:rPr>
          <w:color w:val="000000"/>
        </w:rPr>
        <w:t xml:space="preserve">” </w:t>
      </w:r>
      <w:r>
        <w:rPr>
          <w:rFonts w:ascii="Times New Roman;sans-serif" w:hAnsi="Times New Roman;sans-serif"/>
          <w:b w:val="false"/>
          <w:color w:val="000000"/>
          <w:sz w:val="20"/>
        </w:rPr>
        <w:t>(within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earlier of: (i) the fifth business day following your death, or (ii)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pStyle w:val="TextBody"/>
        <w:bidi w:val="0"/>
        <w:spacing w:lineRule="auto" w:line="240" w:before="0" w:after="240"/>
        <w:ind w:left="0" w:right="0" w:firstLine="720"/>
        <w:jc w:val="both"/>
        <w:rPr/>
      </w:pPr>
      <w:r>
        <w:rPr>
          <w:rFonts w:ascii="Times New Roman;sans-serif" w:hAnsi="Times New Roman;sans-serif"/>
          <w:b/>
          <w:color w:val="000000"/>
          <w:sz w:val="20"/>
        </w:rPr>
        <w:t>25.</w:t>
      </w:r>
      <w:r>
        <w:rPr>
          <w:rFonts w:ascii="Times New Roman;sans-serif" w:hAnsi="Times New Roman;sans-serif"/>
          <w:b/>
          <w:color w:val="000000"/>
          <w:sz w:val="20"/>
        </w:rPr>
        <w:t>No Advice Regarding Grant</w:t>
      </w:r>
      <w:r>
        <w:rPr>
          <w:rFonts w:ascii="Times New Roman;sans-serif" w:hAnsi="Times New Roman;sans-serif"/>
          <w:b w:val="false"/>
          <w:color w:val="000000"/>
          <w:sz w:val="20"/>
        </w:rPr>
        <w:t>. The Company is not providing any tax, legal or financial advice, nor is the Company making any recommendations regarding your participation in the Plan, or your acquisition or sale of the underlying shares of stock. You are hereby advised to consult with your own personal tax, legal and financial advisors regarding your participation in the Plan before taking any action related to the Plan.</w:t>
      </w:r>
    </w:p>
    <w:p>
      <w:pPr>
        <w:pStyle w:val="TextBody"/>
        <w:bidi w:val="0"/>
        <w:spacing w:lineRule="auto" w:line="240" w:before="0" w:after="240"/>
        <w:ind w:left="0" w:right="0" w:firstLine="720"/>
        <w:jc w:val="both"/>
        <w:rPr/>
      </w:pPr>
      <w:r>
        <w:rPr>
          <w:rFonts w:ascii="Times New Roman;sans-serif" w:hAnsi="Times New Roman;sans-serif"/>
          <w:b/>
          <w:color w:val="000000"/>
          <w:sz w:val="20"/>
        </w:rPr>
        <w:t>26.</w:t>
      </w:r>
      <w:r>
        <w:rPr>
          <w:rFonts w:ascii="Times New Roman;sans-serif" w:hAnsi="Times New Roman;sans-serif"/>
          <w:b/>
          <w:color w:val="000000"/>
          <w:sz w:val="20"/>
        </w:rPr>
        <w:t>Electronic Delivery and Acceptance</w:t>
      </w:r>
      <w:r>
        <w:rPr>
          <w:rFonts w:ascii="Times New Roman;sans-serif" w:hAnsi="Times New Roman;sans-serif"/>
          <w:b w:val="false"/>
          <w:color w:val="000000"/>
          <w:sz w:val="20"/>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and that such online or electronic participation shall have the same force and effect as documentation executed in written form.</w:t>
      </w:r>
    </w:p>
    <w:p>
      <w:pPr>
        <w:pStyle w:val="TextBody"/>
        <w:bidi w:val="0"/>
        <w:spacing w:lineRule="auto" w:line="240" w:before="0" w:after="240"/>
        <w:ind w:left="0" w:right="0" w:firstLine="720"/>
        <w:jc w:val="both"/>
        <w:rPr/>
      </w:pPr>
      <w:r>
        <w:rPr>
          <w:rFonts w:ascii="Times New Roman;sans-serif" w:hAnsi="Times New Roman;sans-serif"/>
          <w:b/>
          <w:color w:val="000000"/>
          <w:sz w:val="20"/>
        </w:rPr>
        <w:t>27.</w:t>
      </w:r>
      <w:r>
        <w:rPr>
          <w:rFonts w:ascii="Times New Roman;sans-serif" w:hAnsi="Times New Roman;sans-serif"/>
          <w:b/>
          <w:color w:val="000000"/>
          <w:sz w:val="20"/>
        </w:rPr>
        <w:t>Language</w:t>
      </w:r>
      <w:r>
        <w:rPr>
          <w:rFonts w:ascii="Times New Roman;sans-serif" w:hAnsi="Times New Roman;sans-serif"/>
          <w:b w:val="false"/>
          <w:color w:val="000000"/>
          <w:sz w:val="20"/>
        </w:rPr>
        <w:t>. If you have received this Award Agreement, or any other document related to the Award and/or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720"/>
        <w:jc w:val="both"/>
        <w:rPr/>
      </w:pPr>
      <w:r>
        <w:rPr>
          <w:rFonts w:ascii="Times New Roman;sans-serif" w:hAnsi="Times New Roman;sans-serif"/>
          <w:b/>
          <w:color w:val="000000"/>
          <w:sz w:val="20"/>
        </w:rPr>
        <w:t>28.</w:t>
      </w:r>
      <w:r>
        <w:rPr>
          <w:rFonts w:ascii="Times New Roman;sans-serif" w:hAnsi="Times New Roman;sans-serif"/>
          <w:b/>
          <w:color w:val="000000"/>
          <w:sz w:val="20"/>
        </w:rPr>
        <w:t>Country Appendix</w:t>
      </w:r>
      <w:r>
        <w:rPr>
          <w:rFonts w:ascii="Times New Roman;sans-serif" w:hAnsi="Times New Roman;sans-serif"/>
          <w:b w:val="false"/>
          <w:color w:val="000000"/>
          <w:sz w:val="20"/>
        </w:rPr>
        <w:t>. Notwithstanding any provisions in this Award Agreement, the Award grant shall be subject to any special terms and conditions set forth in the Appendix to this Award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Award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29.</w:t>
      </w:r>
      <w:r>
        <w:rPr>
          <w:rFonts w:ascii="Times New Roman;sans-serif" w:hAnsi="Times New Roman;sans-serif"/>
          <w:b/>
          <w:color w:val="000000"/>
          <w:sz w:val="20"/>
        </w:rPr>
        <w:t>Imposition of Other Requirements</w:t>
      </w:r>
      <w:r>
        <w:rPr>
          <w:rFonts w:ascii="Times New Roman;sans-serif" w:hAnsi="Times New Roman;sans-serif"/>
          <w:b w:val="false"/>
          <w:color w:val="000000"/>
          <w:sz w:val="20"/>
        </w:rPr>
        <w:t>. The Company reserves the right to impose other requirements on your participation in the Plan, on the Award and on any shares of stock acquired upon vesting of the Award,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 * * *</w:t>
      </w:r>
    </w:p>
    <w:p>
      <w:pPr>
        <w:pStyle w:val="TextBody"/>
        <w:bidi w:val="0"/>
        <w:spacing w:lineRule="auto" w:line="240"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Award Agreement will be deemed to be signed by the Company and the Participant upon the signing or electronic acceptance by the Participant of the Performance-Based Restricted Stock Unit Grant Notice to which it is attached.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APPENDIX A</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MONGODB, INC.</w:t>
        <w:br/>
        <w:t>2016 EQUITY INCENTIVE PLAN</w:t>
        <w:br/>
        <w:t>AWARD AGREEMENT</w:t>
        <w:br/>
        <w:t>(RESTRICTED STOCK UNITS)</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This Appendix includes additional terms and conditions that govern the Award granted to you under the Plan if you reside in one of the countries listed below. Capitalized terms used but not defined in this Appendix have the meanings set forth in the Plan and/or the Award Agreement.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This Appendix also includes information regarding securities, exchange controls and certain other issues of which you should be aware with respect to participation in the Plan. Such laws are often complex and change frequently. As a result, the Company strongly recommends that you not rely on the information in this Appendix as the only source of information relating to the consequences of participation in the Plan because the information may be out of date at the time that the Award vests or you sell shares acquired under the Plan. In addition, the information contained herein is general in nature and may not apply to your particular situation and the Company is not in a position to assure a particular result. Accordingly, you are advised to seek appropriate professional advice as to how the relevant laws in your country may apply to your situation. Finally, if you are a citizen or resident of a country other than the one in which you are currently working, the information contained herein may not be applicable to you.</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ARGENTINA</w:t>
      </w:r>
    </w:p>
    <w:p>
      <w:pPr>
        <w:pStyle w:val="TextBody"/>
        <w:bidi w:val="0"/>
        <w:spacing w:lineRule="auto" w:line="240" w:before="200" w:after="200"/>
        <w:jc w:val="both"/>
        <w:rPr>
          <w:rFonts w:ascii="Times New Roman;sans-serif" w:hAnsi="Times New Roman;sans-serif"/>
          <w:b/>
          <w:color w:val="000000"/>
          <w:sz w:val="20"/>
        </w:rPr>
      </w:pPr>
      <w:r>
        <w:rPr>
          <w:rFonts w:ascii="Times New Roman;sans-serif" w:hAnsi="Times New Roman;sans-serif"/>
          <w:b/>
          <w:color w:val="000000"/>
          <w:sz w:val="20"/>
        </w:rPr>
        <w:t>Notifications</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Law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You understand that neither the Awards nor the shares are publicly offered or listed on any stock exchange in Argentina. Therefore the offer of the Awards does not constitute a public offering as defined under Argentinian law. The offer is private and not subject to the supervision of any Argentinian governmental authority.</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Exchange Control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you transfer proceeds from the sale of shares and any cash dividends into Argentina, you may be subject to certain restrictions, including mandatory deposits. The Argentinian bank handling the transaction may request certain documentation in connection with the request to transfer sale proceeds into Argentina (e.g., evidence of the sale, proof of the source of the funds used to purchase the shares, etc.). You are solely responsible for complying with the exchange control rules that may apply to you in connection with your participation in the Plan and/or transfer of proceeds from the sale of shares or receipt of dividends acquired under the Plan into Argentina. Prior to transferring funds into or out of Argentina, you should consult your local bank and/or exchange control advisor to confirm what will be required by the bank because interpretations of the applicable Central Bank regulations vary by bank and exchange control rules and regulations are subject to change without notice.</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Foreign Asset/Account Reporting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Argentinian residents must report any shares acquired under the Plan and held by the resident on December 31 of each year on their annual tax return for that year.</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AUSTRALIA</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Law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offering and resale of shares acquired under the Plan to a person or entity resident in Australia may be subject to disclosure requirements under Australian law. You should obtain legal advice regarding any applicable disclosure requirements prior to making any such offer.</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Offer of Stock Awards</w:t>
      </w:r>
    </w:p>
    <w:p>
      <w:pPr>
        <w:pStyle w:val="TextBody"/>
        <w:bidi w:val="0"/>
        <w:spacing w:lineRule="auto" w:line="240" w:before="200" w:after="200"/>
        <w:jc w:val="both"/>
        <w:rPr/>
      </w:pPr>
      <w:r>
        <w:rPr>
          <w:rFonts w:ascii="Times New Roman;sans-serif" w:hAnsi="Times New Roman;sans-serif"/>
          <w:b w:val="false"/>
          <w:color w:val="000000"/>
          <w:sz w:val="20"/>
        </w:rPr>
        <w:t>The Board, in its absolute discretion, may make a written offer to an eligible person who is an Australian Resident (each such offeree being referred to in this Appendix A as a “</w:t>
      </w:r>
      <w:r>
        <w:rPr>
          <w:rFonts w:ascii="Times New Roman;sans-serif" w:hAnsi="Times New Roman;sans-serif"/>
          <w:b/>
          <w:i/>
          <w:color w:val="000000"/>
          <w:sz w:val="20"/>
        </w:rPr>
        <w:t>Participant</w:t>
      </w:r>
      <w:r>
        <w:rPr>
          <w:color w:val="000000"/>
        </w:rPr>
        <w:t>”</w:t>
      </w:r>
      <w:r>
        <w:rPr>
          <w:rFonts w:ascii="Times New Roman;sans-serif" w:hAnsi="Times New Roman;sans-serif"/>
          <w:b w:val="false"/>
          <w:color w:val="000000"/>
          <w:sz w:val="20"/>
        </w:rPr>
        <w:t>) it chooses to accept an Award.</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offer shall specify the maximum number of shares subject to an Award which you may accept, the Date of Grant, the Expiration Date, the vesting conditions (if any), any applicable holding period and any disposal restrictions attaching to the Award or the resultant Common Stock (all of which may be set by the Board in its absolute discretion).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offer is intended to receive tax deferred treatment under Subdivision 83A-C of the Income Tax Assessment Act 1997(Cth). The conditions to receive such treatment are contained in this Appendix A.</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offer shall be accompanied by an acceptance form and a copy of the Plan and this Appendix A or, alternatively, details on how you may obtain a copy of the Plan and this Appendix A.</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Grant of Awards</w:t>
      </w:r>
    </w:p>
    <w:p>
      <w:pPr>
        <w:pStyle w:val="TextBody"/>
        <w:bidi w:val="0"/>
        <w:spacing w:lineRule="auto" w:line="240" w:before="200" w:after="200"/>
        <w:jc w:val="both"/>
        <w:rPr/>
      </w:pPr>
      <w:r>
        <w:rPr>
          <w:rFonts w:ascii="Times New Roman;sans-serif" w:hAnsi="Times New Roman;sans-serif"/>
          <w:b w:val="false"/>
          <w:color w:val="000000"/>
          <w:sz w:val="20"/>
        </w:rPr>
        <w:t>If you validly accept the Board’s offer of an Award, the Board must grant you an Award for the number of shares for which the Award was accepted. However, the Board must not do so if you have ceased to be an eligible person at the date when the Award is to be granted or the Company is otherwise prohibited from doing so under the Corporations Act 2001(Cth) (the “</w:t>
      </w:r>
      <w:r>
        <w:rPr>
          <w:rFonts w:ascii="Times New Roman;sans-serif" w:hAnsi="Times New Roman;sans-serif"/>
          <w:b/>
          <w:i/>
          <w:color w:val="000000"/>
          <w:sz w:val="20"/>
        </w:rPr>
        <w:t>Corporations Act</w:t>
      </w:r>
      <w:r>
        <w:rPr>
          <w:color w:val="000000"/>
        </w:rPr>
        <w:t>”</w:t>
      </w:r>
      <w:r>
        <w:rPr>
          <w:rFonts w:ascii="Times New Roman;sans-serif" w:hAnsi="Times New Roman;sans-serif"/>
          <w:b w:val="false"/>
          <w:color w:val="000000"/>
          <w:sz w:val="20"/>
        </w:rPr>
        <w:t>) without a disclosure document, product disclosure statement or similar document.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must provide an Award Agreement in respect of the Award granted to the Participant to be executed by the Participant as soon as practicable after the date of grant.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Awards granted to Participants under this Appendix A that are Options must not have an Expiration Date exceeding fifteen (15) years from the Date of Grant.</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Tax Deferred Treatment</w:t>
      </w:r>
    </w:p>
    <w:p>
      <w:pPr>
        <w:pStyle w:val="TextBody"/>
        <w:bidi w:val="0"/>
        <w:spacing w:lineRule="auto" w:line="240" w:before="200" w:after="200"/>
        <w:jc w:val="both"/>
        <w:rPr/>
      </w:pPr>
      <w:r>
        <w:rPr>
          <w:rFonts w:ascii="Times New Roman;sans-serif" w:hAnsi="Times New Roman;sans-serif"/>
          <w:b w:val="false"/>
          <w:i/>
          <w:color w:val="000000"/>
          <w:sz w:val="20"/>
        </w:rPr>
        <w:t>Ordinary shares</w:t>
      </w:r>
      <w:r>
        <w:rPr>
          <w:rFonts w:ascii="Times New Roman;sans-serif" w:hAnsi="Times New Roman;sans-serif"/>
          <w:b w:val="false"/>
          <w:color w:val="000000"/>
          <w:sz w:val="20"/>
        </w:rPr>
        <w:t>. Awards issued to a Participant under this Appendix A must relate to ordinary shares. For the purpose of this Appendix A, ordinary shares shall be defined in accordance with its ordinary meaning under Australian law.</w:t>
      </w:r>
    </w:p>
    <w:p>
      <w:pPr>
        <w:pStyle w:val="TextBody"/>
        <w:bidi w:val="0"/>
        <w:spacing w:lineRule="auto" w:line="240" w:before="200" w:after="200"/>
        <w:jc w:val="both"/>
        <w:rPr/>
      </w:pPr>
      <w:r>
        <w:rPr>
          <w:rFonts w:ascii="Times New Roman;sans-serif" w:hAnsi="Times New Roman;sans-serif"/>
          <w:b w:val="false"/>
          <w:i/>
          <w:color w:val="000000"/>
          <w:sz w:val="20"/>
        </w:rPr>
        <w:t>Predominant business of the Company</w:t>
      </w:r>
      <w:r>
        <w:rPr>
          <w:rFonts w:ascii="Times New Roman;sans-serif" w:hAnsi="Times New Roman;sans-serif"/>
          <w:b w:val="false"/>
          <w:color w:val="000000"/>
          <w:sz w:val="20"/>
        </w:rPr>
        <w:t>. Awards must not be issued to Participants where those Awards relate to Restricted Stock Units or shares in a company that has a predominant business of the acquisition, sale or holding of shares, securities or other investments.</w:t>
      </w:r>
    </w:p>
    <w:p>
      <w:pPr>
        <w:pStyle w:val="TextBody"/>
        <w:bidi w:val="0"/>
        <w:spacing w:lineRule="auto" w:line="240" w:before="200" w:after="200"/>
        <w:jc w:val="both"/>
        <w:rPr/>
      </w:pPr>
      <w:r>
        <w:rPr>
          <w:rFonts w:ascii="Times New Roman;sans-serif" w:hAnsi="Times New Roman;sans-serif"/>
          <w:b w:val="false"/>
          <w:i/>
          <w:color w:val="000000"/>
          <w:sz w:val="20"/>
        </w:rPr>
        <w:t>Real risk of forfeiture</w:t>
      </w:r>
      <w:r>
        <w:rPr>
          <w:rFonts w:ascii="Times New Roman;sans-serif" w:hAnsi="Times New Roman;sans-serif"/>
          <w:b w:val="false"/>
          <w:color w:val="000000"/>
          <w:sz w:val="20"/>
        </w:rPr>
        <w:t>. Awards that are Restricted Stock Units issued to a Participant under this Appendix A must have a real risk of forfeiture, the Vesting conditions by which this risk is achieved is to be determined by the Board in its absolute discretion.</w:t>
      </w:r>
    </w:p>
    <w:p>
      <w:pPr>
        <w:pStyle w:val="TextBody"/>
        <w:bidi w:val="0"/>
        <w:spacing w:lineRule="auto" w:line="240" w:before="200" w:after="200"/>
        <w:jc w:val="both"/>
        <w:rPr/>
      </w:pPr>
      <w:r>
        <w:rPr>
          <w:rFonts w:ascii="Times New Roman;sans-serif" w:hAnsi="Times New Roman;sans-serif"/>
          <w:b w:val="false"/>
          <w:i/>
          <w:color w:val="000000"/>
          <w:sz w:val="20"/>
        </w:rPr>
        <w:t>10% limit on shareholding and voting power</w:t>
      </w:r>
      <w:r>
        <w:rPr>
          <w:rFonts w:ascii="Times New Roman;sans-serif" w:hAnsi="Times New Roman;sans-serif"/>
          <w:b w:val="false"/>
          <w:color w:val="000000"/>
          <w:sz w:val="20"/>
        </w:rPr>
        <w:t>. Immediately after you acquire the Awards, you must not: (i) hold a beneficial interest in more than 10% of the shares in the Company; or (ii) be in a position to cast, or control the casting of, more than 10% of the maximum number of votes that might be cast at a general meeting of the Company. For the purposes of these thresholds, Awards that are Restricted Stock Units are treated as if they have been exercised and converted into Common Stock.</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AUSTRIA</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participation in the Plan is exempt or excluded from the requirement to publish a prospectus under the EU Prospectus Directive as implemented in Austria.</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Consumer Protection Information</w:t>
      </w:r>
    </w:p>
    <w:p>
      <w:pPr>
        <w:pStyle w:val="TextBody"/>
        <w:bidi w:val="0"/>
        <w:spacing w:lineRule="auto" w:line="240" w:before="200" w:after="200"/>
        <w:jc w:val="both"/>
        <w:rPr/>
      </w:pPr>
      <w:r>
        <w:rPr>
          <w:rFonts w:ascii="Times New Roman;sans-serif" w:hAnsi="Times New Roman;sans-serif"/>
          <w:b w:val="false"/>
          <w:color w:val="000000"/>
          <w:sz w:val="20"/>
        </w:rPr>
        <w:t>You may be entitled to revoke the Award Agreement on the basis of the Austrian Consumer Protection Act (the “</w:t>
      </w:r>
      <w:r>
        <w:rPr>
          <w:rFonts w:ascii="Times New Roman;sans-serif" w:hAnsi="Times New Roman;sans-serif"/>
          <w:b/>
          <w:i/>
          <w:color w:val="000000"/>
          <w:sz w:val="20"/>
        </w:rPr>
        <w:t>Act</w:t>
      </w:r>
      <w:r>
        <w:rPr>
          <w:color w:val="000000"/>
        </w:rPr>
        <w:t>”</w:t>
      </w:r>
      <w:r>
        <w:rPr>
          <w:rFonts w:ascii="Times New Roman;sans-serif" w:hAnsi="Times New Roman;sans-serif"/>
          <w:b w:val="false"/>
          <w:color w:val="000000"/>
          <w:sz w:val="20"/>
        </w:rPr>
        <w:t>) under the conditions listed below, if the Act is considered to be applicable to this Award Agreement and the Plan:</w:t>
      </w:r>
    </w:p>
    <w:p>
      <w:pPr>
        <w:pStyle w:val="TextBody"/>
        <w:bidi w:val="0"/>
        <w:spacing w:lineRule="auto" w:line="240" w:before="200" w:after="2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(i)    The revocation must be made within one week after the acceptance of the Award Agreement.</w:t>
      </w:r>
    </w:p>
    <w:p>
      <w:pPr>
        <w:pStyle w:val="TextBody"/>
        <w:bidi w:val="0"/>
        <w:spacing w:lineRule="auto" w:line="240" w:before="200" w:after="2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(ii)    The revocation must be in written form to be valid. It is sufficient if you return the Award Agreement to the Company or the Company’s representative with language that can be understood as your refusal to conclude or honor the Award Agreement, provided the revocation is sent within the period discussed above.</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Exchange Control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you hold securities (including shares acquired under the Plan) or cash (including proceeds from the sale of shares and any cash dividends) outside of Austria (even if you hold them outside of Austria at a branch of an Austrian bank), you may be required to report certain information to the Austrian National Bank if certain thresholds are exceeded. You are encouraged to consult your personal legal or tax advisor to understand how these rules apply to your particular situation.</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BELGIUM</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grant of this Award under the Plan is exempt from the requirement to publish a prospectus under the EU Prospectus Directive as implemented in Belgium.</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Tax Withholding</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Your employer is generally required to withhold income taxes or social insurances, as applicable, for the grant of this Award under the Plan.</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BRAZIL</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Nature of Grant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provisions supplement Section 17 of this Award Agreement.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By accepting this Award, you acknowledge, understand and agree that (i) you are making an investment decision, (ii) you will be entitled to vest in this Award, and receive shares of Common Stock pursuant to this Award, only if the vesting conditions are met and any necessary services are rendered by you between the grant date and the vesting date(s), and (iii) the value of the underlying shares of Common Stock is not fixed and may increase or decrease without compensation to you.</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Compliance with Law</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By accepting this Award, you acknowledge, understand and agree to comply with applicable Brazilian laws and to pay any and all applicable taxes associated with the vesting and settlement of the Award, the receipt of any dividends, and the sale of shares of Common Stock acquired under the Plan.</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Exchange Control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resident or domiciled in Brazil, you will be required to submit an annual declaration of assets and rights held outside of Brazil, including any shares of Common Stock acquired under the Plan, to the Central Bank of Brazil if the aggregate value of such assets and rights equals or exceeds US$100,000. Foreign individuals holding Brazilian visas are considered Brazilian residents for purposes of this reporting requirement and must declare at least the assets held abroad that were acquired subsequent to the date of admittance as a resident of Brazil.</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Tax on Financial Transaction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you repatriate the proceeds from the sale of shares of Common Stock or receipt of any cash dividends and convert the funds into local currency, you may be subject to the Tax on Financial Transactions. It is your responsibility to pay any applicable Tax on Financial Transactions arising from participation in the Plan. You should consult with your personal tax advisor for additional details.</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BULGARIA</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Foreign Exchange Notice</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Foreign brokerage account balances in excess of BGN 50,000 on each December 31st must be reported to the Bulgarian National Bank by March 31st of the following calendar year. Moreover, for payments equal to or exceeding BGN 5,000, a statistical form must be submitted to the commercial bank handling the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grant of the Award is exempt from the requirement to publish a prospectus under current rules as implemented in Bulgaria.</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CANADA</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Data Privacy</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provision supplements Section 17 of the Award Agreement: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 Company to assist with the Plan to disclose and discuss the Plan with their respective advisors. You further authorize the Company and any Affiliates to record such information and to keep such information in your employee file.</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Language Consent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acknowledge that it is their express wish that the Award Agreement, as well as all documents, notices, and legal proceedings entered into, given or instituted pursuant hereto or relating directly or indirectly hereto, be drawn up in English.</w:t>
      </w:r>
    </w:p>
    <w:p>
      <w:pPr>
        <w:pStyle w:val="TextBody"/>
        <w:bidi w:val="0"/>
        <w:spacing w:lineRule="auto" w:line="240"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Consentement relatif à la langue utilisée</w:t>
      </w:r>
    </w:p>
    <w:p>
      <w:pPr>
        <w:pStyle w:val="TextBody"/>
        <w:bidi w:val="0"/>
        <w:spacing w:lineRule="auto" w:line="240"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Les parties reconnaissent avoir exigé que cette convention («Agreement») soit rédigée en anglais, ainsi que tous les documents, avis et procédures judiciaires, éxécutés, donnés ou intentés en vertu de, ou liés directement ou indirectement à la présente.</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Foreign Asset/Account Reporting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Canadian residents are required to report any foreign property (e.g., shares of stock acquired under the Plan and possibly unvested Restricted Stock Units) on form T1135 (Foreign Income Verification Statement) if the total cost of their foreign property exceeds C$100,000 at any time in the year, although the reporting requirements have been simplified if the cost is less than C$250,000. It is your responsibility to comply with these reporting obligations, and you should consult your own personal tax advisor in this regard.</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Share Settlement of Award</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in the Plan or this Award Agreement, Restricted Stock Units granted to Canadian Participants shall only be settled in shares of stock and shall not be settled in cash.</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DENMARK</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Disclosure</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participation in the Plan is exempt or excluded from the requirement to publish a prospectus under current rules as implemented in Denmark.</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Labor/Employment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IMPORTANT – STATEMENT UNDER SECTION 3(1) OF THE ACT ON STOCK OPTIONS</w:t>
      </w:r>
    </w:p>
    <w:p>
      <w:pPr>
        <w:pStyle w:val="TextBody"/>
        <w:bidi w:val="0"/>
        <w:spacing w:lineRule="auto" w:line="240" w:before="200" w:after="200"/>
        <w:jc w:val="both"/>
        <w:rPr/>
      </w:pPr>
      <w:r>
        <w:rPr>
          <w:rFonts w:ascii="Times New Roman;sans-serif" w:hAnsi="Times New Roman;sans-serif"/>
          <w:b w:val="false"/>
          <w:color w:val="000000"/>
          <w:sz w:val="20"/>
        </w:rPr>
        <w:t>Pursuant to Section 3(1) of the Act on Stock Options in employment relations (the "</w:t>
      </w:r>
      <w:r>
        <w:rPr>
          <w:rFonts w:ascii="Times New Roman;sans-serif" w:hAnsi="Times New Roman;sans-serif"/>
          <w:b/>
          <w:i/>
          <w:color w:val="000000"/>
          <w:sz w:val="20"/>
        </w:rPr>
        <w:t>Stock Option Act</w:t>
      </w:r>
      <w:r>
        <w:rPr>
          <w:rFonts w:ascii="Times New Roman;sans-serif" w:hAnsi="Times New Roman;sans-serif"/>
          <w:b w:val="false"/>
          <w:color w:val="000000"/>
          <w:sz w:val="20"/>
        </w:rPr>
        <w:t xml:space="preserve">"), you are entitled to receive information regarding the Plan in a separate written statement in Danish. </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full statement containing the information about your rights under the Plan and the Stock Option Act is attached as a separate written statement to this Award Agreement.</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Taxation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participation in the Plan is covered by the Danish Tax Assessment Act section 7P. The tax treatment is intended to be accordingly beneficial to the extent provided under law.</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FINLAND</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participation in the Plan is exempt or excluded from the requirement to publish a prospectus under the EU Prospectus Directive as implemented in Finland.</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FRANCE</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Awards Not Tax-Qualified</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Award is not intended to be a tax-qualified or tax-preferred award, including without limitation, under Sections L. 225-197-1 to L. 225-197-6 of the French Commercial Code. You are encouraged to consult with a personal tax advisor to understand the tax and social insurance implications of the Award.</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Tax Withholding</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from January 1, 2019, vesting of the Award will give rise to income tax withholding in France.</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participation in the Plan is exempt or excluded from the requirement to publish a prospectus under the EU Prospectus Directive as implemented in France.</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Foreign Asset/Account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You may hold shares of stock acquired upon vesting of the Award, any proceeds resulting from the sale of shares of stock or any dividends paid on such shares of stock outside of France, provided you declare all foreign bank and brokerage accounts (including any accounts that were opened or closed during the tax year) with your annual income tax return. Failure to complete this reporting may trigger penalties.</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GERMANY</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participation in the Plan is exempt or excluded from the requirement to publish a prospectus under the EU Prospectus Directive as implemented in Germany.</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Exchange Control Information</w:t>
      </w:r>
    </w:p>
    <w:p>
      <w:pPr>
        <w:pStyle w:val="TextBody"/>
        <w:bidi w:val="0"/>
        <w:spacing w:lineRule="auto" w:line="240" w:before="200" w:after="200"/>
        <w:jc w:val="both"/>
        <w:rPr/>
      </w:pPr>
      <w:r>
        <w:rPr>
          <w:rFonts w:ascii="Times New Roman;sans-serif" w:hAnsi="Times New Roman;sans-serif"/>
          <w:b w:val="false"/>
          <w:color w:val="000000"/>
          <w:sz w:val="20"/>
        </w:rPr>
        <w:t>Cross-border payments in excess of €12,500 must be reported monthly to the German Federal Bank (</w:t>
      </w:r>
      <w:r>
        <w:rPr>
          <w:rFonts w:ascii="Times New Roman;sans-serif" w:hAnsi="Times New Roman;sans-serif"/>
          <w:b w:val="false"/>
          <w:i/>
          <w:color w:val="000000"/>
          <w:sz w:val="20"/>
        </w:rPr>
        <w:t>Bundesbank</w:t>
      </w:r>
      <w:r>
        <w:rPr>
          <w:rFonts w:ascii="Times New Roman;sans-serif" w:hAnsi="Times New Roman;sans-serif"/>
          <w:b w:val="false"/>
          <w:color w:val="000000"/>
          <w:sz w:val="20"/>
        </w:rPr>
        <w:t>). In the event that you make or receive a payment in excess of this amount, you are required to report the payment to Bundesbank electronically using the “</w:t>
      </w:r>
      <w:r>
        <w:rPr>
          <w:rFonts w:ascii="Times New Roman;sans-serif" w:hAnsi="Times New Roman;sans-serif"/>
          <w:b/>
          <w:i/>
          <w:color w:val="000000"/>
          <w:sz w:val="20"/>
        </w:rPr>
        <w:t>General Statistics Reporting Portal</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Allgemeines Meldeportal Statistik</w:t>
      </w:r>
      <w:r>
        <w:rPr>
          <w:color w:val="000000"/>
        </w:rPr>
        <w:t>”</w:t>
      </w:r>
      <w:r>
        <w:rPr>
          <w:rFonts w:ascii="Times New Roman;sans-serif" w:hAnsi="Times New Roman;sans-serif"/>
          <w:b w:val="false"/>
          <w:color w:val="000000"/>
          <w:sz w:val="20"/>
        </w:rPr>
        <w:t>) available via Bundesbank’s website (www.bundesbank.de).</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HONG KONG</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Law Notice</w:t>
      </w:r>
    </w:p>
    <w:p>
      <w:pPr>
        <w:pStyle w:val="TextBody"/>
        <w:bidi w:val="0"/>
        <w:spacing w:lineRule="auto" w:line="240"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WARNING: The Award and the shares of stock covered by the option do not constitute a public offering of securities under Hong Kong law and are available only to employees of the Company or its Affiliates participating in the Plan. You should be aware that the contents of the Award Agreement have not been prepared in accordance with and are not intended to constitute a “prospectus” for a public offering of securities under the applicable securities legislation in Hong Kong. Nor have the documents been reviewed by any regulatory authority in Hong Kong. The option is intended only for your personal use and may not be distributed to any other person. You are advised to exercise caution in relation to the offer. If you are in any doubt about any of the contents of the Award Agreement, including this Appendix, or the Plan, you should obtain independent professional advice.</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Sale of Shares</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Any shares of stock received at vesting of the Award are accepted as a personal investment. In the event that any portion of this Award vests within six months of the grant date, you agree that you will not offer to the public or otherwise dispose of the shares of stock acquired prior to the six-month anniversary of the grant date.</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Occupational Retirement Schemes Ordinance Alert</w:t>
      </w:r>
    </w:p>
    <w:p>
      <w:pPr>
        <w:pStyle w:val="TextBody"/>
        <w:bidi w:val="0"/>
        <w:spacing w:lineRule="auto" w:line="240" w:before="200" w:after="200"/>
        <w:jc w:val="both"/>
        <w:rPr/>
      </w:pPr>
      <w:r>
        <w:rPr>
          <w:rFonts w:ascii="Times New Roman;sans-serif" w:hAnsi="Times New Roman;sans-serif"/>
          <w:b w:val="false"/>
          <w:color w:val="000000"/>
          <w:sz w:val="20"/>
        </w:rPr>
        <w:t>The Company specifically intends that neither the Award nor the Plan will be considered or deemed an occupational retirement scheme for purposes of the Occupational Retirement Schemes Ordinance (“</w:t>
      </w:r>
      <w:r>
        <w:rPr>
          <w:rFonts w:ascii="Times New Roman;sans-serif" w:hAnsi="Times New Roman;sans-serif"/>
          <w:b/>
          <w:i/>
          <w:color w:val="000000"/>
          <w:sz w:val="20"/>
        </w:rPr>
        <w:t>ORSO</w:t>
      </w:r>
      <w:r>
        <w:rPr>
          <w:color w:val="000000"/>
        </w:rPr>
        <w:t>”</w:t>
      </w:r>
      <w:r>
        <w:rPr>
          <w:rFonts w:ascii="Times New Roman;sans-serif" w:hAnsi="Times New Roman;sans-serif"/>
          <w:b w:val="false"/>
          <w:color w:val="000000"/>
          <w:sz w:val="20"/>
        </w:rPr>
        <w:t>).</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INDIA</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Exchange Control Information</w:t>
      </w:r>
    </w:p>
    <w:p>
      <w:pPr>
        <w:pStyle w:val="TextBody"/>
        <w:bidi w:val="0"/>
        <w:spacing w:lineRule="auto" w:line="240" w:before="200" w:after="200"/>
        <w:jc w:val="both"/>
        <w:rPr/>
      </w:pPr>
      <w:r>
        <w:rPr>
          <w:rFonts w:ascii="Times New Roman;sans-serif" w:hAnsi="Times New Roman;sans-serif"/>
          <w:b w:val="false"/>
          <w:color w:val="000000"/>
          <w:sz w:val="20"/>
        </w:rPr>
        <w:t>You must repatriate to India all funds resulting from the sale of shares of stock within 90 days and all proceeds from the receipt of any dividends within 180 days. You will receive a foreign inward remittance certificate (“</w:t>
      </w:r>
      <w:r>
        <w:rPr>
          <w:rFonts w:ascii="Times New Roman;sans-serif" w:hAnsi="Times New Roman;sans-serif"/>
          <w:b/>
          <w:i/>
          <w:color w:val="000000"/>
          <w:sz w:val="20"/>
        </w:rPr>
        <w:t>FIRC</w:t>
      </w:r>
      <w:r>
        <w:rPr>
          <w:color w:val="000000"/>
        </w:rPr>
        <w:t>”</w:t>
      </w:r>
      <w:r>
        <w:rPr>
          <w:rFonts w:ascii="Times New Roman;sans-serif" w:hAnsi="Times New Roman;sans-serif"/>
          <w:b w:val="false"/>
          <w:color w:val="000000"/>
          <w:sz w:val="20"/>
        </w:rPr>
        <w:t>) from the bank where you deposits the foreign currency. You should maintain the FIRC as evidence of the repatriation of funds in the event that the Reserve Bank of India or your employer requests proof of repatriation.</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Foreign Asset/Account Reporting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are required to declare in your annual tax return your foreign financial assets (including shares of stock) and any foreign bank accounts. You understand that it is your responsibility to comply with this reporting obligation and are advised to confer with a personal tax advisor in this regard. </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IRELAND</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Taxation: General</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tax and social security consequences of participating in the Plan are based on complex tax and social security laws, which may be subject to varying interpretations, and the application of such laws may depend, in large part, on the surrounding facts and circumstances. Therefore, we recommend that you consult with your own tax advisor regularly to determine the consequences of taking or not taking any action concerning their participation in the Plan and to determine how the tax, social security or other laws in Ireland (or elsewhere) apply to your specific situation.</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Tax Withholding</w:t>
      </w:r>
    </w:p>
    <w:p>
      <w:pPr>
        <w:pStyle w:val="TextBody"/>
        <w:bidi w:val="0"/>
        <w:spacing w:lineRule="auto" w:line="240" w:before="200" w:after="200"/>
        <w:jc w:val="both"/>
        <w:rPr/>
      </w:pPr>
      <w:r>
        <w:rPr>
          <w:rFonts w:ascii="Times New Roman;sans-serif" w:hAnsi="Times New Roman;sans-serif"/>
          <w:b w:val="false"/>
          <w:color w:val="000000"/>
          <w:sz w:val="20"/>
        </w:rPr>
        <w:t>The references in the Plan and in the Award Agreement, and in particular Clause 8(h) (Miscellaneous) of the Plan and Clauses 11 (Withholding Obligations) and 12 (Tax Consequences) of the Award Agreement, to “tax” or “taxes” includes any and all taxes, charges, levies and contributions in Ireland or elsewhere, to include, in particular, income tax (PAYE), Universal Social Charge (USC) and Pay Related Social Insurance (PRSI) (“</w:t>
      </w:r>
      <w:r>
        <w:rPr>
          <w:rFonts w:ascii="Times New Roman;sans-serif" w:hAnsi="Times New Roman;sans-serif"/>
          <w:b/>
          <w:i/>
          <w:color w:val="000000"/>
          <w:sz w:val="20"/>
        </w:rPr>
        <w:t>Taxes</w:t>
      </w:r>
      <w:r>
        <w:rPr>
          <w:color w:val="000000"/>
        </w:rPr>
        <w:t>”</w:t>
      </w:r>
      <w:r>
        <w:rPr>
          <w:rFonts w:ascii="Times New Roman;sans-serif" w:hAnsi="Times New Roman;sans-serif"/>
          <w:b w:val="false"/>
          <w:color w:val="000000"/>
          <w:sz w:val="20"/>
        </w:rPr>
        <w:t>).</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Tax indemnity</w:t>
      </w:r>
    </w:p>
    <w:p>
      <w:pPr>
        <w:pStyle w:val="TextBody"/>
        <w:bidi w:val="0"/>
        <w:spacing w:lineRule="auto" w:line="240" w:before="200" w:after="200"/>
        <w:jc w:val="both"/>
        <w:rPr/>
      </w:pPr>
      <w:r>
        <w:rPr>
          <w:rFonts w:ascii="Times New Roman;sans-serif" w:hAnsi="Times New Roman;sans-serif"/>
          <w:b w:val="false"/>
          <w:color w:val="000000"/>
          <w:sz w:val="20"/>
        </w:rPr>
        <w:t>The Participant shall be accountable for any Taxes, which are chargeable on any assessable income deriving from the grant, vesting of, or other dealing in Awards or Common Stock issued pursuant to an Award. The Company shall not become liable for any Taxes, as a result of your participation in the Plan. In respect of such assessable income, the Participant shall indemnify the Company and (at the direction of the Company) any Affiliate, which is or may be treated as the employer you in respect of the Taxes (the “</w:t>
      </w:r>
      <w:r>
        <w:rPr>
          <w:rFonts w:ascii="Times New Roman;sans-serif" w:hAnsi="Times New Roman;sans-serif"/>
          <w:b/>
          <w:i/>
          <w:color w:val="000000"/>
          <w:sz w:val="20"/>
        </w:rPr>
        <w:t>Tax Liabilities</w:t>
      </w:r>
      <w:r>
        <w:rPr>
          <w:color w:val="000000"/>
        </w:rPr>
        <w:t>”</w:t>
      </w:r>
      <w:r>
        <w:rPr>
          <w:rFonts w:ascii="Times New Roman;sans-serif" w:hAnsi="Times New Roman;sans-serif"/>
          <w:b w:val="false"/>
          <w:color w:val="000000"/>
          <w:sz w:val="20"/>
        </w:rPr>
        <w: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indemnity referred to in the preceding paragraph, where necessary, you shall make such arrangements, as the Company requires to meet the cost of the Tax Liabilities, including at the direction of the Company any of the following:</w:t>
      </w:r>
    </w:p>
    <w:p>
      <w:pPr>
        <w:pStyle w:val="TextBody"/>
        <w:bidi w:val="0"/>
        <w:spacing w:lineRule="auto" w:line="240" w:before="0" w:after="24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i.    making a cash payment of an appropriate amount to the relevant company whether by cheque, banker's draft or deduction from salary in time to enable the Company to remit such amount to the Irish Revenue Commissioners before the 14th day following the end of the month in which the event giving rise to the Tax Liabilities occurred; or</w:t>
      </w:r>
    </w:p>
    <w:p>
      <w:pPr>
        <w:pStyle w:val="TextBody"/>
        <w:bidi w:val="0"/>
        <w:spacing w:lineRule="auto" w:line="240" w:before="0" w:after="24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ii.    appointing the Company as agent and / or attorney for the sale of sufficient Common Stock, acquired pursuant to the grant, exercise, purchase, vesting or other dealing in Awards, or Common Stock issued pursuant to an Award to cover the Tax Liabilities and authorizing the payment to the relevant company of the appropriate amount (including all reasonable fees, commissions and expenses incurred by the relevant company in relation to such sale) out of the net proceeds of sale of the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Company Law - Notification Obligation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director, shadow director or secretary of any Irish subsidiary of the Company, you are required to notify the Irish subsidiary in writing within five or eight days, depending on the circumstances involved, if you hold an interest in, or receive or dispose of an interest in the Company (which includes Restricted Stock Units). This notification requirement also applies with respect to the interests of a person’s spouse, civil partner or children under the age of 18 (whose interests will be attributed to the director, shadow director or secretary). Where the shares or the stock options held amount to an interest in less than 1% of the nominal value of the Company’s issued voting share capital, or do not carry the right to vote at the Company’s general meetings, disclosure is not required. This exemption also applies to company secretaries.</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Law</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grant of the Award is exempt or excluded from the requirement to publish a prospectus under the EU Prospectus Directive as implemented in Ireland.</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Employment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You acknowledge that your terms of employment shall not be affected in any way by your participation of the Plan, which shall not form part of such terms (either expressly or impliedly). You acknowledge that your participation in the Plan shall be subject at all times to the rules of the Plan as may be amended from time to time (including, but not limited to, any claw back provisions). If on termination of your employment (whether lawfully, unlawfully, or in breach of contract) you lose any rights or benefits under the Plan (including any rights or benefits which you would not have lost had your employment not been terminated), you hereby acknowledge that you shall be entitled to (and hereby waive) any compensation for the loss of any rights or benefits under the Plan, or any replacement or successor plan.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Plan is entirely discretionary and may be suspended or terminated by the Board at a time for any reason. Participation in the Plan is entirely discretionary and does not create any contractual or other right to receive future grants of options or benefits in lieu of options. All determinations with respect to future options will be at the entire discretion of the Board. Rights under the Plan are not pensionable.</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ISRAEL</w:t>
      </w:r>
    </w:p>
    <w:p>
      <w:pPr>
        <w:pStyle w:val="TextBody"/>
        <w:bidi w:val="0"/>
        <w:spacing w:lineRule="auto" w:line="240" w:before="200" w:after="200"/>
        <w:jc w:val="both"/>
        <w:rPr/>
      </w:pPr>
      <w:r>
        <w:rPr>
          <w:rFonts w:ascii="Times New Roman;sans-serif" w:hAnsi="Times New Roman;sans-serif"/>
          <w:b w:val="false"/>
          <w:color w:val="000000"/>
          <w:sz w:val="20"/>
        </w:rPr>
        <w:t>Restricted Stock Units granted to employees of the Israeli subsidiary of the Company will be subject to the provisions of the Plan and the Appendix for Israeli Participants. Restricted Stock Units are meant to be granted under the trustee capital gains route pursuant to section 102(b)(2) and 102(b)(3) of the Israeli Income Tax Ordinance [New Version] 1961 (“</w:t>
      </w:r>
      <w:r>
        <w:rPr>
          <w:rFonts w:ascii="Times New Roman;sans-serif" w:hAnsi="Times New Roman;sans-serif"/>
          <w:b/>
          <w:i/>
          <w:color w:val="000000"/>
          <w:sz w:val="20"/>
        </w:rPr>
        <w:t>Section 102</w:t>
      </w:r>
      <w:r>
        <w:rPr>
          <w:color w:val="000000"/>
        </w:rPr>
        <w:t>”</w:t>
      </w:r>
      <w:r>
        <w:rPr>
          <w:rFonts w:ascii="Times New Roman;sans-serif" w:hAnsi="Times New Roman;sans-serif"/>
          <w:b w:val="false"/>
          <w:color w:val="000000"/>
          <w:sz w:val="20"/>
        </w:rPr>
        <w:t>). Definitions not contained herein shall have the meaning given to them in the Appendix for Israeli Participants. In the event of any conflict, whether explicit or implied, between the provision of the Award Agreement and the Israeli Appendix, the provisions set out in the Israeli Appendix shall prevail.</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declarations included in the Grant Notice and the Award Agreement above, by accepting the grant of the Award (i) you authorize the Company to provide the Trustee with any information required for the purpose of administering the Plan including executing its obligations according to Section 102, the trust deed and the trust agreement, including without limitation information about your Restricted Stock Units, income tax rates, salary bank account, contact details and identification number, (ii) you agree to accept as binding, conclusive and final all decisions or interpretations of the Board upon any questions relating to the Plan and this Award Agreement, (iii) you are familiar with Section 102 and the regulations and rules promulgated thereunder, including without limitations the provisions of the applicable tax route, and agree to comply with such provisions, as amended from time to time, provided that if such terms are not met, Section 102 may not apply or I may be subject to tax at higher rates, (iv) you agree to the terms and conditions of the trust deed signed between the Trustee and the Company and/or the applicable Affiliate, including but not limited to the control of the Restricted Stock Units and Common Stock by the Trustee, (v) you acknowledge that releasing the Common Stock from the control of the Trustee prior to the termination of the Holding Period constitutes a violation of the terms of Section 102 and agree to bear the relevant sanctions.</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Trust</w:t>
      </w:r>
    </w:p>
    <w:p>
      <w:pPr>
        <w:pStyle w:val="TextBody"/>
        <w:bidi w:val="0"/>
        <w:spacing w:lineRule="auto" w:line="240" w:before="200" w:after="200"/>
        <w:jc w:val="both"/>
        <w:rPr/>
      </w:pPr>
      <w:r>
        <w:rPr>
          <w:rFonts w:ascii="Times New Roman;sans-serif" w:hAnsi="Times New Roman;sans-serif"/>
          <w:b w:val="false"/>
          <w:color w:val="000000"/>
          <w:sz w:val="20"/>
        </w:rPr>
        <w:t>The Restricted Stock Units and the Common Stock issued upon vesting or otherwise and/or any additional rights, including without limitation any right to receive any dividends or any shares received as a result of an adjustment made under the Plan, that may be granted in connection with the Restricted Stock Units (the “</w:t>
      </w:r>
      <w:r>
        <w:rPr>
          <w:rFonts w:ascii="Times New Roman;sans-serif" w:hAnsi="Times New Roman;sans-serif"/>
          <w:b/>
          <w:i/>
          <w:color w:val="000000"/>
          <w:sz w:val="20"/>
        </w:rPr>
        <w:t>Additional Rights</w:t>
      </w:r>
      <w:r>
        <w:rPr>
          <w:color w:val="000000"/>
        </w:rPr>
        <w:t>”</w:t>
      </w:r>
      <w:r>
        <w:rPr>
          <w:rFonts w:ascii="Times New Roman;sans-serif" w:hAnsi="Times New Roman;sans-serif"/>
          <w:b w:val="false"/>
          <w:color w:val="000000"/>
          <w:sz w:val="20"/>
        </w:rPr>
        <w:t>) shall be issued to or controlled by the Trustee for your benefit under the provisions of Section 102 pursuant to the capital gains route for at least the period stated in Section 102 of the Ordinance and the Income Tax Rules (Tax Benefits in Share Issuance to Employees) 5763-2003 (the “</w:t>
      </w:r>
      <w:r>
        <w:rPr>
          <w:rFonts w:ascii="Times New Roman;sans-serif" w:hAnsi="Times New Roman;sans-serif"/>
          <w:b/>
          <w:i/>
          <w:color w:val="000000"/>
          <w:sz w:val="20"/>
        </w:rPr>
        <w:t>Rules</w:t>
      </w:r>
      <w:r>
        <w:rPr>
          <w:color w:val="000000"/>
        </w:rPr>
        <w:t>”</w:t>
      </w:r>
      <w:r>
        <w:rPr>
          <w:rFonts w:ascii="Times New Roman;sans-serif" w:hAnsi="Times New Roman;sans-serif"/>
          <w:b w:val="false"/>
          <w:color w:val="000000"/>
          <w:sz w:val="20"/>
        </w:rPr>
        <w:t xml:space="preserve">). In the event the Restricted Stock Units or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underlying shares of Common Stock do not meet the requirements of Section 102, such Restricted Stock Units and the underlying shares of Common Stock shall not qualify for the favorable tax treatment under the Capital Gains Route of Section 102. The Company makes no representations or guarantees that the Restricted Stock Units will qualify for favorable tax treatment and will not be liable or responsible if favorable tax treatment is not available under Section 102. Any fees associated with any vesting, sale, transfer or any act in relation to the Restricted Stock Units shall be borne by you and the Trustee and/or the Company and/or any Affiliate shall be entitled to withhold or deduct such fees from payments otherwise due to from the Company or an Affiliate or the Trustee. In accordance with the requirements of Section 102 and the Capital Gains Route, you shall not sell nor transfer the shares of Common Stock or Additional Rights from the Trustee until the end of the required Holding Period. Notwithstanding the above, if any such sale or transfer occurs before the end of the required Holding Period, the sanctions under Section 102 shall apply to and shall be borne by you.</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Tax</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Any and all taxes due in relation to the Restricted Stock Units and Common Stock, shall be borne solely by you. The Company and/or any Affiliate and/or the Trustee shall withhold taxes according to the requirements under the applicable laws, rules, and regulations, including withholding taxes at source. Furthermore, you hereby agree to indemnify the Company and/or any Affiliate and/or the Trustee and hold them harmless against and from any and all liability for any such tax or interest or penalty thereon, including without limitation, liabilities relating to the necessity to withhold, or to have withheld, any such tax from any payment made to you. The Company and/or any Affiliate and/or the Trustee, to the extent permitted by law, shall have the right to deduct from any payment otherwise due to you or from proceeds of the sale of the Common Stock, an amount equal to any Taxes required by law to be withheld with respect to the Common Stock. You will pay to the Company, any subsidiary or the Trustee any amount of taxes that the Company or any Affiliate or the Trustee may be required to withhold with respect to the Common Stock that cannot be satisfied by the means previously described. The Company may refuse to deliver the Common Stock if you fail to comply with your obligations in connection with the taxes as described in this section. The tax treatment of any Restricted Stock Units not guaranteed and although a Restricted Stock Unit may be granted under a certain tax route, they may become subject to a different tax route in the future.</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ITALY</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Foreign Asset/Account Reporting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an Italian resident who, at any time during the fiscal year, holds foreign financial assets (including cash and shares of stock) which may generate taxable income in Italy, you are required to report these assets on your annual tax return for the year during which the assets are held, or on a special form if no tax return is due. These reporting obligations also apply if you are the beneficial owner of foreign financial assets under Italian money laundering provisions.</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grant of the options is exempt from the requirement to publish a prospectus under the EU Prospectus Directive as implemented in Italy.</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JAPAN</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Foreign Exchange</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 you may be required to file a report with the Ministry of Finance if you intend to acquire shares of stock whose value exceeds a certain amount. The reporting, if required, is due within 20 days from the acquisition of the shares of stock (however, if you acquires such shares of stock through a securities company in Japan, such requirement will not be imposed). The reporting requirements vary depending on whether the relevant payment is made through a bank in Japan.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You are advised to seek appropriate professional advice as to how the exchange control regulations, tax or other laws in your country apply to your specific situation. Laws and regulations change frequently and occasionally on a retroactive basis.</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Foreign Asset/Account Reporting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Japanese residents holding assets outside of Japan with a total net fair market value exceeding the legally designated amount (currently ¥50 million) are required to comply with annual tax reporting obligations with respect to such assets. You are advised to consult with a personal tax advisor to ensure that you are properly complying with applicable reporting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Law Information</w:t>
      </w:r>
    </w:p>
    <w:p>
      <w:pPr>
        <w:pStyle w:val="TextBody"/>
        <w:bidi w:val="0"/>
        <w:spacing w:lineRule="auto" w:line="240" w:before="200" w:after="200"/>
        <w:jc w:val="both"/>
        <w:rPr/>
      </w:pPr>
      <w:r>
        <w:rPr>
          <w:rFonts w:ascii="Times New Roman;sans-serif" w:hAnsi="Times New Roman;sans-serif"/>
          <w:b w:val="false"/>
          <w:color w:val="000000"/>
          <w:sz w:val="20"/>
        </w:rPr>
        <w:t>The Award and the shares of stock have not been registered under the Financial Instruments and Exchange Act of Japan (Law No. 25 of 1948), as amended (the “</w:t>
      </w:r>
      <w:r>
        <w:rPr>
          <w:rFonts w:ascii="Times New Roman;sans-serif" w:hAnsi="Times New Roman;sans-serif"/>
          <w:b/>
          <w:i/>
          <w:color w:val="000000"/>
          <w:sz w:val="20"/>
        </w:rPr>
        <w:t>FIEA</w:t>
      </w:r>
      <w:r>
        <w:rPr>
          <w:color w:val="000000"/>
        </w:rPr>
        <w:t>”</w:t>
      </w:r>
      <w:r>
        <w:rPr>
          <w:rFonts w:ascii="Times New Roman;sans-serif" w:hAnsi="Times New Roman;sans-serif"/>
          <w:b w:val="false"/>
          <w:color w:val="000000"/>
          <w:sz w:val="20"/>
        </w:rPr>
        <w:t>). The Award and the shares of stock issuable upon the vesting of Award may not be offered or sold in Japan or to, or for the benefit of, any resident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As used herein, the term "resident of Japan" means any natural person having his or her place of domicile or residence in Japan, or any corporation or other entity organized under the laws of Japan or having its main office in Japan.</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KOREA</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Foreign Assets Reporting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Korean residents must declare all foreign financial accounts (e.g., non-Korean bank accounts, brokerage accounts, etc.) to the Korean tax authority and file a report with respect to such accounts if the value of such accounts exceeds KRW 1 billion (or an equivalent amount in foreign currency). You should consult your personal tax advisor to determine how to value your foreign accounts for purposes of this reporting requirement and whether you are required to file a report with respect to such accounts.</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MEXICO</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Labor Law Acknowledgment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supplement Section 17 of the Award Agreement:</w:t>
      </w:r>
    </w:p>
    <w:p>
      <w:pPr>
        <w:pStyle w:val="TextBody"/>
        <w:bidi w:val="0"/>
        <w:spacing w:lineRule="auto" w:line="240" w:before="200" w:after="200"/>
        <w:jc w:val="both"/>
        <w:rPr/>
      </w:pPr>
      <w:r>
        <w:rPr>
          <w:rFonts w:ascii="Times New Roman;sans-serif" w:hAnsi="Times New Roman;sans-serif"/>
          <w:b w:val="false"/>
          <w:i/>
          <w:color w:val="000000"/>
          <w:sz w:val="20"/>
        </w:rPr>
        <w:t>Modification</w:t>
      </w:r>
      <w:r>
        <w:rPr>
          <w:rFonts w:ascii="Times New Roman;sans-serif" w:hAnsi="Times New Roman;sans-serif"/>
          <w:b w:val="false"/>
          <w:color w:val="000000"/>
          <w:sz w:val="20"/>
        </w:rPr>
        <w:t>. By accepting the Award, you understand and agree that any modification of the Plan or the Award Agreement or its termination shall not constitute a change or impairment of the terms and conditions of your employment.</w:t>
      </w:r>
    </w:p>
    <w:p>
      <w:pPr>
        <w:pStyle w:val="TextBody"/>
        <w:bidi w:val="0"/>
        <w:spacing w:lineRule="auto" w:line="240" w:before="200" w:after="200"/>
        <w:jc w:val="both"/>
        <w:rPr/>
      </w:pPr>
      <w:r>
        <w:rPr>
          <w:rFonts w:ascii="Times New Roman;sans-serif" w:hAnsi="Times New Roman;sans-serif"/>
          <w:b w:val="false"/>
          <w:i/>
          <w:color w:val="000000"/>
          <w:sz w:val="20"/>
        </w:rPr>
        <w:t>Policy Statement</w:t>
      </w:r>
      <w:r>
        <w:rPr>
          <w:rFonts w:ascii="Times New Roman;sans-serif" w:hAnsi="Times New Roman;sans-serif"/>
          <w:b w:val="false"/>
          <w:color w:val="000000"/>
          <w:sz w:val="20"/>
        </w:rPr>
        <w:t>. The grant of the Award made under the Plan is unilateral and discretionary and, therefore, the Company reserves the absolute right to amend it and discontinue it at any time without any liability.</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with registered offices at 229 W. 43rd Street, 5th floor, NY, NY, 10036, United States of America, is solely responsible for the administration of the Plan and participation in the Plan and the acquisition of shares of stock does not, in any way, establish an employment relationship between you and the Company since you are participating in the Plan on a wholly commercial basis and your sole employer is the Company’s Mexican Affiliate, nor does it establish any rights between you and your employer.</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Plan Document Acknowledgment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By accepting the grant of Award, you acknowledge that you have received copies of the Plan, have reviewed the Plan and the Award Agreement in their entirety and fully understand and accept all provisions of the Plan and the Award Agreement.</w:t>
      </w:r>
    </w:p>
    <w:p>
      <w:pPr>
        <w:pStyle w:val="TextBody"/>
        <w:bidi w:val="0"/>
        <w:spacing w:lineRule="auto" w:line="240" w:before="200" w:after="200"/>
        <w:jc w:val="both"/>
        <w:rPr/>
      </w:pPr>
      <w:r>
        <w:rPr>
          <w:rFonts w:ascii="Times New Roman;sans-serif" w:hAnsi="Times New Roman;sans-serif"/>
          <w:b w:val="false"/>
          <w:color w:val="000000"/>
          <w:sz w:val="20"/>
        </w:rPr>
        <w:t>In addition, by signing the Award Agreement, you further acknowledge that you have read and specifically and expressly approve the terms and conditions in Section 11 of the Award Agreement (“</w:t>
      </w:r>
      <w:r>
        <w:rPr>
          <w:rFonts w:ascii="Times New Roman;sans-serif" w:hAnsi="Times New Roman;sans-serif"/>
          <w:b/>
          <w:i/>
          <w:color w:val="000000"/>
          <w:sz w:val="20"/>
        </w:rPr>
        <w:t>Nature of Grant</w:t>
      </w:r>
      <w:r>
        <w:rPr>
          <w:color w:val="000000"/>
        </w:rPr>
        <w:t>”</w:t>
      </w:r>
      <w:r>
        <w:rPr>
          <w:rFonts w:ascii="Times New Roman;sans-serif" w:hAnsi="Times New Roman;sans-serif"/>
          <w:b w:val="false"/>
          <w:color w:val="000000"/>
          <w:sz w:val="20"/>
        </w:rPr>
        <w:t>), in which the following is clearly described and established: (i) participation in the Plan does not constitute an acquired right; (ii) the Plan and participation in the Plan is offered by the Company on a wholly discretionary basis; (iii) participation in the Plan is voluntary; and (iv) none of the Affiliates or the Company is responsible for any decrease in the value of the shares of stock underlying the options.</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Finally, you hereby declare that you do not reserve any action or right to bring any claim against the Company for any compensation or damages as a result of your participation in the Plan and therefore grant a full and broad release to the employer, the Company and any Affiliates with respect to any claim that may arise under the Plan.</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NETHERLANDS</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Prohibition Against Insider Trading</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be aware of the Dutch insider trading rules, which may affect the sale of shares acquired under the Plan. In particular, you may be prohibited from effecting certain share transactions if you have insider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regarding the Company. Below is a discussion of the applicable restrictions. You are advised to read the discussion carefully to determine whether the insider rules could apply to you. If it is uncertain whether the insider rules apply, the Company recommends that you consult with a legal advisor. The Company cannot be held liable if you violate the Dutch insider trading rules. You are responsible for ensuring your compliance with these rules.</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Dutch securities laws prohibit insider trading. As of 3 July 2016, the European Market Abuse Regulation (MAR), is applicable in the Netherlands. For further information, Participant is referred to the website of the Authority for the Financial Markets (AFM): https://www.afm.nl/en/professionals/onderwerpen/marktmisbruik.</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Given the broad scope of the definition of inside information, certain employees of the Company working at its Dutch Affiliate may have inside information and thus are prohibited from making a transaction in securities in the Netherlands at a time when they have such inside information. By entering into this Award Agreement and participating in the Plan, you acknowledge having read and understood the notification above and acknowledge that it is your responsibility to comply with the Dutch insider trading rules, as discussed herein.</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grant of the Award is exempt or excluded from the requirement to publish a prospectus under the EU Prospectus Directive as implemented in the Netherlands.</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POLAND</w:t>
      </w:r>
    </w:p>
    <w:p>
      <w:pPr>
        <w:pStyle w:val="TextBody"/>
        <w:bidi w:val="0"/>
        <w:spacing w:lineRule="auto" w:line="240" w:before="200" w:after="200"/>
        <w:jc w:val="both"/>
        <w:rPr>
          <w:rFonts w:ascii="Times New Roman;sans-serif" w:hAnsi="Times New Roman;sans-serif"/>
          <w:b/>
          <w:color w:val="000000"/>
          <w:sz w:val="20"/>
        </w:rPr>
      </w:pPr>
      <w:r>
        <w:rPr>
          <w:rFonts w:ascii="Times New Roman;sans-serif" w:hAnsi="Times New Roman;sans-serif"/>
          <w:b/>
          <w:color w:val="000000"/>
          <w:sz w:val="20"/>
        </w:rPr>
        <w:t>Notifications</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grant of Award under the Plan is exempt from the requirement to publish a prospectus under the EU Prospectus Regulation as implemented in Poland.</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Exchange Control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you hold foreign securities (including shares of Common Stock) and maintain accounts abroad, you may be required to file certain reports with the National Bank of Poland. Specifically, if the value of securities and cash held in such foreign accounts exceeds PLN 7 million, you must file reports on the transactions and balances of the accounts on a quarterly basis. Further, any fund transfers in excess of €15,000 (or PLN 15,000 if such transfer of funds is connected with business activity of an entrepreneur) into or out of Poland must be effected through a bank in Poland. Polish residents are required to store all documents related to foreign exchange transactions for a period of five years.</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Employment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meet the requirements of the Plan you shall authorize your employer:</w:t>
      </w:r>
    </w:p>
    <w:p>
      <w:pPr>
        <w:pStyle w:val="TextBody"/>
        <w:bidi w:val="0"/>
        <w:spacing w:lineRule="auto" w:line="240" w:before="0" w:after="24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i.    to make relevant deductions from your remuneration,</w:t>
      </w:r>
    </w:p>
    <w:p>
      <w:pPr>
        <w:pStyle w:val="TextBody"/>
        <w:bidi w:val="0"/>
        <w:spacing w:lineRule="auto" w:line="240" w:before="0" w:after="24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ii.    to notify the Company about events relevant for your right to continue to participate in the Plan.</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PORTUGAL</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Exchange Control</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you receive shares upon vesting of the Award, the acquisition of the shares should be reported to the Banco de Portugal for statistical purposes. If the shares are deposited with a commercial bank or financial intermediary in Portugal, such bank or financial intermediary will submit the report on your behalf. If the shares are not deposited with a commercial bank or financial intermediary in Portugal, you are responsible for submitting the report to the Banco de Portugal.</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grant of the Award is exempt or excluded from the requirement to publish a prospectus under EU Prospectus Regulation as implemented in Portugal.</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SINGAPORE</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Law Information</w:t>
      </w:r>
    </w:p>
    <w:p>
      <w:pPr>
        <w:pStyle w:val="TextBody"/>
        <w:bidi w:val="0"/>
        <w:spacing w:lineRule="auto" w:line="240" w:before="200" w:after="200"/>
        <w:jc w:val="both"/>
        <w:rPr/>
      </w:pPr>
      <w:r>
        <w:rPr>
          <w:rFonts w:ascii="Times New Roman;sans-serif" w:hAnsi="Times New Roman;sans-serif"/>
          <w:b w:val="false"/>
          <w:color w:val="000000"/>
          <w:sz w:val="20"/>
        </w:rPr>
        <w:t>The grant of the Award is being made pursuant to the “Qualifying Person” exemption under section 273(1)(f) of the Singapore Securities and Futures Act (Chapter 289, 2006 Ed.) (“</w:t>
      </w:r>
      <w:r>
        <w:rPr>
          <w:rFonts w:ascii="Times New Roman;sans-serif" w:hAnsi="Times New Roman;sans-serif"/>
          <w:b/>
          <w:i/>
          <w:color w:val="000000"/>
          <w:sz w:val="20"/>
        </w:rPr>
        <w:t>SFA</w:t>
      </w:r>
      <w:r>
        <w:rPr>
          <w:color w:val="000000"/>
        </w:rPr>
        <w:t>”</w:t>
      </w:r>
      <w:r>
        <w:rPr>
          <w:rFonts w:ascii="Times New Roman;sans-serif" w:hAnsi="Times New Roman;sans-serif"/>
          <w:b w:val="false"/>
          <w:color w:val="000000"/>
          <w:sz w:val="20"/>
        </w:rPr>
        <w:t>). The Plan has not been lodged or registered as a prospectus with the Monetary Authority of Singapore. You should note that the Award is subject to section 257 of the SFA and you will not be able to make any subsequent sale in Singapore of the shares acquired through the vesting of the Award or any offer of such sale in Singapore unless such sale or offer is made pursuant to the exemptions under Part XIII Division (1) Subdivision (4) (other than section 280) of the SFA.</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Director Notification Obligation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director, associate director or shadow director of a Singapore Affiliate, you are subject to certain notification requirements under the Singapore Companies Act. Among these requirements is an obligation to notify the Singapore Affiliate in writing when you receive an interest (e.g., restricted stock units or share of stock) in the Company or any Affiliate. In addition, you must notify the Singapore Affiliate when you sell shares of the Company or any Affiliate (including when you sell shares acquired through the vesting of Award). These notifications must be made within two business days of acquiring or disposing of any interest in the Company or any Affiliate. In addition, a notification must be made of your interests in the Company or any Affiliate within two business days of becoming a director.</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SPAIN</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Labor Law Acknowledgment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provision supplements Section 17 of the Award Agreement:</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accepting the Award, you consent to participate in the Plan and acknowledge that you have received a copy of the Plan.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You understand and agree that the Company has unilaterally, gratuitously and discretionally decided to grant the Award under the Plan to individuals who may be employees of the Company and any Affiliates throughout the world. The decision is a limited decision that is entered into upon the express assumption and condition that any grant will not economically or otherwise bind the Company or any Affiliates, over and above the specific terms of the Plan. Consequently, you understand that the Award is granted on the assumption and condition that the Award and any shares of stock issued upon vesting of the Award are not part of any employment contract (either with the Company or any Affiliates) and shall not be considered a mandatory benefit, salary for any purposes (including severance compensation) or any other right whatsoever. In addition, you understand that the Award would not be granted to you but for the assumptions and conditions referred to herein; thus, you acknowledge and freely accept that should any or all of the assumptions be mistaken or should any of the conditions not be met for any reason, then the grant of the Award and any right to the Award shall be null and void.</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vesting of the Award is expressly conditioned on your continued employment, such that upon termination of employment, the Award may cease vesting immediately, effective on the date of your termination of employment (unless otherwise specifically provided in the Award Agreement and/or the Plan). In particular, you understand and agree that any non-vested Awards as of the date you are no longer actively employed or in service (unless otherwise specifically provided in the Award Agreement and/or the Plan) will be forfeited without entitlement to the underlying shares of stock or to any amount of indemnification in the event of termination of your employment by reason of, but not limited to, resignation, retirement, disciplinary dismissal adjudged to be with cause, disciplinary dismissal adjudged or recognized to be without cause, individual or collective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pPr>
      <w:r>
        <w:rPr>
          <w:rFonts w:ascii="Times New Roman;sans-serif" w:hAnsi="Times New Roman;sans-serif"/>
          <w:b w:val="false"/>
          <w:color w:val="000000"/>
          <w:sz w:val="20"/>
        </w:rPr>
        <w:t xml:space="preserve">The grant of the Award is exempt from the requirement to publish a prospectus under the EU Prospectus Directive as implemented in Spain. The grant of the Award and the shares of stock issued pursuant to the vesting of the Award are considered a private placement outside the scope of Spanish laws on public offerings and issuances of securities. Neither the Plan nor the Award Agreement have been registered with the </w:t>
      </w:r>
      <w:r>
        <w:rPr>
          <w:rFonts w:ascii="Times New Roman;sans-serif" w:hAnsi="Times New Roman;sans-serif"/>
          <w:b w:val="false"/>
          <w:i/>
          <w:color w:val="000000"/>
          <w:sz w:val="20"/>
        </w:rPr>
        <w:t>Comisión National del Mercado de Valores</w:t>
      </w:r>
      <w:r>
        <w:rPr>
          <w:color w:val="000000"/>
        </w:rPr>
        <w:t xml:space="preserve"> </w:t>
      </w:r>
      <w:r>
        <w:rPr>
          <w:rFonts w:ascii="Times New Roman;sans-serif" w:hAnsi="Times New Roman;sans-serif"/>
          <w:b w:val="false"/>
          <w:color w:val="000000"/>
          <w:sz w:val="20"/>
        </w:rPr>
        <w:t>and do not constitute a public offering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Exchange Control Information</w:t>
      </w:r>
    </w:p>
    <w:p>
      <w:pPr>
        <w:pStyle w:val="TextBody"/>
        <w:bidi w:val="0"/>
        <w:spacing w:lineRule="auto" w:line="240" w:before="200" w:after="200"/>
        <w:jc w:val="both"/>
        <w:rPr/>
      </w:pPr>
      <w:r>
        <w:rPr>
          <w:rFonts w:ascii="Times New Roman;sans-serif" w:hAnsi="Times New Roman;sans-serif"/>
          <w:b w:val="false"/>
          <w:color w:val="000000"/>
          <w:sz w:val="20"/>
        </w:rPr>
        <w:t xml:space="preserve">The acquisition, ownership and disposition of shares of Stock and must be declared for statistical purposes to the </w:t>
      </w:r>
      <w:r>
        <w:rPr>
          <w:rFonts w:ascii="Times New Roman;sans-serif" w:hAnsi="Times New Roman;sans-serif"/>
          <w:b w:val="false"/>
          <w:i/>
          <w:color w:val="000000"/>
          <w:sz w:val="20"/>
        </w:rPr>
        <w:t>Dirección General de Comercio e Inversiones</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DGCI</w:t>
      </w:r>
      <w:r>
        <w:rPr>
          <w:color w:val="000000"/>
        </w:rPr>
        <w:t>”</w:t>
      </w:r>
      <w:r>
        <w:rPr>
          <w:rFonts w:ascii="Times New Roman;sans-serif" w:hAnsi="Times New Roman;sans-serif"/>
          <w:b w:val="false"/>
          <w:color w:val="000000"/>
          <w:sz w:val="20"/>
        </w:rPr>
        <w:t>), which is a department of the Ministry of Economy and Competitiveness. If you acquire shares of stock through the use of a Spanish financial institution, that institution will automatically make the declaration to the DGCI for you; otherwise, you will be required make the declaration by filing the appropriate form with the DGCI. Generally, the declaration must be made in January for shares of Stock owned as of December 31 of the prior year; however, if the value of shares of stock acquired or sold exceeds a designated threshold (or you hold 10% or more of the capital of the Company or such other amount that would entitle you to join the Company’s board of directors), the declaration must be filed within one (1) month of the acquisition or sale, as applicable.</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Foreign Asset/Account Reporting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you hold rights or assets outside of Spain with a value in excess of €50,000 per type of right or asset (e.g., shares of stock, cash, etc.) as of December 31 each year, such resident will be required to report information on such rights and assets on your annual tax return for such year. After such rights and assets are initially reported, the reporting obligation will apply for subsequent years only if the value of any previously-reported rights or assets increases by more than €20,000.</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Further, you will be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of the prior tax year exceed €1,000,000.</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Further, you are required to electronically declare to the Bank of Spain any foreign accounts (including brokerage accounts held abroad), any foreign instruments (including shares of stock acquired under the Plan), and any transactions with non-Spanish residents (including any payments of cash or shares of stock made to you under the Plan) if the balances in such accounts together with the value of such instruments as of December 31, or the volume of transactions with non-Spanish residents during the relevant year, exceed €1,000,000.</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SWEDEN</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Disclosure</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Your participation in the Plan and the grant of the Award are exempt from the requirement to publish a prospectus under the EU Prospectus Directive as implemented in Sweden.</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Exchange Control</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You understand and agree that foreign and local banks or financial institutions (including brokers) engaged in cross-border transactions generally may be required to report any payments to or from a foreign country exceeding a certain amount to The National Tax Board, which receives the information on behalf of the Swedish Central Bank (Sw.Riksbanken). This requirement may apply even if you have a brokerage account with a foreign broker.</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SWITZERLAND</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Law Notification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grant of the Award is considered a private offering and therefore is not subject to securities registration in Switzerland.</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TAIWAN</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Neither the Plan nor the Award are registered in Taiwan with the Securities and Futures Bureau or subject to the securities laws of Taiwan.</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UNITED ARAB EMIRATES</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Law Information</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Participation in the Plan is being offered only to selected recipients and is in the nature of providing equity incentives to recipients in the United Arab Emirates. The Plan and the Award Agreement are intended for distribution only to such recipients and must not be delivered to, or relied on by, any other person. Prospective purchasers of the securities offered should conduct their own due diligence on the securities.</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you do not understand the contents of the Plan and the Award Agreement, you should consult an authorized financial adviser. The Emirates Securities and Commodities Authority and the Dubai Financial Services Authority have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pStyle w:val="TextBody"/>
        <w:bidi w:val="0"/>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UNITED KINGDOM</w:t>
      </w:r>
    </w:p>
    <w:p>
      <w:pPr>
        <w:pStyle w:val="TextBody"/>
        <w:bidi w:val="0"/>
        <w:spacing w:lineRule="auto" w:line="240"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Disclaimer</w:t>
      </w:r>
    </w:p>
    <w:p>
      <w:pPr>
        <w:pStyle w:val="TextBody"/>
        <w:bidi w:val="0"/>
        <w:spacing w:lineRule="auto" w:line="240"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grant of the Award is exempt from the requirement to publish a prospectus under the EU Prospectus Directive as implemented in the UK.</w:t>
      </w:r>
    </w:p>
    <w:p>
      <w:pPr>
        <w:pStyle w:val="TextBody"/>
        <w:bidi w:val="0"/>
        <w:spacing w:lineRule="auto" w:line="240" w:before="200" w:after="200"/>
        <w:jc w:val="both"/>
        <w:rPr/>
      </w:pPr>
      <w:r>
        <w:rPr>
          <w:rFonts w:ascii="Times New Roman;sans-serif" w:hAnsi="Times New Roman;sans-serif"/>
          <w:b w:val="false"/>
          <w:color w:val="000000"/>
          <w:sz w:val="20"/>
        </w:rPr>
        <w:t>This Award Agreement is not an approved prospectus for the purposes of section 85(1) of the Financial Services and Markets Act 2000 (“</w:t>
      </w:r>
      <w:r>
        <w:rPr>
          <w:rFonts w:ascii="Times New Roman;sans-serif" w:hAnsi="Times New Roman;sans-serif"/>
          <w:b/>
          <w:i/>
          <w:color w:val="000000"/>
          <w:sz w:val="20"/>
        </w:rPr>
        <w:t>FSMA</w:t>
      </w:r>
      <w:r>
        <w:rPr>
          <w:color w:val="000000"/>
        </w:rPr>
        <w:t>”</w:t>
      </w:r>
      <w:r>
        <w:rPr>
          <w:rFonts w:ascii="Times New Roman;sans-serif" w:hAnsi="Times New Roman;sans-serif"/>
          <w:b w:val="false"/>
          <w:color w:val="000000"/>
          <w:sz w:val="20"/>
        </w:rPr>
        <w:t>) and no offer of transferable securities to the public (for the purposes of section 102B of FSMA) is being made in connection with the Plan. The Plan and the Award s are exclusively available in the UK to bona fide employees and former employees and any other UK Subsidiary.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 of MongoDB, Inc.</w:t>
      </w:r>
    </w:p>
    <w:tbl>
      <w:tblPr>
        <w:tblW w:w="3282" w:type="dxa"/>
        <w:jc w:val="center"/>
        <w:tblInd w:w="0" w:type="dxa"/>
        <w:tblLayout w:type="fixed"/>
        <w:tblCellMar>
          <w:top w:w="28" w:type="dxa"/>
          <w:left w:w="28" w:type="dxa"/>
          <w:bottom w:w="28" w:type="dxa"/>
          <w:right w:w="28" w:type="dxa"/>
        </w:tblCellMar>
      </w:tblPr>
      <w:tblGrid>
        <w:gridCol w:w="646"/>
        <w:gridCol w:w="568"/>
        <w:gridCol w:w="570"/>
        <w:gridCol w:w="109"/>
        <w:gridCol w:w="109"/>
        <w:gridCol w:w="109"/>
        <w:gridCol w:w="343"/>
        <w:gridCol w:w="343"/>
        <w:gridCol w:w="485"/>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MongoDB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bl>
    <w:p>
      <w:pPr>
        <w:pStyle w:val="TextBody"/>
        <w:bidi w:val="0"/>
        <w:spacing w:before="0" w:after="0"/>
        <w:jc w:val="center"/>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480" w:after="48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bidi w:val="0"/>
        <w:spacing w:lineRule="auto" w:line="268" w:before="0" w:after="0"/>
        <w:jc w:val="left"/>
        <w:rPr/>
      </w:pPr>
      <w:r>
        <w:rPr>
          <w:rFonts w:ascii="Times New Roman;sans-serif" w:hAnsi="Times New Roman;sans-serif"/>
          <w:b w:val="false"/>
          <w:color w:val="000000"/>
          <w:sz w:val="20"/>
        </w:rPr>
        <w:t>We hereby consent to the incorporation by reference in the Registration Statements on Form S-8 (No. 333-221028, 333-224058, 333-230661, 333-237570, 333-254592, 333-263701 and 333-270564) and Form S-3 (No. 333-257514) of MongoDB, Inc. of our report dated March 15, 2024 relating to the financial statements and the effectiveness of internal control over financial reporting, which appears in this Form 10</w:t>
        <w:noBreakHyphen/>
        <w:t>K.</w:t>
      </w:r>
      <w:r>
        <w:rPr>
          <w:color w:val="FF0000"/>
        </w:rPr>
        <w:t xml:space="preserve"> </w:t>
      </w:r>
    </w:p>
    <w:p>
      <w:pPr>
        <w:pStyle w:val="TextBody"/>
        <w:bidi w:val="0"/>
        <w:spacing w:lineRule="auto" w:line="312"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312"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15, 2024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Dev Ittycheria,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MongoDB, Inc. (the “registrant”) for the fiscal year ended January 31, 2024;</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161" w:type="dxa"/>
        <w:jc w:val="center"/>
        <w:tblInd w:w="0" w:type="dxa"/>
        <w:tblLayout w:type="fixed"/>
        <w:tblCellMar>
          <w:top w:w="28" w:type="dxa"/>
          <w:left w:w="28" w:type="dxa"/>
          <w:bottom w:w="28" w:type="dxa"/>
          <w:right w:w="28" w:type="dxa"/>
        </w:tblCellMar>
      </w:tblPr>
      <w:tblGrid>
        <w:gridCol w:w="683"/>
        <w:gridCol w:w="601"/>
        <w:gridCol w:w="605"/>
        <w:gridCol w:w="134"/>
        <w:gridCol w:w="134"/>
        <w:gridCol w:w="136"/>
        <w:gridCol w:w="219"/>
        <w:gridCol w:w="219"/>
        <w:gridCol w:w="221"/>
        <w:gridCol w:w="937"/>
        <w:gridCol w:w="937"/>
        <w:gridCol w:w="133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 Ittycheria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 Ittycheria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20"/>
                        <w:ind w:left="0" w:right="0" w:firstLine="54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Gordon,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MongoDB, Inc. (the “registrant”) for the fiscal year ended January 31, 2024;</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256" w:type="dxa"/>
        <w:jc w:val="center"/>
        <w:tblInd w:w="0" w:type="dxa"/>
        <w:tblLayout w:type="fixed"/>
        <w:tblCellMar>
          <w:top w:w="28" w:type="dxa"/>
          <w:left w:w="28" w:type="dxa"/>
          <w:bottom w:w="28" w:type="dxa"/>
          <w:right w:w="28" w:type="dxa"/>
        </w:tblCellMar>
      </w:tblPr>
      <w:tblGrid>
        <w:gridCol w:w="683"/>
        <w:gridCol w:w="601"/>
        <w:gridCol w:w="605"/>
        <w:gridCol w:w="134"/>
        <w:gridCol w:w="134"/>
        <w:gridCol w:w="136"/>
        <w:gridCol w:w="219"/>
        <w:gridCol w:w="219"/>
        <w:gridCol w:w="221"/>
        <w:gridCol w:w="1258"/>
        <w:gridCol w:w="1258"/>
        <w:gridCol w:w="1788"/>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Gordon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Gordon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Chief Financial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Dev Ittycheria, certify, pursuant to 18 U.S.C. Section 1350, as adopted pursuant to Section 906 of the Sarbanes-Oxley Act of 2002, that the Annual Report on Form 10-K of MongoDB, Inc. for the fiscal year ended January 31, 2024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6161" w:type="dxa"/>
        <w:jc w:val="center"/>
        <w:tblInd w:w="0" w:type="dxa"/>
        <w:tblLayout w:type="fixed"/>
        <w:tblCellMar>
          <w:top w:w="28" w:type="dxa"/>
          <w:left w:w="28" w:type="dxa"/>
          <w:bottom w:w="28" w:type="dxa"/>
          <w:right w:w="28" w:type="dxa"/>
        </w:tblCellMar>
      </w:tblPr>
      <w:tblGrid>
        <w:gridCol w:w="683"/>
        <w:gridCol w:w="601"/>
        <w:gridCol w:w="605"/>
        <w:gridCol w:w="134"/>
        <w:gridCol w:w="134"/>
        <w:gridCol w:w="136"/>
        <w:gridCol w:w="219"/>
        <w:gridCol w:w="219"/>
        <w:gridCol w:w="221"/>
        <w:gridCol w:w="937"/>
        <w:gridCol w:w="937"/>
        <w:gridCol w:w="133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 Ittycheria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 Ittycheria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Gordon, certify, pursuant to 18 U.S.C. Section 1350, as adopted pursuant to Section 906 of the Sarbanes-Oxley Act of 2002, that the Annual Report on Form 10-K of MongoDB, Inc. for the fiscal year ended January 31, 2024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7256" w:type="dxa"/>
        <w:jc w:val="center"/>
        <w:tblInd w:w="0" w:type="dxa"/>
        <w:tblLayout w:type="fixed"/>
        <w:tblCellMar>
          <w:top w:w="28" w:type="dxa"/>
          <w:left w:w="28" w:type="dxa"/>
          <w:bottom w:w="28" w:type="dxa"/>
          <w:right w:w="28" w:type="dxa"/>
        </w:tblCellMar>
      </w:tblPr>
      <w:tblGrid>
        <w:gridCol w:w="683"/>
        <w:gridCol w:w="601"/>
        <w:gridCol w:w="605"/>
        <w:gridCol w:w="134"/>
        <w:gridCol w:w="134"/>
        <w:gridCol w:w="136"/>
        <w:gridCol w:w="219"/>
        <w:gridCol w:w="219"/>
        <w:gridCol w:w="221"/>
        <w:gridCol w:w="1258"/>
        <w:gridCol w:w="1258"/>
        <w:gridCol w:w="1788"/>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Gordon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Gordon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Chief Financial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80" w:after="283"/>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FINANCIAL RESTATEMENT COMPENSATION RECOUPMENT POLICY</w:t>
      </w:r>
    </w:p>
    <w:p>
      <w:pPr>
        <w:pStyle w:val="TextBody"/>
        <w:bidi w:val="0"/>
        <w:spacing w:before="229" w:after="283"/>
        <w:jc w:val="both"/>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0"/>
        </w:rPr>
        <w:t>This MongoDB, Inc. Financial Restatement Compensation Recoupment Policy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has been adopted by the Compensation Committee of the Board of Directors (the “</w:t>
      </w:r>
      <w:r>
        <w:rPr>
          <w:rFonts w:ascii="Times New Roman;sans-serif" w:hAnsi="Times New Roman;sans-serif"/>
          <w:b/>
          <w:color w:val="000000"/>
          <w:sz w:val="20"/>
        </w:rPr>
        <w:t>Board</w:t>
      </w:r>
      <w:r>
        <w:rPr>
          <w:color w:val="000000"/>
        </w:rPr>
        <w:t>”</w:t>
      </w:r>
      <w:r>
        <w:rPr>
          <w:rFonts w:ascii="Times New Roman;sans-serif" w:hAnsi="Times New Roman;sans-serif"/>
          <w:b w:val="false"/>
          <w:color w:val="000000"/>
          <w:sz w:val="20"/>
        </w:rPr>
        <w:t>) of MongoDB,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on May 24,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w:t>
      </w:r>
    </w:p>
    <w:p>
      <w:pPr>
        <w:pStyle w:val="TextBody"/>
        <w:bidi w:val="0"/>
        <w:spacing w:lineRule="auto" w:line="240" w:before="230" w:after="283"/>
        <w:ind w:left="0" w:right="0" w:hanging="359"/>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For the purposes of this Policy, the following terms shall have the meanings set forth below.</w:t>
      </w:r>
    </w:p>
    <w:p>
      <w:pPr>
        <w:pStyle w:val="TextBody"/>
        <w:bidi w:val="0"/>
        <w:spacing w:lineRule="auto" w:line="240" w:before="230" w:after="283"/>
        <w:ind w:left="0" w:right="0" w:firstLine="720"/>
        <w:jc w:val="both"/>
        <w:rPr/>
      </w:pPr>
      <w:r>
        <w:rPr>
          <w:rFonts w:ascii="Times New Roman;sans-serif" w:hAnsi="Times New Roman;sans-serif"/>
          <w:b w:val="false"/>
          <w:color w:val="000000"/>
          <w:sz w:val="20"/>
        </w:rPr>
        <w:t>(a)</w:t>
      </w:r>
      <w:r>
        <w:rPr>
          <w:color w:val="000000"/>
        </w:rPr>
        <w:t>“</w:t>
      </w:r>
      <w:r>
        <w:rPr>
          <w:rFonts w:ascii="Times New Roman;sans-serif" w:hAnsi="Times New Roman;sans-serif"/>
          <w:b/>
          <w:color w:val="000000"/>
          <w:sz w:val="20"/>
        </w:rPr>
        <w:t>Committee</w:t>
      </w:r>
      <w:r>
        <w:rPr>
          <w:color w:val="000000"/>
        </w:rPr>
        <w:t xml:space="preserve">” </w:t>
      </w:r>
      <w:r>
        <w:rPr>
          <w:rFonts w:ascii="Times New Roman;sans-serif" w:hAnsi="Times New Roman;sans-serif"/>
          <w:b w:val="false"/>
          <w:color w:val="000000"/>
          <w:sz w:val="20"/>
        </w:rPr>
        <w:t>means the Compensation Committee of the Board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w:t>
      </w:r>
    </w:p>
    <w:p>
      <w:pPr>
        <w:pStyle w:val="TextBody"/>
        <w:bidi w:val="0"/>
        <w:spacing w:lineRule="auto" w:line="240" w:before="230" w:after="283"/>
        <w:ind w:left="0" w:right="0" w:firstLine="720"/>
        <w:jc w:val="both"/>
        <w:rPr/>
      </w:pPr>
      <w:r>
        <w:rPr>
          <w:rFonts w:ascii="Times New Roman;sans-serif" w:hAnsi="Times New Roman;sans-serif"/>
          <w:b w:val="false"/>
          <w:color w:val="000000"/>
          <w:sz w:val="20"/>
        </w:rPr>
        <w:t>(b)</w:t>
      </w:r>
      <w:r>
        <w:rPr>
          <w:color w:val="000000"/>
        </w:rPr>
        <w:t>“</w:t>
      </w:r>
      <w:r>
        <w:rPr>
          <w:rFonts w:ascii="Times New Roman;sans-serif" w:hAnsi="Times New Roman;sans-serif"/>
          <w:b/>
          <w:color w:val="000000"/>
          <w:sz w:val="20"/>
        </w:rPr>
        <w:t>Covered Compensation</w:t>
      </w:r>
      <w:r>
        <w:rPr>
          <w:color w:val="000000"/>
        </w:rPr>
        <w:t xml:space="preserve">” </w:t>
      </w:r>
      <w:r>
        <w:rPr>
          <w:rFonts w:ascii="Times New Roman;sans-serif" w:hAnsi="Times New Roman;sans-serif"/>
          <w:b w:val="false"/>
          <w:color w:val="000000"/>
          <w:sz w:val="20"/>
        </w:rPr>
        <w:t xml:space="preserve">means any Incentive-based Compensation “received” by a Covered Executive during the applicable Recoupment Period;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w:t>
      </w:r>
    </w:p>
    <w:p>
      <w:pPr>
        <w:pStyle w:val="TextBody"/>
        <w:bidi w:val="0"/>
        <w:spacing w:lineRule="auto" w:line="240" w:before="230" w:after="283"/>
        <w:ind w:left="0" w:right="0" w:hanging="237"/>
        <w:jc w:val="both"/>
        <w:rPr>
          <w:rFonts w:ascii="Times New Roman;sans-serif" w:hAnsi="Times New Roman;sans-serif"/>
          <w:b w:val="false"/>
          <w:color w:val="000000"/>
          <w:sz w:val="20"/>
        </w:rPr>
      </w:pPr>
      <w:r>
        <w:rPr>
          <w:rFonts w:ascii="Times New Roman;sans-serif" w:hAnsi="Times New Roman;sans-serif"/>
          <w:b w:val="false"/>
          <w:color w:val="000000"/>
          <w:sz w:val="20"/>
        </w:rPr>
        <w:t>(i)such Covered Compensation was received by such Covered Executive (A) after the Effective Date,</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after he or she commenced service as an Executive Officer and (C) while the Company had a class of securities publicly listed on a United States national securities exchange; and</w:t>
      </w:r>
    </w:p>
    <w:p>
      <w:pPr>
        <w:pStyle w:val="TextBody"/>
        <w:bidi w:val="0"/>
        <w:spacing w:lineRule="auto" w:line="240" w:before="23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(ii)such Covered Executive served as an Executive Officer at any time during the performance period applicable to such Incentive-based Compensation.</w:t>
      </w:r>
    </w:p>
    <w:p>
      <w:pPr>
        <w:pStyle w:val="TextBody"/>
        <w:bidi w:val="0"/>
        <w:spacing w:lineRule="auto" w:line="240" w:before="230" w:after="283"/>
        <w:jc w:val="both"/>
        <w:rPr/>
      </w:pPr>
      <w:r>
        <w:rPr>
          <w:rFonts w:ascii="Times New Roman;sans-serif" w:hAnsi="Times New Roman;sans-serif"/>
          <w:b w:val="false"/>
          <w:color w:val="000000"/>
          <w:sz w:val="20"/>
        </w:rPr>
        <w:t>For purposes of this Policy, Incentive-based Compensation is “</w:t>
      </w:r>
      <w:r>
        <w:rPr>
          <w:rFonts w:ascii="Times New Roman;sans-serif" w:hAnsi="Times New Roman;sans-serif"/>
          <w:b/>
          <w:color w:val="000000"/>
          <w:sz w:val="20"/>
        </w:rPr>
        <w:t>received</w:t>
      </w:r>
      <w:r>
        <w:rPr>
          <w:color w:val="000000"/>
        </w:rPr>
        <w:t xml:space="preserve">” </w:t>
      </w:r>
      <w:r>
        <w:rPr>
          <w:rFonts w:ascii="Times New Roman;sans-serif" w:hAnsi="Times New Roman;sans-serif"/>
          <w:b w:val="false"/>
          <w:color w:val="000000"/>
          <w:sz w:val="20"/>
        </w:rPr>
        <w:t>by a Covered Executive during the fiscal period in which the Financial Reporting Measure applicable to such Incentive-based Compensation (or portion thereof) is attained, even if the payment or grant of such Incentive-based Compensation is made thereafter.</w:t>
      </w:r>
    </w:p>
    <w:p>
      <w:pPr>
        <w:pStyle w:val="TextBody"/>
        <w:bidi w:val="0"/>
        <w:spacing w:lineRule="auto" w:line="240" w:before="230" w:after="283"/>
        <w:ind w:left="0" w:right="0" w:hanging="719"/>
        <w:jc w:val="both"/>
        <w:rPr/>
      </w:pPr>
      <w:r>
        <w:rPr>
          <w:rFonts w:ascii="Times New Roman;sans-serif" w:hAnsi="Times New Roman;sans-serif"/>
          <w:b w:val="false"/>
          <w:color w:val="000000"/>
          <w:sz w:val="20"/>
        </w:rPr>
        <w:t>(c)</w:t>
      </w:r>
      <w:r>
        <w:rPr>
          <w:color w:val="000000"/>
        </w:rPr>
        <w:t>“</w:t>
      </w:r>
      <w:r>
        <w:rPr>
          <w:rFonts w:ascii="Times New Roman;sans-serif" w:hAnsi="Times New Roman;sans-serif"/>
          <w:b/>
          <w:color w:val="000000"/>
          <w:sz w:val="20"/>
        </w:rPr>
        <w:t>Covered Executive</w:t>
      </w:r>
      <w:r>
        <w:rPr>
          <w:color w:val="000000"/>
        </w:rPr>
        <w:t xml:space="preserve">” </w:t>
      </w:r>
      <w:r>
        <w:rPr>
          <w:rFonts w:ascii="Times New Roman;sans-serif" w:hAnsi="Times New Roman;sans-serif"/>
          <w:b w:val="false"/>
          <w:color w:val="000000"/>
          <w:sz w:val="20"/>
        </w:rPr>
        <w:t>means any current or former Executive Officer.</w:t>
      </w:r>
    </w:p>
    <w:p>
      <w:pPr>
        <w:pStyle w:val="TextBody"/>
        <w:bidi w:val="0"/>
        <w:spacing w:lineRule="auto" w:line="240" w:before="230" w:after="283"/>
        <w:ind w:left="0" w:right="0" w:firstLine="720"/>
        <w:jc w:val="both"/>
        <w:rPr/>
      </w:pPr>
      <w:r>
        <w:rPr>
          <w:rFonts w:ascii="Times New Roman;sans-serif" w:hAnsi="Times New Roman;sans-serif"/>
          <w:b w:val="false"/>
          <w:color w:val="000000"/>
          <w:sz w:val="20"/>
        </w:rPr>
        <w:t>(d)</w:t>
      </w:r>
      <w:r>
        <w:rPr>
          <w:color w:val="000000"/>
        </w:rPr>
        <w:t>“</w:t>
      </w: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means the date on which Section 5608 of the Nasdaq Listing Rules becomes effective.</w:t>
      </w:r>
    </w:p>
    <w:p>
      <w:pPr>
        <w:pStyle w:val="TextBody"/>
        <w:bidi w:val="0"/>
        <w:spacing w:lineRule="auto" w:line="240" w:before="229" w:after="283"/>
        <w:ind w:left="0" w:right="0" w:hanging="719"/>
        <w:jc w:val="both"/>
        <w:rPr/>
      </w:pPr>
      <w:r>
        <w:rPr>
          <w:rFonts w:ascii="Times New Roman;sans-serif" w:hAnsi="Times New Roman;sans-serif"/>
          <w:b w:val="false"/>
          <w:color w:val="000000"/>
          <w:sz w:val="20"/>
        </w:rPr>
        <w:t>(e)</w:t>
      </w:r>
      <w:r>
        <w:rPr>
          <w:color w:val="000000"/>
        </w:rPr>
        <w:t>“</w:t>
      </w: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means the U.S. Securities Exchange Act of 1934, as amended.</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(f)</w:t>
      </w:r>
      <w:r>
        <w:rPr>
          <w:color w:val="000000"/>
        </w:rPr>
        <w:t>“</w:t>
      </w:r>
      <w:r>
        <w:rPr>
          <w:rFonts w:ascii="Times New Roman;sans-serif" w:hAnsi="Times New Roman;sans-serif"/>
          <w:b/>
          <w:color w:val="000000"/>
          <w:sz w:val="20"/>
        </w:rPr>
        <w:t>Executive Officer</w:t>
      </w:r>
      <w:r>
        <w:rPr>
          <w:color w:val="000000"/>
        </w:rPr>
        <w:t xml:space="preserve">” </w:t>
      </w:r>
      <w:r>
        <w:rPr>
          <w:rFonts w:ascii="Times New Roman;sans-serif" w:hAnsi="Times New Roman;sans-serif"/>
          <w:b w:val="false"/>
          <w:color w:val="000000"/>
          <w:sz w:val="20"/>
        </w:rPr>
        <w:t>means the executives of the Company listed in the Executive Compensation section of the Company’s Proxy Statement, other executive officers of the Company for SEC reporting purposes and any other elected officers.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(g)</w:t>
      </w:r>
      <w:r>
        <w:rPr>
          <w:color w:val="000000"/>
        </w:rPr>
        <w:t>“</w:t>
      </w:r>
      <w:r>
        <w:rPr>
          <w:rFonts w:ascii="Times New Roman;sans-serif" w:hAnsi="Times New Roman;sans-serif"/>
          <w:b/>
          <w:color w:val="000000"/>
          <w:sz w:val="20"/>
        </w:rPr>
        <w:t>Financial Reporting Measure</w:t>
      </w:r>
      <w:r>
        <w:rPr>
          <w:color w:val="000000"/>
        </w:rPr>
        <w:t xml:space="preserve">” </w:t>
      </w:r>
      <w:r>
        <w:rPr>
          <w:rFonts w:ascii="Times New Roman;sans-serif" w:hAnsi="Times New Roman;sans-serif"/>
          <w:b w:val="false"/>
          <w:color w:val="000000"/>
          <w:sz w:val="20"/>
        </w:rPr>
        <w:t>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pStyle w:val="TextBody"/>
        <w:bidi w:val="0"/>
        <w:spacing w:before="0" w:after="0"/>
        <w:jc w:val="both"/>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0"/>
        </w:rPr>
        <w:t>(h)</w:t>
      </w:r>
      <w:r>
        <w:rPr>
          <w:color w:val="000000"/>
        </w:rPr>
        <w:t>“</w:t>
      </w:r>
      <w:r>
        <w:rPr>
          <w:rFonts w:ascii="Times New Roman;sans-serif" w:hAnsi="Times New Roman;sans-serif"/>
          <w:b/>
          <w:color w:val="000000"/>
          <w:sz w:val="20"/>
        </w:rPr>
        <w:t>Financial Restatement</w:t>
      </w:r>
      <w:r>
        <w:rPr>
          <w:color w:val="000000"/>
        </w:rPr>
        <w:t xml:space="preserve">” </w:t>
      </w:r>
      <w:r>
        <w:rPr>
          <w:rFonts w:ascii="Times New Roman;sans-serif" w:hAnsi="Times New Roman;sans-serif"/>
          <w:b w:val="false"/>
          <w:color w:val="000000"/>
          <w:sz w:val="20"/>
        </w:rPr>
        <w:t>means a restatement of the Company’s financial statements due to the Company’s material noncompliance with any financial reporting requirement under U.S. federal securities laws that is required in order to correct: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(i)an error in previously issued financial statements that is material to the previously issued financial statements; or</w:t>
      </w:r>
    </w:p>
    <w:p>
      <w:pPr>
        <w:pStyle w:val="TextBody"/>
        <w:bidi w:val="0"/>
        <w:spacing w:lineRule="auto" w:line="240" w:before="23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 an error that would result in a material misstatement if (A) the error was corrected in the current period or (B) left uncorrected in the current period.</w:t>
      </w:r>
    </w:p>
    <w:p>
      <w:pPr>
        <w:pStyle w:val="TextBody"/>
        <w:bidi w:val="0"/>
        <w:spacing w:lineRule="auto" w:line="240" w:before="23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Policy, a Financial Restatement shall not be deemed to occur in the event of a restatement of the Company’s financial statements due to an out-of-period adjustment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pStyle w:val="TextBody"/>
        <w:bidi w:val="0"/>
        <w:spacing w:lineRule="auto" w:line="240" w:before="230" w:after="283"/>
        <w:ind w:left="0" w:right="0" w:firstLine="720"/>
        <w:jc w:val="both"/>
        <w:rPr/>
      </w:pPr>
      <w:r>
        <w:rPr>
          <w:rFonts w:ascii="Times New Roman;sans-serif" w:hAnsi="Times New Roman;sans-serif"/>
          <w:b w:val="false"/>
          <w:color w:val="000000"/>
          <w:sz w:val="20"/>
        </w:rPr>
        <w:t>(j)</w:t>
      </w:r>
      <w:r>
        <w:rPr>
          <w:color w:val="000000"/>
        </w:rPr>
        <w:t>“</w:t>
      </w:r>
      <w:r>
        <w:rPr>
          <w:rFonts w:ascii="Times New Roman;sans-serif" w:hAnsi="Times New Roman;sans-serif"/>
          <w:b/>
          <w:color w:val="000000"/>
          <w:sz w:val="20"/>
        </w:rPr>
        <w:t xml:space="preserve">Incentive-based Compensation” </w:t>
      </w:r>
      <w:r>
        <w:rPr>
          <w:rFonts w:ascii="Times New Roman;sans-serif" w:hAnsi="Times New Roman;sans-serif"/>
          <w:b w:val="false"/>
          <w:color w:val="000000"/>
          <w:sz w:val="20"/>
        </w:rPr>
        <w:t>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pStyle w:val="TextBody"/>
        <w:bidi w:val="0"/>
        <w:spacing w:lineRule="auto" w:line="240" w:before="230" w:after="283"/>
        <w:ind w:left="0" w:right="0" w:hanging="719"/>
        <w:jc w:val="both"/>
        <w:rPr/>
      </w:pPr>
      <w:r>
        <w:rPr>
          <w:rFonts w:ascii="Times New Roman;sans-serif" w:hAnsi="Times New Roman;sans-serif"/>
          <w:b w:val="false"/>
          <w:color w:val="000000"/>
          <w:sz w:val="20"/>
        </w:rPr>
        <w:t>(k)</w:t>
      </w:r>
      <w:r>
        <w:rPr>
          <w:color w:val="000000"/>
        </w:rPr>
        <w:t>“</w:t>
      </w:r>
      <w:r>
        <w:rPr>
          <w:rFonts w:ascii="Times New Roman;sans-serif" w:hAnsi="Times New Roman;sans-serif"/>
          <w:b/>
          <w:color w:val="000000"/>
          <w:sz w:val="20"/>
        </w:rPr>
        <w:t>Nasdaq</w:t>
      </w:r>
      <w:r>
        <w:rPr>
          <w:color w:val="000000"/>
        </w:rPr>
        <w:t xml:space="preserve">” </w:t>
      </w:r>
      <w:r>
        <w:rPr>
          <w:rFonts w:ascii="Times New Roman;sans-serif" w:hAnsi="Times New Roman;sans-serif"/>
          <w:b w:val="false"/>
          <w:color w:val="000000"/>
          <w:sz w:val="20"/>
        </w:rPr>
        <w:t>means the NASDAQ Global Select Market, or any successor thereof.</w:t>
      </w:r>
    </w:p>
    <w:p>
      <w:pPr>
        <w:pStyle w:val="TextBody"/>
        <w:bidi w:val="0"/>
        <w:spacing w:lineRule="auto" w:line="240" w:before="230" w:after="283"/>
        <w:ind w:left="0" w:right="0" w:firstLine="720"/>
        <w:jc w:val="both"/>
        <w:rPr/>
      </w:pPr>
      <w:r>
        <w:rPr>
          <w:rFonts w:ascii="Times New Roman;sans-serif" w:hAnsi="Times New Roman;sans-serif"/>
          <w:b w:val="false"/>
          <w:color w:val="000000"/>
          <w:sz w:val="20"/>
        </w:rPr>
        <w:t>(l)</w:t>
      </w:r>
      <w:r>
        <w:rPr>
          <w:color w:val="000000"/>
        </w:rPr>
        <w:t>“</w:t>
      </w:r>
      <w:r>
        <w:rPr>
          <w:rFonts w:ascii="Times New Roman;sans-serif" w:hAnsi="Times New Roman;sans-serif"/>
          <w:b/>
          <w:color w:val="000000"/>
          <w:sz w:val="20"/>
        </w:rPr>
        <w:t>Recoupment Period</w:t>
      </w:r>
      <w:r>
        <w:rPr>
          <w:color w:val="000000"/>
        </w:rPr>
        <w:t xml:space="preserve">” </w:t>
      </w:r>
      <w:r>
        <w:rPr>
          <w:rFonts w:ascii="Times New Roman;sans-serif" w:hAnsi="Times New Roman;sans-serif"/>
          <w:b w:val="false"/>
          <w:color w:val="000000"/>
          <w:sz w:val="20"/>
        </w:rPr>
        <w:t>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compromises a period of nine (9) to twelve (12) months would be deemed a completed fiscal year.</w:t>
      </w:r>
    </w:p>
    <w:p>
      <w:pPr>
        <w:pStyle w:val="TextBody"/>
        <w:bidi w:val="0"/>
        <w:spacing w:lineRule="auto" w:line="240" w:before="230" w:after="283"/>
        <w:ind w:left="0" w:right="0" w:firstLine="720"/>
        <w:jc w:val="both"/>
        <w:rPr/>
      </w:pPr>
      <w:r>
        <w:rPr>
          <w:rFonts w:ascii="Times New Roman;sans-serif" w:hAnsi="Times New Roman;sans-serif"/>
          <w:b w:val="false"/>
          <w:color w:val="000000"/>
          <w:sz w:val="20"/>
        </w:rPr>
        <w:t>(m)</w:t>
      </w:r>
      <w:r>
        <w:rPr>
          <w:color w:val="000000"/>
        </w:rPr>
        <w:t>“</w:t>
      </w:r>
      <w:r>
        <w:rPr>
          <w:rFonts w:ascii="Times New Roman;sans-serif" w:hAnsi="Times New Roman;sans-serif"/>
          <w:b/>
          <w:color w:val="000000"/>
          <w:sz w:val="20"/>
        </w:rPr>
        <w:t>Recoupment Trigger Date</w:t>
      </w:r>
      <w:r>
        <w:rPr>
          <w:color w:val="000000"/>
        </w:rPr>
        <w:t xml:space="preserve">” </w:t>
      </w:r>
      <w:r>
        <w:rPr>
          <w:rFonts w:ascii="Times New Roman;sans-serif" w:hAnsi="Times New Roman;sans-serif"/>
          <w:b w:val="false"/>
          <w:color w:val="000000"/>
          <w:sz w:val="20"/>
        </w:rPr>
        <w:t>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causes the Company to prepare a Financial Restatement.</w:t>
      </w:r>
    </w:p>
    <w:p>
      <w:pPr>
        <w:pStyle w:val="TextBody"/>
        <w:bidi w:val="0"/>
        <w:spacing w:lineRule="auto" w:line="240" w:before="230" w:after="283"/>
        <w:ind w:left="0" w:right="0" w:hanging="359"/>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Recoupment of Erroneously Awarded Compensation</w:t>
      </w:r>
      <w:r>
        <w:rPr>
          <w:rFonts w:ascii="Times New Roman;sans-serif" w:hAnsi="Times New Roman;sans-serif"/>
          <w:b w:val="false"/>
          <w:color w:val="000000"/>
          <w:sz w:val="20"/>
        </w:rPr>
        <w:t>.</w:t>
      </w:r>
    </w:p>
    <w:p>
      <w:pPr>
        <w:pStyle w:val="TextBody"/>
        <w:bidi w:val="0"/>
        <w:spacing w:lineRule="auto" w:line="240" w:before="230" w:after="283"/>
        <w:ind w:left="0" w:right="0" w:firstLine="720"/>
        <w:jc w:val="both"/>
        <w:rPr/>
      </w:pPr>
      <w:r>
        <w:rPr>
          <w:rFonts w:ascii="Times New Roman;sans-serif" w:hAnsi="Times New Roman;sans-serif"/>
          <w:b w:val="false"/>
          <w:color w:val="000000"/>
          <w:sz w:val="20"/>
        </w:rPr>
        <w:t>(a)In the event of a Financial Restatement, if the amount of any Covered Compensation received by a Covered Executive (the “</w:t>
      </w:r>
      <w:r>
        <w:rPr>
          <w:rFonts w:ascii="Times New Roman;sans-serif" w:hAnsi="Times New Roman;sans-serif"/>
          <w:b/>
          <w:color w:val="000000"/>
          <w:sz w:val="20"/>
        </w:rPr>
        <w:t>Awarded Compensation</w:t>
      </w:r>
      <w:r>
        <w:rPr>
          <w:color w:val="000000"/>
        </w:rPr>
        <w:t>”</w:t>
      </w:r>
      <w:r>
        <w:rPr>
          <w:rFonts w:ascii="Times New Roman;sans-serif" w:hAnsi="Times New Roman;sans-serif"/>
          <w:b w:val="false"/>
          <w:color w:val="000000"/>
          <w:sz w:val="20"/>
        </w:rPr>
        <w:t>) exceeds the amount of such Covered Compensation that would have otherwise been received by such Covered Executive if calculated based on the Financial Restatement (the “</w:t>
      </w:r>
      <w:r>
        <w:rPr>
          <w:rFonts w:ascii="Times New Roman;sans-serif" w:hAnsi="Times New Roman;sans-serif"/>
          <w:b/>
          <w:color w:val="000000"/>
          <w:sz w:val="20"/>
        </w:rPr>
        <w:t>Adjusted Compensation</w:t>
      </w:r>
      <w:r>
        <w:rPr>
          <w:color w:val="000000"/>
        </w:rPr>
        <w:t>”</w:t>
      </w:r>
      <w:r>
        <w:rPr>
          <w:rFonts w:ascii="Times New Roman;sans-serif" w:hAnsi="Times New Roman;sans-serif"/>
          <w:b w:val="false"/>
          <w:color w:val="000000"/>
          <w:sz w:val="20"/>
        </w:rPr>
        <w:t>), the Company shall reasonably promptly recover from such Covered Executive an amount equal to the excess of the Received Compensation over the Adjusted Compensation, each calculated on a pre-tax basis (such excess amount, the “</w:t>
      </w:r>
      <w:r>
        <w:rPr>
          <w:rFonts w:ascii="Times New Roman;sans-serif" w:hAnsi="Times New Roman;sans-serif"/>
          <w:b/>
          <w:color w:val="000000"/>
          <w:sz w:val="20"/>
        </w:rPr>
        <w:t>Erroneously Awarded Compensation</w:t>
      </w:r>
      <w:r>
        <w:rPr>
          <w:color w:val="000000"/>
        </w:rPr>
        <w:t>”</w:t>
      </w:r>
      <w:r>
        <w:rPr>
          <w:rFonts w:ascii="Times New Roman;sans-serif" w:hAnsi="Times New Roman;sans-serif"/>
          <w:b w:val="false"/>
          <w:color w:val="000000"/>
          <w:sz w:val="20"/>
        </w:rPr>
        <w:t>), subject to Section (2)(b) hereof.</w:t>
      </w:r>
    </w:p>
    <w:p>
      <w:pPr>
        <w:pStyle w:val="TextBody"/>
        <w:bidi w:val="0"/>
        <w:spacing w:lineRule="auto" w:line="240" w:before="23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pStyle w:val="TextBody"/>
        <w:bidi w:val="0"/>
        <w:spacing w:lineRule="auto" w:line="240" w:before="23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28650"/>
                <wp:effectExtent l="0" t="0" r="0" b="0"/>
                <wp:wrapNone/>
                <wp:docPr id="149" name="Frame14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pStyle w:val="TextBody"/>
        <w:bidi w:val="0"/>
        <w:spacing w:lineRule="auto" w:line="240" w:before="230" w:after="283"/>
        <w:ind w:left="0" w:right="0" w:firstLine="1080"/>
        <w:jc w:val="both"/>
        <w:rPr/>
      </w:pPr>
      <w:r>
        <w:rPr>
          <w:rFonts w:ascii="Times New Roman;sans-serif" w:hAnsi="Times New Roman;sans-serif"/>
          <w:b w:val="false"/>
          <w:color w:val="000000"/>
          <w:sz w:val="20"/>
        </w:rPr>
        <w:t xml:space="preserve">(i)the direct expense paid to a third party to assist in enforcing the recovery of the Erroneously Awarded Compensation under this Policy would exceed the amount of such Erroneously Awarded Compensation to be recovered;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any required documentation to Nasdaq;</w:t>
      </w:r>
    </w:p>
    <w:p>
      <w:pPr>
        <w:pStyle w:val="TextBody"/>
        <w:bidi w:val="0"/>
        <w:spacing w:lineRule="auto" w:line="240" w:before="230" w:after="283"/>
        <w:ind w:left="0" w:right="0" w:firstLine="1080"/>
        <w:jc w:val="both"/>
        <w:rPr/>
      </w:pPr>
      <w:r>
        <w:rPr>
          <w:rFonts w:ascii="Times New Roman;sans-serif" w:hAnsi="Times New Roman;sans-serif"/>
          <w:b w:val="false"/>
          <w:color w:val="000000"/>
          <w:sz w:val="20"/>
        </w:rPr>
        <w:t>(ii)recovery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sans-serif" w:hAnsi="Times New Roman;sans-serif"/>
          <w:b/>
          <w:color w:val="000000"/>
          <w:sz w:val="20"/>
        </w:rPr>
        <w:t>Code</w:t>
      </w:r>
      <w:r>
        <w:rPr>
          <w:color w:val="000000"/>
        </w:rPr>
        <w:t>”</w:t>
      </w:r>
      <w:r>
        <w:rPr>
          <w:rFonts w:ascii="Times New Roman;sans-serif" w:hAnsi="Times New Roman;sans-serif"/>
          <w:b w:val="false"/>
          <w:color w:val="000000"/>
          <w:sz w:val="20"/>
        </w:rPr>
        <w:t>).</w:t>
      </w:r>
    </w:p>
    <w:p>
      <w:pPr>
        <w:pStyle w:val="TextBody"/>
        <w:bidi w:val="0"/>
        <w:spacing w:lineRule="auto" w:line="240" w:before="230" w:after="283"/>
        <w:ind w:left="0" w:right="0" w:firstLine="465"/>
        <w:jc w:val="both"/>
        <w:rPr>
          <w:rFonts w:ascii="Times New Roman;sans-serif" w:hAnsi="Times New Roman;sans-serif"/>
          <w:b w:val="false"/>
          <w:color w:val="000000"/>
          <w:sz w:val="20"/>
        </w:rPr>
      </w:pPr>
      <w:r>
        <w:rPr>
          <w:rFonts w:ascii="Times New Roman;sans-serif" w:hAnsi="Times New Roman;sans-serif"/>
          <w:b w:val="false"/>
          <w:color w:val="000000"/>
          <w:sz w:val="20"/>
        </w:rPr>
        <w:t>(e)The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pStyle w:val="TextBody"/>
        <w:bidi w:val="0"/>
        <w:spacing w:lineRule="auto" w:line="240" w:before="230" w:after="283"/>
        <w:ind w:left="0" w:right="0" w:firstLine="465"/>
        <w:jc w:val="both"/>
        <w:rPr/>
      </w:pPr>
      <w:r>
        <w:rPr>
          <w:rFonts w:ascii="Times New Roman;sans-serif" w:hAnsi="Times New Roman;sans-serif"/>
          <w:b w:val="false"/>
          <w:color w:val="000000"/>
          <w:sz w:val="20"/>
        </w:rPr>
        <w:t xml:space="preserve">(f)The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pStyle w:val="TextBody"/>
        <w:bidi w:val="0"/>
        <w:spacing w:lineRule="auto" w:line="240" w:before="230" w:after="283"/>
        <w:ind w:left="0" w:right="0" w:firstLine="45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Administration</w:t>
      </w:r>
      <w:r>
        <w:rPr>
          <w:rFonts w:ascii="Times New Roman;sans-serif" w:hAnsi="Times New Roman;sans-serif"/>
          <w:b w:val="false"/>
          <w:color w:val="000000"/>
          <w:sz w:val="20"/>
        </w:rPr>
        <w:t>. This Policy shall be administered by the Committee. All decisions of the Committee shall be final, conclusive and binding upon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w:t>
      </w:r>
    </w:p>
    <w:p>
      <w:pPr>
        <w:pStyle w:val="TextBody"/>
        <w:bidi w:val="0"/>
        <w:spacing w:lineRule="auto" w:line="240" w:before="230" w:after="283"/>
        <w:ind w:left="0" w:right="0" w:firstLine="45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Amendment/Termination</w:t>
      </w:r>
      <w:r>
        <w:rPr>
          <w:rFonts w:ascii="Times New Roman;sans-serif" w:hAnsi="Times New Roman;sans-serif"/>
          <w:b w:val="false"/>
          <w:color w:val="000000"/>
          <w:sz w:val="20"/>
        </w:rPr>
        <w:t>. Subject to Section 10D of the Exchange Act and Section 5608 of the Nasdaq Listing Rules,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pStyle w:val="TextBody"/>
        <w:bidi w:val="0"/>
        <w:spacing w:lineRule="auto" w:line="283" w:before="230" w:after="283"/>
        <w:ind w:left="0" w:right="0" w:firstLine="45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Interpretation</w:t>
      </w:r>
      <w:r>
        <w:rPr>
          <w:rFonts w:ascii="Times New Roman;sans-serif" w:hAnsi="Times New Roman;sans-serif"/>
          <w:b w:val="false"/>
          <w:color w:val="000000"/>
          <w:sz w:val="20"/>
        </w:rPr>
        <w:t>. 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the provisions of this Policy shall be interpreted in a manner that satisfies such requirements and this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28650"/>
                <wp:effectExtent l="0" t="0" r="0" b="0"/>
                <wp:wrapNone/>
                <wp:docPr id="150" name="Frame14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Policy shall be operated accordingly. If any provision of this Policy would otherwise frustrate or conflict with this intent, the provision shall be interpreted and deemed amended so as to avoid such conflict.</w:t>
      </w:r>
    </w:p>
    <w:p>
      <w:pPr>
        <w:pStyle w:val="TextBody"/>
        <w:bidi w:val="0"/>
        <w:spacing w:lineRule="auto" w:line="240" w:before="230" w:after="283"/>
        <w:ind w:left="0" w:right="0" w:firstLine="45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Other Compensation Clawback/Recoupment Rights</w:t>
      </w:r>
      <w:r>
        <w:rPr>
          <w:rFonts w:ascii="Times New Roman;sans-serif" w:hAnsi="Times New Roman;sans-serif"/>
          <w:b w:val="false"/>
          <w:color w:val="000000"/>
          <w:sz w:val="20"/>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any amounts recouped or clawed back under any other policy that would be recoupable under this Policy shall count toward any required clawback or recoupment under this Policy and vice versa.</w:t>
      </w:r>
    </w:p>
    <w:p>
      <w:pPr>
        <w:pStyle w:val="TextBody"/>
        <w:bidi w:val="0"/>
        <w:spacing w:lineRule="auto" w:line="240" w:before="230" w:after="283"/>
        <w:ind w:left="0" w:right="0" w:firstLine="45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Exempt Compensation</w:t>
      </w:r>
      <w:r>
        <w:rPr>
          <w:rFonts w:ascii="Times New Roman;sans-serif" w:hAnsi="Times New Roman;sans-serif"/>
          <w:b w:val="false"/>
          <w:color w:val="000000"/>
          <w:sz w:val="20"/>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such amounts are in no way contingent on, and were not in any way granted on the basis of, the achievement of any Financial Reporting Measure performance goal.</w:t>
      </w:r>
    </w:p>
    <w:p>
      <w:pPr>
        <w:pStyle w:val="TextBody"/>
        <w:bidi w:val="0"/>
        <w:spacing w:lineRule="auto" w:line="240" w:before="230" w:after="283"/>
        <w:ind w:left="0" w:right="0" w:hanging="359"/>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Miscellaneous</w:t>
      </w:r>
      <w:r>
        <w:rPr>
          <w:rFonts w:ascii="Times New Roman;sans-serif" w:hAnsi="Times New Roman;sans-serif"/>
          <w:b w:val="false"/>
          <w:color w:val="000000"/>
          <w:sz w:val="20"/>
        </w:rPr>
        <w:t>.</w:t>
      </w:r>
    </w:p>
    <w:p>
      <w:pPr>
        <w:pStyle w:val="TextBody"/>
        <w:bidi w:val="0"/>
        <w:spacing w:lineRule="auto" w:line="240" w:before="230" w:after="283"/>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(a)Any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MongoDB, Inc.’s Amended and Restated 2016 Equity Incentive Plan and any successor plan thereto.</w:t>
      </w:r>
    </w:p>
    <w:p>
      <w:pPr>
        <w:pStyle w:val="TextBody"/>
        <w:bidi w:val="0"/>
        <w:spacing w:lineRule="auto" w:line="240" w:before="230" w:after="283"/>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(b)This Policy shall be binding and enforceable against all Covered Executives and their beneficiaries, heirs, executors, administrators or other legal representatives.</w:t>
      </w:r>
    </w:p>
    <w:p>
      <w:pPr>
        <w:pStyle w:val="TextBody"/>
        <w:bidi w:val="0"/>
        <w:spacing w:lineRule="auto" w:line="240" w:before="230" w:after="283"/>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(c)All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pStyle w:val="TextBody"/>
        <w:bidi w:val="0"/>
        <w:spacing w:lineRule="auto" w:line="240" w:before="230" w:after="283"/>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(d)The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as follows:</w:t>
      </w:r>
    </w:p>
    <w:p>
      <w:pPr>
        <w:pStyle w:val="TextBody"/>
        <w:bidi w:val="0"/>
        <w:spacing w:lineRule="auto" w:line="240" w:before="230" w:after="283"/>
        <w:ind w:left="0" w:right="0" w:firstLine="1080"/>
        <w:jc w:val="both"/>
        <w:rPr/>
      </w:pPr>
      <w:r>
        <w:rPr>
          <w:rFonts w:ascii="Times New Roman;sans-serif" w:hAnsi="Times New Roman;sans-serif"/>
          <w:b w:val="false"/>
          <w:color w:val="000000"/>
          <w:sz w:val="20"/>
        </w:rPr>
        <w:t>1.In the event that the Covered Executive is party to an arbitration agreement, including such arbitration agreement contained in any employment agreement, offer letter, restrictive covenant agreement, equity award agreement or similar agreement (such agreement, the “</w:t>
      </w:r>
      <w:r>
        <w:rPr>
          <w:rFonts w:ascii="Times New Roman;sans-serif" w:hAnsi="Times New Roman;sans-serif"/>
          <w:b/>
          <w:color w:val="000000"/>
          <w:sz w:val="20"/>
        </w:rPr>
        <w:t>Arbitration Agreement</w:t>
      </w:r>
      <w:r>
        <w:rPr>
          <w:color w:val="000000"/>
        </w:rPr>
        <w:t>”</w:t>
      </w:r>
      <w:r>
        <w:rPr>
          <w:rFonts w:ascii="Times New Roman;sans-serif" w:hAnsi="Times New Roman;sans-serif"/>
          <w:b w:val="false"/>
          <w:color w:val="000000"/>
          <w:sz w:val="20"/>
        </w:rPr>
        <w:t>), then the terms of such Arbitration Agreement shall control.</w:t>
      </w:r>
    </w:p>
    <w:p>
      <w:pPr>
        <w:pStyle w:val="TextBody"/>
        <w:bidi w:val="0"/>
        <w:spacing w:lineRule="auto" w:line="240" w:before="230" w:after="283"/>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2.In the event that the Covered Executive is not a party to an Arbitration Agreement, to the fullest extent permitted by law, such disputes, claims or causes of action shall be resolved by final and binding arbitration, by a single neutral arbitrator, in New York, New York, conducted by Judicial Arbitration and Mediation Services,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28650"/>
                <wp:effectExtent l="0" t="0" r="0" b="0"/>
                <wp:wrapNone/>
                <wp:docPr id="151" name="Frame15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both"/>
        <w:rPr/>
      </w:pPr>
      <w:r>
        <w:rPr>
          <w:rFonts w:ascii="Times New Roman;sans-serif" w:hAnsi="Times New Roman;sans-serif"/>
          <w:b w:val="false"/>
          <w:color w:val="000000"/>
          <w:sz w:val="20"/>
        </w:rPr>
        <w:t>Inc. (“</w:t>
      </w:r>
      <w:r>
        <w:rPr>
          <w:rFonts w:ascii="Times New Roman;sans-serif" w:hAnsi="Times New Roman;sans-serif"/>
          <w:b/>
          <w:color w:val="000000"/>
          <w:sz w:val="20"/>
        </w:rPr>
        <w:t>JAMS</w:t>
      </w:r>
      <w:r>
        <w:rPr>
          <w:color w:val="000000"/>
        </w:rPr>
        <w:t>”</w:t>
      </w:r>
      <w:r>
        <w:rPr>
          <w:rFonts w:ascii="Times New Roman;sans-serif" w:hAnsi="Times New Roman;sans-serif"/>
          <w:b w:val="false"/>
          <w:color w:val="000000"/>
          <w:sz w:val="20"/>
        </w:rPr>
        <w:t xml:space="preserve">) in accordance with the JAMS employment arbitration rules then in effect. The JAMS rules may be found and reviewed at </w:t>
      </w:r>
      <w:r>
        <w:rPr>
          <w:rFonts w:ascii="Times New Roman;sans-serif" w:hAnsi="Times New Roman;sans-serif"/>
          <w:b w:val="false"/>
          <w:color w:val="000000"/>
          <w:sz w:val="20"/>
          <w:u w:val="single"/>
        </w:rPr>
        <w:t>http://www.jamsadr.com/rules-employment-arbitration</w:t>
      </w:r>
      <w:r>
        <w:rPr>
          <w:rFonts w:ascii="Times New Roman;sans-serif" w:hAnsi="Times New Roman;sans-serif"/>
          <w:b w:val="false"/>
          <w:color w:val="000000"/>
          <w:sz w:val="20"/>
        </w:rPr>
        <w:t>. To the fullest extent permitted by law, the Covered Executives, their beneficiaries, executors, administrators and any other legal representatives, and the Company, shall waive (and shall hereby be deemed to have waived) (1) the right to resolve any such dispute through a trial by jury or judge or administrative proceeding; (2) any objection to arbitration taking place in New York, New York and (3) the right to resolve any dispute regarding enforcement of an arbitrator’s award through a trial by jury.</w:t>
      </w:r>
    </w:p>
    <w:p>
      <w:pPr>
        <w:pStyle w:val="TextBody"/>
        <w:bidi w:val="0"/>
        <w:spacing w:lineRule="auto" w:line="297" w:before="230" w:after="283"/>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(a)If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pStyle w:val="TextBody"/>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28650"/>
                <wp:effectExtent l="0" t="0" r="0" b="0"/>
                <wp:wrapNone/>
                <wp:docPr id="152" name="Frame1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41816/000110465917063753/a17-24439_1ex3d1.htm" TargetMode="External"/><Relationship Id="rId4" Type="http://schemas.openxmlformats.org/officeDocument/2006/relationships/hyperlink" Target="http://www.sec.gov/Archives/edgar/data/1441816/000104746917006014/a2233365zex-3_4.htm" TargetMode="External"/><Relationship Id="rId5" Type="http://schemas.openxmlformats.org/officeDocument/2006/relationships/hyperlink" Target="https://www.sec.gov/Archives/edgar/data/0001441816/000144181620000114/mdb-certificateofretir.htm" TargetMode="External"/><Relationship Id="rId6" Type="http://schemas.openxmlformats.org/officeDocument/2006/relationships/hyperlink" Target="http://www.sec.gov/Archives/edgar/data/1441816/000104746917006246/a2233386zex-4_1.htm" TargetMode="External"/><Relationship Id="rId7" Type="http://schemas.openxmlformats.org/officeDocument/2006/relationships/hyperlink" Target="https://www.sec.gov/Archives/edgar/data/1441816/000110465920003938/tm201523d2_ex4-1.htm" TargetMode="External"/><Relationship Id="rId8" Type="http://schemas.openxmlformats.org/officeDocument/2006/relationships/hyperlink" Target="https://www.sec.gov/Archives/edgar/data/1441816/000110465920003938/tm201523d2_ex4-1.htm" TargetMode="External"/><Relationship Id="rId9" Type="http://schemas.openxmlformats.org/officeDocument/2006/relationships/hyperlink" Target="http://www.sec.gov/Archives/edgar/data/1441816/000104746917006014/a2233365zex-10_1.htm" TargetMode="External"/><Relationship Id="rId10" Type="http://schemas.openxmlformats.org/officeDocument/2006/relationships/hyperlink" Target="http://www.sec.gov/Archives/edgar/data/1441816/000104746917006246/a2233386zex-10_2.htm" TargetMode="External"/><Relationship Id="rId11" Type="http://schemas.openxmlformats.org/officeDocument/2006/relationships/hyperlink" Target="https://www.sec.gov/Archives/edgar/data/1441816/000144181622000059/a103amendedandrestatedform.htm" TargetMode="External"/><Relationship Id="rId12" Type="http://schemas.openxmlformats.org/officeDocument/2006/relationships/hyperlink" Target="http://www.sec.gov/Archives/edgar/data/1441816/000144181618000028/mdb-13118x10kxex103.htm" TargetMode="External"/><Relationship Id="rId13" Type="http://schemas.openxmlformats.org/officeDocument/2006/relationships/hyperlink" Target="http://www.sec.gov/Archives/edgar/data/1441816/000104746917006246/a2233386zex-10_3.htm" TargetMode="External"/><Relationship Id="rId14" Type="http://schemas.openxmlformats.org/officeDocument/2006/relationships/hyperlink" Target="http://www.sec.gov/Archives/edgar/data/1441816/000104746917006246/a2233386zex-10_4.htm" TargetMode="External"/><Relationship Id="rId15" Type="http://schemas.openxmlformats.org/officeDocument/2006/relationships/hyperlink" Target="http://www.sec.gov/Archives/edgar/data/1441816/000104746917006014/a2233365zex-10_5.htm" TargetMode="External"/><Relationship Id="rId16" Type="http://schemas.openxmlformats.org/officeDocument/2006/relationships/hyperlink" Target="https://www.sec.gov/Archives/edgar/data/1441816/000144181622000059/a108secondamendedandrestat.htm" TargetMode="External"/><Relationship Id="rId17" Type="http://schemas.openxmlformats.org/officeDocument/2006/relationships/hyperlink" Target="https://www.sec.gov/Archives/edgar/data/1441816/000144181622000059/a109secondamendedandrestat.htm" TargetMode="External"/><Relationship Id="rId18" Type="http://schemas.openxmlformats.org/officeDocument/2006/relationships/hyperlink" Target="https://www.sec.gov/Archives/edgar/data/1441816/000144181622000059/a1010amendedandrestatedemp.htm" TargetMode="External"/><Relationship Id="rId19" Type="http://schemas.openxmlformats.org/officeDocument/2006/relationships/hyperlink" Target="https://www.sec.gov/Archives/edgar/data/1441816/000144181622000059/a1011amendedandrestatedoff.htm" TargetMode="External"/><Relationship Id="rId20" Type="http://schemas.openxmlformats.org/officeDocument/2006/relationships/hyperlink" Target="https://www.sec.gov/Archives/edgar/data/1441816/000144181623000087/markporteremploymentagreem.htm" TargetMode="External"/><Relationship Id="rId21" Type="http://schemas.openxmlformats.org/officeDocument/2006/relationships/hyperlink" Target="https://www.sec.gov/Archives/edgar/data/1441816/000144181623000087/markporteremploymentagreem.htm" TargetMode="External"/><Relationship Id="rId22" Type="http://schemas.openxmlformats.org/officeDocument/2006/relationships/hyperlink" Target="https://www.sec.gov/Archives/edgar/data/1441816/000144181623000087/markporteremploymentagreem.htm" TargetMode="External"/><Relationship Id="rId23" Type="http://schemas.openxmlformats.org/officeDocument/2006/relationships/hyperlink" Target="https://www.sec.gov/Archives/edgar/data/1441816/000144181623000087/markporteremploymentagreem.htm" TargetMode="External"/><Relationship Id="rId24" Type="http://schemas.openxmlformats.org/officeDocument/2006/relationships/hyperlink" Target="https://www.sec.gov/Archives/edgar/data/1441816/000144181623000087/markporteremploymentagreem.htm" TargetMode="External"/><Relationship Id="rId25" Type="http://schemas.openxmlformats.org/officeDocument/2006/relationships/hyperlink" Target="https://www.sec.gov/Archives/edgar/data/1441816/000144181623000168/markporterseparationagreem.htm" TargetMode="External"/><Relationship Id="rId26" Type="http://schemas.openxmlformats.org/officeDocument/2006/relationships/hyperlink" Target="http://www.sec.gov/Archives/edgar/data/1441816/000144181618000028/mdb-1318x10kxex1012.htm" TargetMode="External"/><Relationship Id="rId27" Type="http://schemas.openxmlformats.org/officeDocument/2006/relationships/hyperlink" Target="https://www.sec.gov/Archives/edgar/data/1441816/000110465918042924/a18-16173_1ex99d1.htm" TargetMode="External"/><Relationship Id="rId28" Type="http://schemas.openxmlformats.org/officeDocument/2006/relationships/hyperlink" Target="https://www.sec.gov/Archives/edgar/data/1441816/000110465918042924/a18-16173_1ex99d2.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89377</Words>
  <Characters>496428</Characters>
  <CharactersWithSpaces>582957</CharactersWithSpaces>
  <Paragraphs>4342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