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Bull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sale of shares of Class A common stock to satisfy the Reporting Person's tax withholding obligations in connection with the non-reportable service-based vesting and settlement of restricted stock units.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9887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2024-10-04T16:38:07Z</dcterms:created>
  <dcterms:modified xsi:type="dcterms:W3CDTF">2024-10-04T16:38:07Z</dcterms:modified>
</cp:coreProperties>
</file>