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686435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711200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91"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_____________________</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FORM 10-K</w:t>
      </w:r>
    </w:p>
    <w:p>
      <w:pPr>
        <w:ind w:left="4900"/>
        <w:spacing w:after="0"/>
        <w:rPr>
          <w:sz w:val="20"/>
          <w:szCs w:val="20"/>
          <w:color w:val="auto"/>
        </w:rPr>
      </w:pPr>
      <w:r>
        <w:rPr>
          <w:rFonts w:ascii="Arial" w:cs="Arial" w:eastAsia="Arial" w:hAnsi="Arial"/>
          <w:sz w:val="14"/>
          <w:szCs w:val="14"/>
          <w:color w:val="auto"/>
        </w:rPr>
        <w:t>_____________________</w:t>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5" w:lineRule="exact"/>
        <w:rPr>
          <w:sz w:val="24"/>
          <w:szCs w:val="24"/>
          <w:color w:val="auto"/>
        </w:rPr>
      </w:pPr>
    </w:p>
    <w:p>
      <w:pPr>
        <w:ind w:left="1020" w:hanging="388"/>
        <w:spacing w:after="0"/>
        <w:tabs>
          <w:tab w:leader="none" w:pos="10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16" w:lineRule="exact"/>
        <w:rPr>
          <w:rFonts w:ascii="MS PGothic" w:cs="MS PGothic" w:eastAsia="MS PGothic" w:hAnsi="MS PGothic"/>
          <w:sz w:val="21"/>
          <w:szCs w:val="21"/>
          <w:color w:val="auto"/>
        </w:rPr>
      </w:pPr>
    </w:p>
    <w:p>
      <w:pPr>
        <w:ind w:left="4140"/>
        <w:spacing w:after="0"/>
        <w:rPr>
          <w:rFonts w:ascii="MS PGothic" w:cs="MS PGothic" w:eastAsia="MS PGothic" w:hAnsi="MS PGothic"/>
          <w:sz w:val="21"/>
          <w:szCs w:val="21"/>
          <w:color w:val="auto"/>
        </w:rPr>
      </w:pPr>
      <w:r>
        <w:rPr>
          <w:rFonts w:ascii="Arial" w:cs="Arial" w:eastAsia="Arial" w:hAnsi="Arial"/>
          <w:sz w:val="17"/>
          <w:szCs w:val="17"/>
          <w:color w:val="auto"/>
        </w:rPr>
        <w:t>For the fiscal year ended January 31, 2022</w:t>
      </w:r>
    </w:p>
    <w:p>
      <w:pPr>
        <w:spacing w:after="0" w:line="118" w:lineRule="exact"/>
        <w:rPr>
          <w:rFonts w:ascii="MS PGothic" w:cs="MS PGothic" w:eastAsia="MS PGothic" w:hAnsi="MS PGothic"/>
          <w:sz w:val="21"/>
          <w:szCs w:val="21"/>
          <w:color w:val="auto"/>
        </w:rPr>
      </w:pPr>
    </w:p>
    <w:p>
      <w:pPr>
        <w:ind w:left="5500"/>
        <w:spacing w:after="0"/>
        <w:rPr>
          <w:rFonts w:ascii="MS PGothic" w:cs="MS PGothic" w:eastAsia="MS PGothic" w:hAnsi="MS PGothic"/>
          <w:sz w:val="21"/>
          <w:szCs w:val="21"/>
          <w:color w:val="auto"/>
        </w:rPr>
      </w:pPr>
      <w:r>
        <w:rPr>
          <w:rFonts w:ascii="Arial" w:cs="Arial" w:eastAsia="Arial" w:hAnsi="Arial"/>
          <w:sz w:val="17"/>
          <w:szCs w:val="17"/>
          <w:color w:val="auto"/>
        </w:rPr>
        <w:t>OR</w:t>
      </w:r>
    </w:p>
    <w:p>
      <w:pPr>
        <w:spacing w:after="0" w:line="134" w:lineRule="exact"/>
        <w:rPr>
          <w:sz w:val="24"/>
          <w:szCs w:val="24"/>
          <w:color w:val="auto"/>
        </w:rPr>
      </w:pPr>
    </w:p>
    <w:p>
      <w:pPr>
        <w:ind w:left="1000" w:hanging="368"/>
        <w:spacing w:after="0"/>
        <w:tabs>
          <w:tab w:leader="none" w:pos="10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3" w:lineRule="exact"/>
        <w:rPr>
          <w:sz w:val="24"/>
          <w:szCs w:val="24"/>
          <w:color w:val="auto"/>
        </w:rPr>
      </w:pPr>
    </w:p>
    <w:tbl>
      <w:tblPr>
        <w:tblLayout w:type="fixed"/>
        <w:tblInd w:w="202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2800" w:type="dxa"/>
            <w:vAlign w:val="bottom"/>
          </w:tcPr>
          <w:p>
            <w:pPr>
              <w:ind w:left="680"/>
              <w:spacing w:after="0"/>
              <w:rPr>
                <w:sz w:val="20"/>
                <w:szCs w:val="20"/>
                <w:color w:val="auto"/>
              </w:rPr>
            </w:pPr>
            <w:r>
              <w:rPr>
                <w:rFonts w:ascii="Arial" w:cs="Arial" w:eastAsia="Arial" w:hAnsi="Arial"/>
                <w:sz w:val="17"/>
                <w:szCs w:val="17"/>
                <w:color w:val="auto"/>
                <w:w w:val="96"/>
              </w:rPr>
              <w:t>For the transition period from</w:t>
            </w:r>
          </w:p>
        </w:tc>
        <w:tc>
          <w:tcPr>
            <w:tcW w:w="34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7"/>
                <w:szCs w:val="17"/>
                <w:color w:val="auto"/>
              </w:rPr>
              <w:t>to</w:t>
            </w:r>
          </w:p>
        </w:tc>
        <w:tc>
          <w:tcPr>
            <w:tcW w:w="340" w:type="dxa"/>
            <w:vAlign w:val="bottom"/>
            <w:tcBorders>
              <w:bottom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333"/>
        </w:trPr>
        <w:tc>
          <w:tcPr>
            <w:tcW w:w="1400" w:type="dxa"/>
            <w:vAlign w:val="bottom"/>
          </w:tcPr>
          <w:p>
            <w:pPr>
              <w:spacing w:after="0"/>
              <w:rPr>
                <w:sz w:val="24"/>
                <w:szCs w:val="24"/>
                <w:color w:val="auto"/>
              </w:rPr>
            </w:pPr>
          </w:p>
        </w:tc>
        <w:tc>
          <w:tcPr>
            <w:tcW w:w="5840" w:type="dxa"/>
            <w:vAlign w:val="bottom"/>
            <w:gridSpan w:val="5"/>
          </w:tcPr>
          <w:p>
            <w:pPr>
              <w:jc w:val="center"/>
              <w:ind w:right="1350"/>
              <w:spacing w:after="0"/>
              <w:rPr>
                <w:sz w:val="20"/>
                <w:szCs w:val="20"/>
                <w:color w:val="auto"/>
              </w:rPr>
            </w:pPr>
            <w:r>
              <w:rPr>
                <w:rFonts w:ascii="Arial" w:cs="Arial" w:eastAsia="Arial" w:hAnsi="Arial"/>
                <w:sz w:val="17"/>
                <w:szCs w:val="17"/>
                <w:color w:val="auto"/>
                <w:w w:val="94"/>
              </w:rPr>
              <w:t xml:space="preserve">Commission File Number: </w:t>
            </w:r>
            <w:r>
              <w:rPr>
                <w:rFonts w:ascii="Arial" w:cs="Arial" w:eastAsia="Arial" w:hAnsi="Arial"/>
                <w:sz w:val="17"/>
                <w:szCs w:val="17"/>
                <w:b w:val="1"/>
                <w:bCs w:val="1"/>
                <w:color w:val="auto"/>
                <w:w w:val="94"/>
              </w:rPr>
              <w:t>001-38240</w:t>
            </w:r>
          </w:p>
        </w:tc>
      </w:tr>
      <w:tr>
        <w:trPr>
          <w:trHeight w:val="230"/>
        </w:trPr>
        <w:tc>
          <w:tcPr>
            <w:tcW w:w="1400" w:type="dxa"/>
            <w:vAlign w:val="bottom"/>
          </w:tcPr>
          <w:p>
            <w:pPr>
              <w:spacing w:after="0"/>
              <w:rPr>
                <w:sz w:val="19"/>
                <w:szCs w:val="19"/>
                <w:color w:val="auto"/>
              </w:rPr>
            </w:pPr>
          </w:p>
        </w:tc>
        <w:tc>
          <w:tcPr>
            <w:tcW w:w="3140" w:type="dxa"/>
            <w:vAlign w:val="bottom"/>
            <w:gridSpan w:val="2"/>
          </w:tcPr>
          <w:p>
            <w:pPr>
              <w:jc w:val="center"/>
              <w:ind w:left="1193"/>
              <w:spacing w:after="0"/>
              <w:rPr>
                <w:sz w:val="20"/>
                <w:szCs w:val="20"/>
                <w:color w:val="auto"/>
              </w:rPr>
            </w:pPr>
            <w:r>
              <w:rPr>
                <w:rFonts w:ascii="Arial" w:cs="Arial" w:eastAsia="Arial" w:hAnsi="Arial"/>
                <w:sz w:val="14"/>
                <w:szCs w:val="14"/>
                <w:color w:val="auto"/>
                <w:w w:val="89"/>
              </w:rPr>
              <w:t>_____________________</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40"/>
        </w:trPr>
        <w:tc>
          <w:tcPr>
            <w:tcW w:w="1400" w:type="dxa"/>
            <w:vAlign w:val="bottom"/>
          </w:tcPr>
          <w:p>
            <w:pPr>
              <w:spacing w:after="0"/>
              <w:rPr>
                <w:sz w:val="24"/>
                <w:szCs w:val="24"/>
                <w:color w:val="auto"/>
              </w:rPr>
            </w:pPr>
          </w:p>
        </w:tc>
        <w:tc>
          <w:tcPr>
            <w:tcW w:w="5840" w:type="dxa"/>
            <w:vAlign w:val="bottom"/>
            <w:gridSpan w:val="5"/>
          </w:tcPr>
          <w:p>
            <w:pPr>
              <w:jc w:val="center"/>
              <w:ind w:right="1350"/>
              <w:spacing w:after="0"/>
              <w:rPr>
                <w:sz w:val="20"/>
                <w:szCs w:val="20"/>
                <w:color w:val="auto"/>
              </w:rPr>
            </w:pPr>
            <w:r>
              <w:rPr>
                <w:rFonts w:ascii="Arial" w:cs="Arial" w:eastAsia="Arial" w:hAnsi="Arial"/>
                <w:sz w:val="28"/>
                <w:szCs w:val="28"/>
                <w:b w:val="1"/>
                <w:bCs w:val="1"/>
                <w:color w:val="auto"/>
              </w:rPr>
              <w:t>MONGODB, INC.</w:t>
            </w:r>
          </w:p>
        </w:tc>
      </w:tr>
      <w:tr>
        <w:trPr>
          <w:trHeight w:val="157"/>
        </w:trPr>
        <w:tc>
          <w:tcPr>
            <w:tcW w:w="1400" w:type="dxa"/>
            <w:vAlign w:val="bottom"/>
          </w:tcPr>
          <w:p>
            <w:pPr>
              <w:spacing w:after="0"/>
              <w:rPr>
                <w:sz w:val="13"/>
                <w:szCs w:val="13"/>
                <w:color w:val="auto"/>
              </w:rPr>
            </w:pPr>
          </w:p>
        </w:tc>
        <w:tc>
          <w:tcPr>
            <w:tcW w:w="5840" w:type="dxa"/>
            <w:vAlign w:val="bottom"/>
            <w:gridSpan w:val="5"/>
          </w:tcPr>
          <w:p>
            <w:pPr>
              <w:jc w:val="center"/>
              <w:ind w:right="1370"/>
              <w:spacing w:after="0" w:line="157" w:lineRule="exact"/>
              <w:rPr>
                <w:sz w:val="20"/>
                <w:szCs w:val="20"/>
                <w:color w:val="auto"/>
              </w:rPr>
            </w:pPr>
            <w:r>
              <w:rPr>
                <w:rFonts w:ascii="Arial" w:cs="Arial" w:eastAsia="Arial" w:hAnsi="Arial"/>
                <w:sz w:val="14"/>
                <w:szCs w:val="14"/>
                <w:color w:val="auto"/>
                <w:w w:val="90"/>
              </w:rPr>
              <w:t>(Exact name of registrant as specified in its charter)</w:t>
            </w:r>
          </w:p>
        </w:tc>
      </w:tr>
      <w:tr>
        <w:trPr>
          <w:trHeight w:val="178"/>
        </w:trPr>
        <w:tc>
          <w:tcPr>
            <w:tcW w:w="1400" w:type="dxa"/>
            <w:vAlign w:val="bottom"/>
          </w:tcPr>
          <w:p>
            <w:pPr>
              <w:spacing w:after="0"/>
              <w:rPr>
                <w:sz w:val="15"/>
                <w:szCs w:val="15"/>
                <w:color w:val="auto"/>
              </w:rPr>
            </w:pPr>
          </w:p>
        </w:tc>
        <w:tc>
          <w:tcPr>
            <w:tcW w:w="3140" w:type="dxa"/>
            <w:vAlign w:val="bottom"/>
            <w:gridSpan w:val="2"/>
          </w:tcPr>
          <w:p>
            <w:pPr>
              <w:jc w:val="center"/>
              <w:ind w:left="1193"/>
              <w:spacing w:after="0"/>
              <w:rPr>
                <w:sz w:val="20"/>
                <w:szCs w:val="20"/>
                <w:color w:val="auto"/>
              </w:rPr>
            </w:pPr>
            <w:r>
              <w:rPr>
                <w:rFonts w:ascii="Arial" w:cs="Arial" w:eastAsia="Arial" w:hAnsi="Arial"/>
                <w:sz w:val="14"/>
                <w:szCs w:val="14"/>
                <w:color w:val="auto"/>
                <w:w w:val="89"/>
              </w:rPr>
              <w:t>_____________________</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41"/>
        </w:trPr>
        <w:tc>
          <w:tcPr>
            <w:tcW w:w="4540" w:type="dxa"/>
            <w:vAlign w:val="bottom"/>
            <w:gridSpan w:val="3"/>
          </w:tcPr>
          <w:p>
            <w:pPr>
              <w:jc w:val="center"/>
              <w:ind w:right="1720"/>
              <w:spacing w:after="0"/>
              <w:rPr>
                <w:sz w:val="20"/>
                <w:szCs w:val="20"/>
                <w:color w:val="auto"/>
              </w:rPr>
            </w:pPr>
            <w:r>
              <w:rPr>
                <w:rFonts w:ascii="Arial" w:cs="Arial" w:eastAsia="Arial" w:hAnsi="Arial"/>
                <w:sz w:val="17"/>
                <w:szCs w:val="17"/>
                <w:b w:val="1"/>
                <w:bCs w:val="1"/>
                <w:color w:val="auto"/>
                <w:w w:val="93"/>
              </w:rPr>
              <w:t>Delaware</w:t>
            </w:r>
          </w:p>
        </w:tc>
        <w:tc>
          <w:tcPr>
            <w:tcW w:w="2700" w:type="dxa"/>
            <w:vAlign w:val="bottom"/>
            <w:gridSpan w:val="3"/>
          </w:tcPr>
          <w:p>
            <w:pPr>
              <w:jc w:val="right"/>
              <w:spacing w:after="0"/>
              <w:rPr>
                <w:sz w:val="20"/>
                <w:szCs w:val="20"/>
                <w:color w:val="auto"/>
              </w:rPr>
            </w:pPr>
            <w:r>
              <w:rPr>
                <w:rFonts w:ascii="Arial" w:cs="Arial" w:eastAsia="Arial" w:hAnsi="Arial"/>
                <w:sz w:val="17"/>
                <w:szCs w:val="17"/>
                <w:b w:val="1"/>
                <w:bCs w:val="1"/>
                <w:color w:val="auto"/>
              </w:rPr>
              <w:t>26-1463205</w:t>
            </w:r>
          </w:p>
        </w:tc>
      </w:tr>
      <w:tr>
        <w:trPr>
          <w:trHeight w:val="140"/>
        </w:trPr>
        <w:tc>
          <w:tcPr>
            <w:tcW w:w="4540" w:type="dxa"/>
            <w:vAlign w:val="bottom"/>
            <w:gridSpan w:val="3"/>
          </w:tcPr>
          <w:p>
            <w:pPr>
              <w:jc w:val="center"/>
              <w:ind w:right="1760"/>
              <w:spacing w:after="0" w:line="140" w:lineRule="exact"/>
              <w:rPr>
                <w:sz w:val="20"/>
                <w:szCs w:val="20"/>
                <w:color w:val="auto"/>
              </w:rPr>
            </w:pPr>
            <w:r>
              <w:rPr>
                <w:rFonts w:ascii="Arial" w:cs="Arial" w:eastAsia="Arial" w:hAnsi="Arial"/>
                <w:sz w:val="14"/>
                <w:szCs w:val="14"/>
                <w:b w:val="1"/>
                <w:bCs w:val="1"/>
                <w:color w:val="auto"/>
                <w:w w:val="90"/>
              </w:rPr>
              <w:t>(State or other jurisdiction of</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jc w:val="center"/>
              <w:ind w:left="1050"/>
              <w:spacing w:after="0" w:line="140"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540" w:type="dxa"/>
            <w:vAlign w:val="bottom"/>
            <w:gridSpan w:val="3"/>
          </w:tcPr>
          <w:p>
            <w:pPr>
              <w:ind w:left="280"/>
              <w:spacing w:after="0"/>
              <w:rPr>
                <w:sz w:val="20"/>
                <w:szCs w:val="20"/>
                <w:color w:val="auto"/>
              </w:rPr>
            </w:pPr>
            <w:r>
              <w:rPr>
                <w:rFonts w:ascii="Arial" w:cs="Arial" w:eastAsia="Arial" w:hAnsi="Arial"/>
                <w:sz w:val="14"/>
                <w:szCs w:val="14"/>
                <w:b w:val="1"/>
                <w:bCs w:val="1"/>
                <w:color w:val="auto"/>
              </w:rPr>
              <w:t>incorporation or organization)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ind w:left="860"/>
              <w:spacing w:after="0"/>
              <w:rPr>
                <w:sz w:val="20"/>
                <w:szCs w:val="20"/>
                <w:color w:val="auto"/>
              </w:rPr>
            </w:pPr>
            <w:r>
              <w:rPr>
                <w:rFonts w:ascii="Arial" w:cs="Arial" w:eastAsia="Arial" w:hAnsi="Arial"/>
                <w:sz w:val="14"/>
                <w:szCs w:val="14"/>
                <w:b w:val="1"/>
                <w:bCs w:val="1"/>
                <w:color w:val="auto"/>
              </w:rPr>
              <w:t>Identification No.)</w:t>
            </w:r>
          </w:p>
        </w:tc>
      </w:tr>
      <w:tr>
        <w:trPr>
          <w:trHeight w:val="236"/>
        </w:trPr>
        <w:tc>
          <w:tcPr>
            <w:tcW w:w="1400" w:type="dxa"/>
            <w:vAlign w:val="bottom"/>
          </w:tcPr>
          <w:p>
            <w:pPr>
              <w:jc w:val="right"/>
              <w:ind w:right="182"/>
              <w:spacing w:after="0"/>
              <w:rPr>
                <w:sz w:val="20"/>
                <w:szCs w:val="20"/>
                <w:color w:val="auto"/>
              </w:rPr>
            </w:pPr>
            <w:r>
              <w:rPr>
                <w:rFonts w:ascii="Arial" w:cs="Arial" w:eastAsia="Arial" w:hAnsi="Arial"/>
                <w:sz w:val="17"/>
                <w:szCs w:val="17"/>
                <w:b w:val="1"/>
                <w:bCs w:val="1"/>
                <w:color w:val="auto"/>
                <w:w w:val="90"/>
              </w:rPr>
              <w:t>1633 Broadway</w:t>
            </w:r>
          </w:p>
        </w:tc>
        <w:tc>
          <w:tcPr>
            <w:tcW w:w="3140" w:type="dxa"/>
            <w:vAlign w:val="bottom"/>
            <w:gridSpan w:val="2"/>
          </w:tcPr>
          <w:p>
            <w:pPr>
              <w:ind w:left="260"/>
              <w:spacing w:after="0"/>
              <w:rPr>
                <w:sz w:val="20"/>
                <w:szCs w:val="20"/>
                <w:color w:val="auto"/>
              </w:rPr>
            </w:pPr>
            <w:r>
              <w:rPr>
                <w:rFonts w:ascii="Arial" w:cs="Arial" w:eastAsia="Arial" w:hAnsi="Arial"/>
                <w:sz w:val="17"/>
                <w:szCs w:val="17"/>
                <w:b w:val="1"/>
                <w:bCs w:val="1"/>
                <w:color w:val="auto"/>
              </w:rPr>
              <w:t>38th Floor</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8"/>
        </w:trPr>
        <w:tc>
          <w:tcPr>
            <w:tcW w:w="1400" w:type="dxa"/>
            <w:vAlign w:val="bottom"/>
          </w:tcPr>
          <w:p>
            <w:pPr>
              <w:jc w:val="right"/>
              <w:ind w:right="182"/>
              <w:spacing w:after="0"/>
              <w:rPr>
                <w:sz w:val="20"/>
                <w:szCs w:val="20"/>
                <w:color w:val="auto"/>
              </w:rPr>
            </w:pPr>
            <w:r>
              <w:rPr>
                <w:rFonts w:ascii="Arial" w:cs="Arial" w:eastAsia="Arial" w:hAnsi="Arial"/>
                <w:sz w:val="17"/>
                <w:szCs w:val="17"/>
                <w:b w:val="1"/>
                <w:bCs w:val="1"/>
                <w:color w:val="auto"/>
              </w:rPr>
              <w:t>New York</w:t>
            </w:r>
          </w:p>
        </w:tc>
        <w:tc>
          <w:tcPr>
            <w:tcW w:w="3140" w:type="dxa"/>
            <w:vAlign w:val="bottom"/>
            <w:gridSpan w:val="2"/>
          </w:tcPr>
          <w:p>
            <w:pPr>
              <w:ind w:left="260"/>
              <w:spacing w:after="0"/>
              <w:rPr>
                <w:sz w:val="20"/>
                <w:szCs w:val="20"/>
                <w:color w:val="auto"/>
              </w:rPr>
            </w:pPr>
            <w:r>
              <w:rPr>
                <w:rFonts w:ascii="Arial" w:cs="Arial" w:eastAsia="Arial" w:hAnsi="Arial"/>
                <w:sz w:val="17"/>
                <w:szCs w:val="17"/>
                <w:b w:val="1"/>
                <w:bCs w:val="1"/>
                <w:color w:val="auto"/>
              </w:rPr>
              <w:t>NY</w:t>
            </w:r>
          </w:p>
        </w:tc>
        <w:tc>
          <w:tcPr>
            <w:tcW w:w="2700" w:type="dxa"/>
            <w:vAlign w:val="bottom"/>
            <w:gridSpan w:val="3"/>
          </w:tcPr>
          <w:p>
            <w:pPr>
              <w:jc w:val="right"/>
              <w:ind w:right="190"/>
              <w:spacing w:after="0"/>
              <w:rPr>
                <w:sz w:val="20"/>
                <w:szCs w:val="20"/>
                <w:color w:val="auto"/>
              </w:rPr>
            </w:pPr>
            <w:r>
              <w:rPr>
                <w:rFonts w:ascii="Arial" w:cs="Arial" w:eastAsia="Arial" w:hAnsi="Arial"/>
                <w:sz w:val="17"/>
                <w:szCs w:val="17"/>
                <w:b w:val="1"/>
                <w:bCs w:val="1"/>
                <w:color w:val="auto"/>
              </w:rPr>
              <w:t>10019</w:t>
            </w:r>
          </w:p>
        </w:tc>
      </w:tr>
      <w:tr>
        <w:trPr>
          <w:trHeight w:val="182"/>
        </w:trPr>
        <w:tc>
          <w:tcPr>
            <w:tcW w:w="45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center"/>
              <w:ind w:left="1090"/>
              <w:spacing w:after="0"/>
              <w:rPr>
                <w:sz w:val="20"/>
                <w:szCs w:val="20"/>
                <w:color w:val="auto"/>
              </w:rPr>
            </w:pPr>
            <w:r>
              <w:rPr>
                <w:rFonts w:ascii="Arial" w:cs="Arial" w:eastAsia="Arial" w:hAnsi="Arial"/>
                <w:sz w:val="14"/>
                <w:szCs w:val="14"/>
                <w:b w:val="1"/>
                <w:bCs w:val="1"/>
                <w:color w:val="auto"/>
                <w:w w:val="92"/>
              </w:rPr>
              <w:t>(Zip Code)</w:t>
            </w:r>
          </w:p>
        </w:tc>
      </w:tr>
    </w:tbl>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646-727-4092</w:t>
      </w:r>
    </w:p>
    <w:p>
      <w:pPr>
        <w:spacing w:after="0" w:line="66"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_____________________</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5" w:lineRule="exact"/>
        <w:rPr>
          <w:sz w:val="24"/>
          <w:szCs w:val="24"/>
          <w:color w:val="auto"/>
        </w:rPr>
      </w:pPr>
    </w:p>
    <w:tbl>
      <w:tblPr>
        <w:tblLayout w:type="fixed"/>
        <w:tblInd w:w="560" w:type="dxa"/>
        <w:tblCellMar>
          <w:top w:w="0" w:type="dxa"/>
          <w:left w:w="0" w:type="dxa"/>
          <w:bottom w:w="0" w:type="dxa"/>
          <w:right w:w="0" w:type="dxa"/>
        </w:tblCellMar>
      </w:tblPr>
      <w:tr>
        <w:trPr>
          <w:trHeight w:val="227"/>
        </w:trPr>
        <w:tc>
          <w:tcPr>
            <w:tcW w:w="3300" w:type="dxa"/>
            <w:vAlign w:val="bottom"/>
            <w:tcBorders>
              <w:bottom w:val="single" w:sz="8" w:color="auto"/>
            </w:tcBorders>
          </w:tcPr>
          <w:p>
            <w:pPr>
              <w:jc w:val="center"/>
              <w:ind w:left="373"/>
              <w:spacing w:after="0"/>
              <w:rPr>
                <w:sz w:val="20"/>
                <w:szCs w:val="20"/>
                <w:color w:val="auto"/>
              </w:rPr>
            </w:pPr>
            <w:r>
              <w:rPr>
                <w:rFonts w:ascii="Arial" w:cs="Arial" w:eastAsia="Arial" w:hAnsi="Arial"/>
                <w:sz w:val="17"/>
                <w:szCs w:val="17"/>
                <w:b w:val="1"/>
                <w:bCs w:val="1"/>
                <w:color w:val="auto"/>
                <w:w w:val="90"/>
              </w:rPr>
              <w:t>Title of each class</w:t>
            </w:r>
          </w:p>
        </w:tc>
        <w:tc>
          <w:tcPr>
            <w:tcW w:w="100" w:type="dxa"/>
            <w:vAlign w:val="bottom"/>
          </w:tcPr>
          <w:p>
            <w:pPr>
              <w:spacing w:after="0"/>
              <w:rPr>
                <w:sz w:val="19"/>
                <w:szCs w:val="19"/>
                <w:color w:val="auto"/>
              </w:rPr>
            </w:pPr>
          </w:p>
        </w:tc>
        <w:tc>
          <w:tcPr>
            <w:tcW w:w="3320" w:type="dxa"/>
            <w:vAlign w:val="bottom"/>
            <w:tcBorders>
              <w:bottom w:val="single" w:sz="8" w:color="auto"/>
            </w:tcBorders>
          </w:tcPr>
          <w:p>
            <w:pPr>
              <w:jc w:val="center"/>
              <w:ind w:left="373"/>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3780" w:type="dxa"/>
            <w:vAlign w:val="bottom"/>
            <w:tcBorders>
              <w:bottom w:val="single" w:sz="8" w:color="auto"/>
            </w:tcBorders>
          </w:tcPr>
          <w:p>
            <w:pPr>
              <w:jc w:val="center"/>
              <w:ind w:left="37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164"/>
        </w:trPr>
        <w:tc>
          <w:tcPr>
            <w:tcW w:w="3400" w:type="dxa"/>
            <w:vAlign w:val="bottom"/>
            <w:gridSpan w:val="2"/>
          </w:tcPr>
          <w:p>
            <w:pPr>
              <w:jc w:val="center"/>
              <w:ind w:left="273"/>
              <w:spacing w:after="0" w:line="164" w:lineRule="exact"/>
              <w:rPr>
                <w:sz w:val="20"/>
                <w:szCs w:val="20"/>
                <w:color w:val="auto"/>
              </w:rPr>
            </w:pPr>
            <w:r>
              <w:rPr>
                <w:rFonts w:ascii="Arial" w:cs="Arial" w:eastAsia="Arial" w:hAnsi="Arial"/>
                <w:sz w:val="17"/>
                <w:szCs w:val="17"/>
                <w:color w:val="auto"/>
                <w:w w:val="92"/>
              </w:rPr>
              <w:t>Class A Common Stock, par value</w:t>
            </w:r>
          </w:p>
        </w:tc>
        <w:tc>
          <w:tcPr>
            <w:tcW w:w="3420" w:type="dxa"/>
            <w:vAlign w:val="bottom"/>
            <w:gridSpan w:val="2"/>
          </w:tcPr>
          <w:p>
            <w:pPr>
              <w:jc w:val="center"/>
              <w:ind w:left="293"/>
              <w:spacing w:after="0" w:line="164" w:lineRule="exact"/>
              <w:rPr>
                <w:sz w:val="20"/>
                <w:szCs w:val="20"/>
                <w:color w:val="auto"/>
              </w:rPr>
            </w:pPr>
            <w:r>
              <w:rPr>
                <w:rFonts w:ascii="Arial" w:cs="Arial" w:eastAsia="Arial" w:hAnsi="Arial"/>
                <w:sz w:val="17"/>
                <w:szCs w:val="17"/>
                <w:color w:val="auto"/>
              </w:rPr>
              <w:t>MDB</w:t>
            </w:r>
          </w:p>
        </w:tc>
        <w:tc>
          <w:tcPr>
            <w:tcW w:w="3780" w:type="dxa"/>
            <w:vAlign w:val="bottom"/>
          </w:tcPr>
          <w:p>
            <w:pPr>
              <w:jc w:val="center"/>
              <w:ind w:left="373"/>
              <w:spacing w:after="0" w:line="164" w:lineRule="exact"/>
              <w:rPr>
                <w:sz w:val="20"/>
                <w:szCs w:val="20"/>
                <w:color w:val="auto"/>
              </w:rPr>
            </w:pPr>
            <w:r>
              <w:rPr>
                <w:rFonts w:ascii="Arial" w:cs="Arial" w:eastAsia="Arial" w:hAnsi="Arial"/>
                <w:sz w:val="17"/>
                <w:szCs w:val="17"/>
                <w:color w:val="auto"/>
                <w:w w:val="94"/>
              </w:rPr>
              <w:t>The Nasdaq Stock Market LLC</w:t>
            </w:r>
          </w:p>
        </w:tc>
      </w:tr>
      <w:tr>
        <w:trPr>
          <w:trHeight w:val="273"/>
        </w:trPr>
        <w:tc>
          <w:tcPr>
            <w:tcW w:w="3400" w:type="dxa"/>
            <w:vAlign w:val="bottom"/>
            <w:gridSpan w:val="2"/>
          </w:tcPr>
          <w:p>
            <w:pPr>
              <w:ind w:left="1060"/>
              <w:spacing w:after="0"/>
              <w:rPr>
                <w:sz w:val="20"/>
                <w:szCs w:val="20"/>
                <w:color w:val="auto"/>
              </w:rPr>
            </w:pPr>
            <w:r>
              <w:rPr>
                <w:rFonts w:ascii="Arial" w:cs="Arial" w:eastAsia="Arial" w:hAnsi="Arial"/>
                <w:sz w:val="17"/>
                <w:szCs w:val="17"/>
                <w:color w:val="auto"/>
              </w:rPr>
              <w:t>$0.001 per share</w:t>
            </w:r>
          </w:p>
        </w:tc>
        <w:tc>
          <w:tcPr>
            <w:tcW w:w="3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Pr>
          <w:p>
            <w:pPr>
              <w:jc w:val="center"/>
              <w:ind w:left="393"/>
              <w:spacing w:after="0"/>
              <w:rPr>
                <w:sz w:val="20"/>
                <w:szCs w:val="20"/>
                <w:color w:val="auto"/>
              </w:rPr>
            </w:pPr>
            <w:r>
              <w:rPr>
                <w:rFonts w:ascii="Arial" w:cs="Arial" w:eastAsia="Arial" w:hAnsi="Arial"/>
                <w:sz w:val="17"/>
                <w:szCs w:val="17"/>
                <w:color w:val="auto"/>
                <w:w w:val="94"/>
              </w:rPr>
              <w:t>(Nasdaq Global Market)</w:t>
            </w:r>
          </w:p>
        </w:tc>
      </w:tr>
    </w:tbl>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None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(Title of class)</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17"/>
          <w:szCs w:val="17"/>
          <w:color w:val="auto"/>
        </w:rPr>
        <w:t>_____________________</w:t>
      </w:r>
    </w:p>
    <w:p>
      <w:pPr>
        <w:spacing w:after="0" w:line="72" w:lineRule="exact"/>
        <w:rPr>
          <w:sz w:val="24"/>
          <w:szCs w:val="24"/>
          <w:color w:val="auto"/>
        </w:rPr>
      </w:pPr>
    </w:p>
    <w:p>
      <w:pPr>
        <w:ind w:right="1600"/>
        <w:spacing w:after="0" w:line="34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jc w:val="both"/>
        <w:ind w:right="40"/>
        <w:spacing w:after="0" w:line="23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60" w:lineRule="exact"/>
        <w:rPr>
          <w:sz w:val="24"/>
          <w:szCs w:val="24"/>
          <w:color w:val="auto"/>
        </w:rPr>
      </w:pPr>
    </w:p>
    <w:p>
      <w:pPr>
        <w:ind w:right="640"/>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497840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05" w:right="419" w:bottom="1440" w:gutter="0" w:footer="0" w:header="0"/>
        </w:sectPr>
      </w:pPr>
    </w:p>
    <w:bookmarkStart w:id="1" w:name="page2"/>
    <w:bookmarkEnd w:id="1"/>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1100" w:type="dxa"/>
        <w:tblCellMar>
          <w:top w:w="0" w:type="dxa"/>
          <w:left w:w="0" w:type="dxa"/>
          <w:bottom w:w="0" w:type="dxa"/>
          <w:right w:w="0" w:type="dxa"/>
        </w:tblCellMar>
      </w:tblPr>
      <w:tr>
        <w:trPr>
          <w:trHeight w:val="328"/>
        </w:trPr>
        <w:tc>
          <w:tcPr>
            <w:tcW w:w="228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320" w:type="dxa"/>
            <w:vAlign w:val="bottom"/>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820" w:type="dxa"/>
            <w:vAlign w:val="bottom"/>
            <w:vMerge w:val="restart"/>
          </w:tcPr>
          <w:p>
            <w:pPr>
              <w:ind w:left="600"/>
              <w:spacing w:after="0"/>
              <w:rPr>
                <w:sz w:val="20"/>
                <w:szCs w:val="20"/>
                <w:color w:val="auto"/>
              </w:rPr>
            </w:pPr>
            <w:r>
              <w:rPr>
                <w:rFonts w:ascii="Arial" w:cs="Arial" w:eastAsia="Arial" w:hAnsi="Arial"/>
                <w:sz w:val="17"/>
                <w:szCs w:val="17"/>
                <w:color w:val="auto"/>
              </w:rPr>
              <w:t>Accelerated Filer</w:t>
            </w:r>
          </w:p>
        </w:tc>
        <w:tc>
          <w:tcPr>
            <w:tcW w:w="560" w:type="dxa"/>
            <w:vAlign w:val="bottom"/>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84"/>
        </w:trPr>
        <w:tc>
          <w:tcPr>
            <w:tcW w:w="2280" w:type="dxa"/>
            <w:vAlign w:val="bottom"/>
            <w:vMerge w:val="continue"/>
          </w:tcPr>
          <w:p>
            <w:pPr>
              <w:spacing w:after="0"/>
              <w:rPr>
                <w:sz w:val="7"/>
                <w:szCs w:val="7"/>
                <w:color w:val="auto"/>
              </w:rPr>
            </w:pPr>
          </w:p>
        </w:tc>
        <w:tc>
          <w:tcPr>
            <w:tcW w:w="4320" w:type="dxa"/>
            <w:vAlign w:val="bottom"/>
            <w:vMerge w:val="restart"/>
          </w:tcPr>
          <w:p>
            <w:pPr>
              <w:ind w:left="3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7"/>
                <w:szCs w:val="17"/>
                <w:color w:val="auto"/>
              </w:rPr>
              <w:t xml:space="preserve"> (Do not check if a small reporting company)</w:t>
            </w:r>
          </w:p>
        </w:tc>
        <w:tc>
          <w:tcPr>
            <w:tcW w:w="2820" w:type="dxa"/>
            <w:vAlign w:val="bottom"/>
            <w:vMerge w:val="continue"/>
          </w:tcPr>
          <w:p>
            <w:pPr>
              <w:spacing w:after="0"/>
              <w:rPr>
                <w:sz w:val="7"/>
                <w:szCs w:val="7"/>
                <w:color w:val="auto"/>
              </w:rPr>
            </w:pPr>
          </w:p>
        </w:tc>
        <w:tc>
          <w:tcPr>
            <w:tcW w:w="560" w:type="dxa"/>
            <w:vAlign w:val="bottom"/>
            <w:vMerge w:val="restart"/>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282"/>
        </w:trPr>
        <w:tc>
          <w:tcPr>
            <w:tcW w:w="2280" w:type="dxa"/>
            <w:vAlign w:val="bottom"/>
            <w:vMerge w:val="restart"/>
          </w:tcPr>
          <w:p>
            <w:pPr>
              <w:spacing w:after="0"/>
              <w:rPr>
                <w:sz w:val="20"/>
                <w:szCs w:val="20"/>
                <w:color w:val="auto"/>
              </w:rPr>
            </w:pPr>
            <w:r>
              <w:rPr>
                <w:rFonts w:ascii="Arial" w:cs="Arial" w:eastAsia="Arial" w:hAnsi="Arial"/>
                <w:sz w:val="17"/>
                <w:szCs w:val="17"/>
                <w:color w:val="auto"/>
              </w:rPr>
              <w:t>Non-Accelerated Filer</w:t>
            </w:r>
          </w:p>
        </w:tc>
        <w:tc>
          <w:tcPr>
            <w:tcW w:w="4320" w:type="dxa"/>
            <w:vAlign w:val="bottom"/>
            <w:vMerge w:val="continue"/>
          </w:tcPr>
          <w:p>
            <w:pPr>
              <w:spacing w:after="0"/>
              <w:rPr>
                <w:sz w:val="24"/>
                <w:szCs w:val="24"/>
                <w:color w:val="auto"/>
              </w:rPr>
            </w:pPr>
          </w:p>
        </w:tc>
        <w:tc>
          <w:tcPr>
            <w:tcW w:w="2820" w:type="dxa"/>
            <w:vAlign w:val="bottom"/>
            <w:vMerge w:val="restart"/>
          </w:tcPr>
          <w:p>
            <w:pPr>
              <w:ind w:left="600"/>
              <w:spacing w:after="0"/>
              <w:rPr>
                <w:sz w:val="20"/>
                <w:szCs w:val="20"/>
                <w:color w:val="auto"/>
              </w:rPr>
            </w:pPr>
            <w:r>
              <w:rPr>
                <w:rFonts w:ascii="Arial" w:cs="Arial" w:eastAsia="Arial" w:hAnsi="Arial"/>
                <w:sz w:val="17"/>
                <w:szCs w:val="17"/>
                <w:color w:val="auto"/>
              </w:rPr>
              <w:t>Small Reporting Company</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280" w:type="dxa"/>
            <w:vAlign w:val="bottom"/>
            <w:vMerge w:val="continue"/>
          </w:tcPr>
          <w:p>
            <w:pPr>
              <w:spacing w:after="0"/>
              <w:rPr>
                <w:sz w:val="7"/>
                <w:szCs w:val="7"/>
                <w:color w:val="auto"/>
              </w:rPr>
            </w:pPr>
          </w:p>
        </w:tc>
        <w:tc>
          <w:tcPr>
            <w:tcW w:w="4320" w:type="dxa"/>
            <w:vAlign w:val="bottom"/>
            <w:vMerge w:val="restart"/>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8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280" w:type="dxa"/>
            <w:vAlign w:val="bottom"/>
            <w:vMerge w:val="restart"/>
          </w:tcPr>
          <w:p>
            <w:pPr>
              <w:spacing w:after="0"/>
              <w:rPr>
                <w:sz w:val="20"/>
                <w:szCs w:val="20"/>
                <w:color w:val="auto"/>
              </w:rPr>
            </w:pPr>
            <w:r>
              <w:rPr>
                <w:rFonts w:ascii="Arial" w:cs="Arial" w:eastAsia="Arial" w:hAnsi="Arial"/>
                <w:sz w:val="17"/>
                <w:szCs w:val="17"/>
                <w:color w:val="auto"/>
              </w:rPr>
              <w:t>Emerging Growth Company</w:t>
            </w:r>
          </w:p>
        </w:tc>
        <w:tc>
          <w:tcPr>
            <w:tcW w:w="432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280" w:type="dxa"/>
            <w:vAlign w:val="bottom"/>
            <w:vMerge w:val="continue"/>
          </w:tcPr>
          <w:p>
            <w:pPr>
              <w:spacing w:after="0"/>
              <w:rPr>
                <w:sz w:val="7"/>
                <w:szCs w:val="7"/>
                <w:color w:val="auto"/>
              </w:rPr>
            </w:pPr>
          </w:p>
        </w:tc>
        <w:tc>
          <w:tcPr>
            <w:tcW w:w="43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spacing w:after="0" w:line="25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line="230" w:lineRule="exact"/>
        <w:rPr>
          <w:sz w:val="20"/>
          <w:szCs w:val="20"/>
          <w:color w:val="auto"/>
        </w:rPr>
      </w:pPr>
      <w:r>
        <w:rPr>
          <w:rFonts w:ascii="Arial" w:cs="Arial" w:eastAsia="Arial" w:hAnsi="Arial"/>
          <w:sz w:val="17"/>
          <w:szCs w:val="17"/>
          <w:color w:val="auto"/>
        </w:rPr>
        <w:t xml:space="preserve">report. </w:t>
      </w:r>
      <w:r>
        <w:rPr>
          <w:rFonts w:ascii="MS PGothic" w:cs="MS PGothic" w:eastAsia="MS PGothic" w:hAnsi="MS PGothic"/>
          <w:sz w:val="20"/>
          <w:szCs w:val="20"/>
          <w:color w:val="auto"/>
        </w:rPr>
        <w:t>☑</w:t>
      </w:r>
    </w:p>
    <w:p>
      <w:pPr>
        <w:spacing w:after="0" w:line="62" w:lineRule="exact"/>
        <w:rPr>
          <w:sz w:val="20"/>
          <w:szCs w:val="20"/>
          <w:color w:val="auto"/>
        </w:rPr>
      </w:pPr>
    </w:p>
    <w:p>
      <w:pPr>
        <w:spacing w:after="0" w:line="230" w:lineRule="exact"/>
        <w:tabs>
          <w:tab w:leader="none" w:pos="86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Arial" w:cs="Arial" w:eastAsia="Arial" w:hAnsi="Arial"/>
          <w:sz w:val="17"/>
          <w:szCs w:val="17"/>
          <w:color w:val="auto"/>
        </w:rPr>
        <w:tab/>
        <w:t xml:space="preserve">No </w:t>
      </w:r>
      <w:r>
        <w:rPr>
          <w:rFonts w:ascii="MS PGothic" w:cs="MS PGothic" w:eastAsia="MS PGothic" w:hAnsi="MS PGothic"/>
          <w:sz w:val="20"/>
          <w:szCs w:val="20"/>
          <w:color w:val="auto"/>
        </w:rPr>
        <w:t>☑</w:t>
      </w:r>
    </w:p>
    <w:p>
      <w:pPr>
        <w:spacing w:after="0" w:line="1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based on the closing price of the registrant’s shares of Class A common stock as reported by The Nasdaq Global Market on July 30, 2021 (the last business day of the registrant’s second fiscal quarter), was approximately $22.8 billion.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2022, there were 67,566,341 shares of the registrant’s Class A common stock, par value $0.001 per share, outstanding.</w:t>
      </w:r>
    </w:p>
    <w:p>
      <w:pPr>
        <w:spacing w:after="0" w:line="112"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4"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Portions of the registrant’s definitive proxy statement relating to its 2022 annual meeting of shareholders (the “2022 Proxy Statement”) are incorporated by reference into Part III of this Annual Report on Form 10-K where indicated. The 2022 Proxy Statement will be filed with the U.S. Securities and Exchange Commission within 120 days after the end of the registrant’s fiscal year ended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693420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Item 1.</w:t>
        </w:r>
      </w:hyperlink>
    </w:p>
    <w:p>
      <w:pPr>
        <w:spacing w:after="0" w:line="118" w:lineRule="exact"/>
        <w:rPr>
          <w:sz w:val="20"/>
          <w:szCs w:val="20"/>
          <w:color w:val="auto"/>
        </w:rPr>
      </w:pPr>
    </w:p>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Item 1A.</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1B.</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w:anchor="page46">
        <w:r>
          <w:rPr>
            <w:rFonts w:ascii="Arial" w:cs="Arial" w:eastAsia="Arial" w:hAnsi="Arial"/>
            <w:sz w:val="17"/>
            <w:szCs w:val="17"/>
            <w:u w:val="single" w:color="auto"/>
            <w:color w:val="0000FF"/>
          </w:rPr>
          <w:t>Item 2.</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46">
        <w:r>
          <w:rPr>
            <w:rFonts w:ascii="Arial" w:cs="Arial" w:eastAsia="Arial" w:hAnsi="Arial"/>
            <w:sz w:val="17"/>
            <w:szCs w:val="17"/>
            <w:u w:val="single" w:color="auto"/>
            <w:color w:val="0000FF"/>
          </w:rPr>
          <w:t>Item 3.</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46">
        <w:r>
          <w:rPr>
            <w:rFonts w:ascii="Arial" w:cs="Arial" w:eastAsia="Arial" w:hAnsi="Arial"/>
            <w:sz w:val="17"/>
            <w:szCs w:val="17"/>
            <w:u w:val="single" w:color="auto"/>
            <w:color w:val="0000FF"/>
          </w:rPr>
          <w:t>Item 4.</w:t>
        </w:r>
      </w:hyperlink>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7"/>
          <w:szCs w:val="17"/>
          <w:u w:val="single" w:color="auto"/>
          <w:color w:val="0000FF"/>
        </w:rPr>
      </w:pPr>
      <w:hyperlink w:anchor="page47">
        <w:r>
          <w:rPr>
            <w:rFonts w:ascii="Arial" w:cs="Arial" w:eastAsia="Arial" w:hAnsi="Arial"/>
            <w:sz w:val="17"/>
            <w:szCs w:val="17"/>
            <w:u w:val="single" w:color="auto"/>
            <w:color w:val="0000FF"/>
          </w:rPr>
          <w:t>Item 5.</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48">
        <w:r>
          <w:rPr>
            <w:rFonts w:ascii="Arial" w:cs="Arial" w:eastAsia="Arial" w:hAnsi="Arial"/>
            <w:sz w:val="17"/>
            <w:szCs w:val="17"/>
            <w:u w:val="single" w:color="auto"/>
            <w:color w:val="0000FF"/>
          </w:rPr>
          <w:t>Item 6.</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48">
        <w:r>
          <w:rPr>
            <w:rFonts w:ascii="Arial" w:cs="Arial" w:eastAsia="Arial" w:hAnsi="Arial"/>
            <w:sz w:val="17"/>
            <w:szCs w:val="17"/>
            <w:u w:val="single" w:color="auto"/>
            <w:color w:val="0000FF"/>
          </w:rPr>
          <w:t>Item 7.</w:t>
        </w:r>
      </w:hyperlink>
    </w:p>
    <w:p>
      <w:pPr>
        <w:spacing w:after="0" w:line="118" w:lineRule="exact"/>
        <w:rPr>
          <w:sz w:val="20"/>
          <w:szCs w:val="20"/>
          <w:color w:val="auto"/>
        </w:rPr>
      </w:pPr>
    </w:p>
    <w:p>
      <w:pPr>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Item 7A.</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w:anchor="page64">
        <w:r>
          <w:rPr>
            <w:rFonts w:ascii="Arial" w:cs="Arial" w:eastAsia="Arial" w:hAnsi="Arial"/>
            <w:sz w:val="17"/>
            <w:szCs w:val="17"/>
            <w:u w:val="single" w:color="auto"/>
            <w:color w:val="0000FF"/>
          </w:rPr>
          <w:t>Item 8.</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05">
        <w:r>
          <w:rPr>
            <w:rFonts w:ascii="Arial" w:cs="Arial" w:eastAsia="Arial" w:hAnsi="Arial"/>
            <w:sz w:val="17"/>
            <w:szCs w:val="17"/>
            <w:u w:val="single" w:color="auto"/>
            <w:color w:val="0000FF"/>
          </w:rPr>
          <w:t>Item 9.</w:t>
        </w:r>
      </w:hyperlink>
    </w:p>
    <w:p>
      <w:pPr>
        <w:spacing w:after="0" w:line="118" w:lineRule="exact"/>
        <w:rPr>
          <w:sz w:val="20"/>
          <w:szCs w:val="20"/>
          <w:color w:val="auto"/>
        </w:rPr>
      </w:pPr>
    </w:p>
    <w:p>
      <w:pPr>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Item 9A.</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w:anchor="page106">
        <w:r>
          <w:rPr>
            <w:rFonts w:ascii="Arial" w:cs="Arial" w:eastAsia="Arial" w:hAnsi="Arial"/>
            <w:sz w:val="16"/>
            <w:szCs w:val="16"/>
            <w:u w:val="single" w:color="auto"/>
            <w:color w:val="0000FF"/>
          </w:rPr>
          <w:t>Item 9B.</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Item 9C.</w:t>
        </w:r>
      </w:hyperlink>
    </w:p>
    <w:p>
      <w:pPr>
        <w:spacing w:after="0" w:line="352"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10.</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11.</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12.</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13.</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Item 14.</w:t>
        </w:r>
      </w:hyperlink>
    </w:p>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Item 15.</w:t>
        </w:r>
      </w:hyperlink>
    </w:p>
    <w:p>
      <w:pPr>
        <w:spacing w:after="0" w:line="118" w:lineRule="exact"/>
        <w:rPr>
          <w:sz w:val="20"/>
          <w:szCs w:val="20"/>
          <w:color w:val="auto"/>
        </w:rPr>
      </w:pPr>
    </w:p>
    <w:p>
      <w:pPr>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Item 16.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6"/>
          </w:tcPr>
          <w:p>
            <w:pPr>
              <w:jc w:val="center"/>
              <w:ind w:right="4040"/>
              <w:spacing w:after="0"/>
              <w:rPr>
                <w:sz w:val="20"/>
                <w:szCs w:val="20"/>
                <w:color w:val="auto"/>
              </w:rPr>
            </w:pPr>
            <w:r>
              <w:rPr>
                <w:rFonts w:ascii="Arial" w:cs="Arial" w:eastAsia="Arial" w:hAnsi="Arial"/>
                <w:sz w:val="17"/>
                <w:szCs w:val="17"/>
                <w:b w:val="1"/>
                <w:bCs w:val="1"/>
                <w:color w:val="auto"/>
                <w:w w:val="95"/>
              </w:rPr>
              <w:t>MongoDB,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6"/>
          </w:tcPr>
          <w:p>
            <w:pPr>
              <w:jc w:val="center"/>
              <w:ind w:right="4040"/>
              <w:spacing w:after="0"/>
              <w:rPr>
                <w:sz w:val="20"/>
                <w:szCs w:val="20"/>
                <w:color w:val="auto"/>
              </w:rPr>
            </w:pPr>
            <w:r>
              <w:rPr>
                <w:rFonts w:ascii="Arial" w:cs="Arial" w:eastAsia="Arial" w:hAnsi="Arial"/>
                <w:sz w:val="17"/>
                <w:szCs w:val="17"/>
                <w:b w:val="1"/>
                <w:bCs w:val="1"/>
                <w:color w:val="auto"/>
                <w:w w:val="97"/>
              </w:rPr>
              <w:t>Form 10-K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80" w:type="dxa"/>
            <w:vAlign w:val="bottom"/>
            <w:gridSpan w:val="19"/>
          </w:tcPr>
          <w:p>
            <w:pPr>
              <w:jc w:val="center"/>
              <w:ind w:right="2800"/>
              <w:spacing w:after="0"/>
              <w:rPr>
                <w:sz w:val="20"/>
                <w:szCs w:val="20"/>
                <w:color w:val="auto"/>
              </w:rPr>
            </w:pPr>
            <w:r>
              <w:rPr>
                <w:rFonts w:ascii="Arial" w:cs="Arial" w:eastAsia="Arial" w:hAnsi="Arial"/>
                <w:sz w:val="17"/>
                <w:szCs w:val="17"/>
                <w:b w:val="1"/>
                <w:bCs w:val="1"/>
                <w:color w:val="auto"/>
                <w:w w:val="93"/>
              </w:rPr>
              <w:t>For the Fiscal Year Ended January 31, 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5"/>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7"/>
          </w:tcPr>
          <w:p>
            <w:pPr>
              <w:jc w:val="center"/>
              <w:ind w:right="3900"/>
              <w:spacing w:after="0"/>
              <w:rPr>
                <w:sz w:val="20"/>
                <w:szCs w:val="20"/>
                <w:color w:val="auto"/>
              </w:rPr>
            </w:pPr>
            <w:r>
              <w:rPr>
                <w:rFonts w:ascii="Arial" w:cs="Arial" w:eastAsia="Arial" w:hAnsi="Arial"/>
                <w:sz w:val="21"/>
                <w:szCs w:val="21"/>
                <w:b w:val="1"/>
                <w:bCs w:val="1"/>
                <w:color w:val="auto"/>
                <w:w w:val="98"/>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70"/>
        </w:trPr>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40" w:type="dxa"/>
            <w:vAlign w:val="bottom"/>
            <w:gridSpan w:val="13"/>
          </w:tcPr>
          <w:p>
            <w:pPr>
              <w:jc w:val="center"/>
              <w:ind w:right="4880"/>
              <w:spacing w:after="0" w:line="170"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3"/>
        </w:trPr>
        <w:tc>
          <w:tcPr>
            <w:tcW w:w="3920" w:type="dxa"/>
            <w:vAlign w:val="bottom"/>
            <w:gridSpan w:val="14"/>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560" w:type="dxa"/>
            <w:vAlign w:val="bottom"/>
            <w:tcBorders>
              <w:top w:val="single" w:sz="8" w:color="0000FF"/>
            </w:tcBorders>
            <w:gridSpan w:val="3"/>
          </w:tcPr>
          <w:p>
            <w:pPr>
              <w:spacing w:after="0"/>
              <w:rPr>
                <w:sz w:val="24"/>
                <w:szCs w:val="24"/>
                <w:color w:val="auto"/>
              </w:rPr>
            </w:pPr>
          </w:p>
        </w:tc>
        <w:tc>
          <w:tcPr>
            <w:tcW w:w="4880" w:type="dxa"/>
            <w:vAlign w:val="bottom"/>
            <w:gridSpan w:val="10"/>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2</w:t>
              </w:r>
            </w:hyperlink>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9360" w:type="dxa"/>
            <w:vAlign w:val="bottom"/>
            <w:gridSpan w:val="27"/>
          </w:tcPr>
          <w:p>
            <w:pPr>
              <w:spacing w:after="0"/>
              <w:rPr>
                <w:rFonts w:ascii="Arial" w:cs="Arial" w:eastAsia="Arial" w:hAnsi="Arial"/>
                <w:sz w:val="17"/>
                <w:szCs w:val="17"/>
                <w:color w:val="0000FF"/>
              </w:rPr>
            </w:pPr>
            <w:hyperlink w:anchor="page16">
              <w:r>
                <w:rPr>
                  <w:rFonts w:ascii="Arial" w:cs="Arial" w:eastAsia="Arial" w:hAnsi="Arial"/>
                  <w:sz w:val="17"/>
                  <w:szCs w:val="17"/>
                  <w:color w:val="0000FF"/>
                </w:rPr>
                <w:t>Risk Factors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16">
              <w:r>
                <w:rPr>
                  <w:rFonts w:ascii="Arial" w:cs="Arial" w:eastAsia="Arial" w:hAnsi="Arial"/>
                  <w:sz w:val="17"/>
                  <w:szCs w:val="17"/>
                  <w:color w:val="0000FF"/>
                </w:rPr>
                <w:t>13</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9360" w:type="dxa"/>
            <w:vAlign w:val="bottom"/>
            <w:gridSpan w:val="27"/>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Unresolved Staff Comments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rFonts w:ascii="Arial" w:cs="Arial" w:eastAsia="Arial" w:hAnsi="Arial"/>
                <w:sz w:val="17"/>
                <w:szCs w:val="17"/>
                <w:color w:val="0000FF"/>
                <w:w w:val="79"/>
              </w:rPr>
            </w:pPr>
            <w:hyperlink w:anchor="page46">
              <w:r>
                <w:rPr>
                  <w:rFonts w:ascii="Arial" w:cs="Arial" w:eastAsia="Arial" w:hAnsi="Arial"/>
                  <w:sz w:val="17"/>
                  <w:szCs w:val="17"/>
                  <w:color w:val="0000FF"/>
                  <w:w w:val="79"/>
                </w:rPr>
                <w:t>Properties</w:t>
              </w:r>
            </w:hyperlink>
          </w:p>
        </w:tc>
        <w:tc>
          <w:tcPr>
            <w:tcW w:w="1320" w:type="dxa"/>
            <w:vAlign w:val="bottom"/>
            <w:gridSpan w:val="6"/>
          </w:tcPr>
          <w:p>
            <w:pPr>
              <w:spacing w:after="0"/>
              <w:rPr>
                <w:sz w:val="24"/>
                <w:szCs w:val="24"/>
                <w:color w:val="auto"/>
              </w:rPr>
            </w:pPr>
          </w:p>
        </w:tc>
        <w:tc>
          <w:tcPr>
            <w:tcW w:w="7380" w:type="dxa"/>
            <w:vAlign w:val="bottom"/>
            <w:gridSpan w:val="19"/>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280" w:type="dxa"/>
            <w:vAlign w:val="bottom"/>
            <w:gridSpan w:val="4"/>
          </w:tcPr>
          <w:p>
            <w:pPr>
              <w:spacing w:after="0"/>
              <w:rPr>
                <w:rFonts w:ascii="Arial" w:cs="Arial" w:eastAsia="Arial" w:hAnsi="Arial"/>
                <w:sz w:val="17"/>
                <w:szCs w:val="17"/>
                <w:color w:val="0000FF"/>
                <w:w w:val="88"/>
              </w:rPr>
            </w:pPr>
            <w:hyperlink w:anchor="page46">
              <w:r>
                <w:rPr>
                  <w:rFonts w:ascii="Arial" w:cs="Arial" w:eastAsia="Arial" w:hAnsi="Arial"/>
                  <w:sz w:val="17"/>
                  <w:szCs w:val="17"/>
                  <w:color w:val="0000FF"/>
                  <w:w w:val="88"/>
                </w:rPr>
                <w:t>Legal Proceedings</w:t>
              </w:r>
            </w:hyperlink>
          </w:p>
        </w:tc>
        <w:tc>
          <w:tcPr>
            <w:tcW w:w="8080" w:type="dxa"/>
            <w:vAlign w:val="bottom"/>
            <w:gridSpan w:val="23"/>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9360" w:type="dxa"/>
            <w:vAlign w:val="bottom"/>
            <w:gridSpan w:val="27"/>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Mine Safety Disclosures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14"/>
          </w:tcPr>
          <w:p>
            <w:pPr>
              <w:jc w:val="center"/>
              <w:ind w:right="4840"/>
              <w:spacing w:after="0"/>
              <w:rPr>
                <w:rFonts w:ascii="Arial" w:cs="Arial" w:eastAsia="Arial" w:hAnsi="Arial"/>
                <w:sz w:val="17"/>
                <w:szCs w:val="17"/>
                <w:b w:val="1"/>
                <w:bCs w:val="1"/>
                <w:color w:val="0000FF"/>
              </w:rPr>
            </w:pPr>
            <w:hyperlink w:anchor="page46">
              <w:r>
                <w:rPr>
                  <w:rFonts w:ascii="Arial" w:cs="Arial" w:eastAsia="Arial" w:hAnsi="Arial"/>
                  <w:sz w:val="17"/>
                  <w:szCs w:val="17"/>
                  <w:b w:val="1"/>
                  <w:bCs w:val="1"/>
                  <w:color w:val="0000FF"/>
                </w:rPr>
                <w:t>PART II</w:t>
              </w:r>
            </w:hyperlink>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33"/>
        </w:trPr>
        <w:tc>
          <w:tcPr>
            <w:tcW w:w="9360" w:type="dxa"/>
            <w:vAlign w:val="bottom"/>
            <w:gridSpan w:val="27"/>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Market for Registrant’s Common Equity, Related Stockholder Matters and Issuer Purchases of Equity Securities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44</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rFonts w:ascii="Arial" w:cs="Arial" w:eastAsia="Arial" w:hAnsi="Arial"/>
                <w:sz w:val="17"/>
                <w:szCs w:val="17"/>
                <w:color w:val="0000FF"/>
                <w:w w:val="85"/>
              </w:rPr>
            </w:pPr>
            <w:hyperlink w:anchor="page48">
              <w:r>
                <w:rPr>
                  <w:rFonts w:ascii="Arial" w:cs="Arial" w:eastAsia="Arial" w:hAnsi="Arial"/>
                  <w:sz w:val="17"/>
                  <w:szCs w:val="17"/>
                  <w:color w:val="0000FF"/>
                  <w:w w:val="85"/>
                </w:rPr>
                <w:t>Reserved</w:t>
              </w:r>
            </w:hyperlink>
          </w:p>
        </w:tc>
        <w:tc>
          <w:tcPr>
            <w:tcW w:w="7160" w:type="dxa"/>
            <w:vAlign w:val="bottom"/>
            <w:gridSpan w:val="24"/>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45</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260" w:type="dxa"/>
            <w:vAlign w:val="bottom"/>
            <w:gridSpan w:val="23"/>
          </w:tcPr>
          <w:p>
            <w:pPr>
              <w:spacing w:after="0"/>
              <w:rPr>
                <w:rFonts w:ascii="Arial" w:cs="Arial" w:eastAsia="Arial" w:hAnsi="Arial"/>
                <w:sz w:val="17"/>
                <w:szCs w:val="17"/>
                <w:color w:val="0000FF"/>
                <w:w w:val="93"/>
              </w:rPr>
            </w:pPr>
            <w:hyperlink w:anchor="page48">
              <w:r>
                <w:rPr>
                  <w:rFonts w:ascii="Arial" w:cs="Arial" w:eastAsia="Arial" w:hAnsi="Arial"/>
                  <w:sz w:val="17"/>
                  <w:szCs w:val="17"/>
                  <w:color w:val="0000FF"/>
                  <w:w w:val="93"/>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46</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260" w:type="dxa"/>
            <w:vAlign w:val="bottom"/>
            <w:gridSpan w:val="23"/>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Quantitative and Qualitative Disclosures About Market Risk</w:t>
              </w:r>
            </w:hyperlink>
          </w:p>
        </w:tc>
        <w:tc>
          <w:tcPr>
            <w:tcW w:w="3100" w:type="dxa"/>
            <w:vAlign w:val="bottom"/>
            <w:gridSpan w:val="4"/>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63">
              <w:r>
                <w:rPr>
                  <w:rFonts w:ascii="Arial" w:cs="Arial" w:eastAsia="Arial" w:hAnsi="Arial"/>
                  <w:sz w:val="17"/>
                  <w:szCs w:val="17"/>
                  <w:color w:val="0000FF"/>
                </w:rPr>
                <w:t>60</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4220" w:type="dxa"/>
            <w:vAlign w:val="bottom"/>
            <w:gridSpan w:val="16"/>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Financial Statements and Supplementary Data</w:t>
              </w:r>
            </w:hyperlink>
          </w:p>
        </w:tc>
        <w:tc>
          <w:tcPr>
            <w:tcW w:w="5140" w:type="dxa"/>
            <w:vAlign w:val="bottom"/>
            <w:gridSpan w:val="11"/>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64">
              <w:r>
                <w:rPr>
                  <w:rFonts w:ascii="Arial" w:cs="Arial" w:eastAsia="Arial" w:hAnsi="Arial"/>
                  <w:sz w:val="17"/>
                  <w:szCs w:val="17"/>
                  <w:color w:val="0000FF"/>
                </w:rPr>
                <w:t>62</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280" w:type="dxa"/>
            <w:vAlign w:val="bottom"/>
            <w:gridSpan w:val="24"/>
          </w:tcPr>
          <w:p>
            <w:pPr>
              <w:spacing w:after="0"/>
              <w:rPr>
                <w:rFonts w:ascii="Arial" w:cs="Arial" w:eastAsia="Arial" w:hAnsi="Arial"/>
                <w:sz w:val="17"/>
                <w:szCs w:val="17"/>
                <w:color w:val="0000FF"/>
                <w:w w:val="92"/>
              </w:rPr>
            </w:pPr>
            <w:hyperlink w:anchor="page105">
              <w:r>
                <w:rPr>
                  <w:rFonts w:ascii="Arial" w:cs="Arial" w:eastAsia="Arial" w:hAnsi="Arial"/>
                  <w:sz w:val="17"/>
                  <w:szCs w:val="17"/>
                  <w:color w:val="0000FF"/>
                  <w:w w:val="92"/>
                </w:rPr>
                <w:t>Changes in and Disagreements with Accountants on Accounting and Financial Disclosure</w:t>
              </w:r>
            </w:hyperlink>
          </w:p>
        </w:tc>
        <w:tc>
          <w:tcPr>
            <w:tcW w:w="30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5">
              <w:r>
                <w:rPr>
                  <w:rFonts w:ascii="Arial" w:cs="Arial" w:eastAsia="Arial" w:hAnsi="Arial"/>
                  <w:sz w:val="17"/>
                  <w:szCs w:val="17"/>
                  <w:color w:val="0000FF"/>
                  <w:w w:val="84"/>
                </w:rPr>
                <w:t>103</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280" w:type="dxa"/>
            <w:vAlign w:val="bottom"/>
            <w:gridSpan w:val="24"/>
          </w:tcPr>
          <w:p>
            <w:pPr>
              <w:spacing w:after="0"/>
              <w:rPr>
                <w:rFonts w:ascii="Arial" w:cs="Arial" w:eastAsia="Arial" w:hAnsi="Arial"/>
                <w:sz w:val="17"/>
                <w:szCs w:val="17"/>
                <w:color w:val="0000FF"/>
              </w:rPr>
            </w:pPr>
            <w:hyperlink w:anchor="page106">
              <w:r>
                <w:rPr>
                  <w:rFonts w:ascii="Arial" w:cs="Arial" w:eastAsia="Arial" w:hAnsi="Arial"/>
                  <w:sz w:val="17"/>
                  <w:szCs w:val="17"/>
                  <w:color w:val="0000FF"/>
                </w:rPr>
                <w:t>Controls and Procedures</w:t>
              </w:r>
            </w:hyperlink>
          </w:p>
        </w:tc>
        <w:tc>
          <w:tcPr>
            <w:tcW w:w="30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6">
              <w:r>
                <w:rPr>
                  <w:rFonts w:ascii="Arial" w:cs="Arial" w:eastAsia="Arial" w:hAnsi="Arial"/>
                  <w:sz w:val="17"/>
                  <w:szCs w:val="17"/>
                  <w:color w:val="0000FF"/>
                  <w:w w:val="84"/>
                </w:rPr>
                <w:t>103</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280" w:type="dxa"/>
            <w:vAlign w:val="bottom"/>
            <w:gridSpan w:val="4"/>
          </w:tcPr>
          <w:p>
            <w:pPr>
              <w:spacing w:after="0"/>
              <w:rPr>
                <w:rFonts w:ascii="Arial" w:cs="Arial" w:eastAsia="Arial" w:hAnsi="Arial"/>
                <w:sz w:val="17"/>
                <w:szCs w:val="17"/>
                <w:color w:val="0000FF"/>
                <w:w w:val="93"/>
              </w:rPr>
            </w:pPr>
            <w:hyperlink w:anchor="page106">
              <w:r>
                <w:rPr>
                  <w:rFonts w:ascii="Arial" w:cs="Arial" w:eastAsia="Arial" w:hAnsi="Arial"/>
                  <w:sz w:val="17"/>
                  <w:szCs w:val="17"/>
                  <w:color w:val="0000FF"/>
                  <w:w w:val="93"/>
                </w:rPr>
                <w:t>Other Information</w:t>
              </w:r>
            </w:hyperlink>
          </w:p>
        </w:tc>
        <w:tc>
          <w:tcPr>
            <w:tcW w:w="440" w:type="dxa"/>
            <w:vAlign w:val="bottom"/>
            <w:gridSpan w:val="2"/>
          </w:tcPr>
          <w:p>
            <w:pPr>
              <w:spacing w:after="0"/>
              <w:rPr>
                <w:sz w:val="24"/>
                <w:szCs w:val="24"/>
                <w:color w:val="auto"/>
              </w:rPr>
            </w:pPr>
          </w:p>
        </w:tc>
        <w:tc>
          <w:tcPr>
            <w:tcW w:w="7640" w:type="dxa"/>
            <w:vAlign w:val="bottom"/>
            <w:gridSpan w:val="21"/>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6">
              <w:r>
                <w:rPr>
                  <w:rFonts w:ascii="Arial" w:cs="Arial" w:eastAsia="Arial" w:hAnsi="Arial"/>
                  <w:sz w:val="17"/>
                  <w:szCs w:val="17"/>
                  <w:color w:val="0000FF"/>
                  <w:w w:val="84"/>
                </w:rPr>
                <w:t>104</w:t>
              </w:r>
            </w:hyperlink>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360" w:type="dxa"/>
            <w:vAlign w:val="bottom"/>
            <w:gridSpan w:val="27"/>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Disclosure Regarding Foreign Jurisdictions that Prevent Inspections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107">
              <w:r>
                <w:rPr>
                  <w:rFonts w:ascii="Arial" w:cs="Arial" w:eastAsia="Arial" w:hAnsi="Arial"/>
                  <w:sz w:val="17"/>
                  <w:szCs w:val="17"/>
                  <w:color w:val="0000FF"/>
                </w:rPr>
                <w:t>104</w:t>
              </w:r>
            </w:hyperlink>
          </w:p>
        </w:tc>
      </w:tr>
      <w:tr>
        <w:trPr>
          <w:trHeight w:val="202"/>
        </w:trPr>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720" w:type="dxa"/>
            <w:vAlign w:val="bottom"/>
            <w:tcBorders>
              <w:top w:val="single" w:sz="8" w:color="0000FF"/>
              <w:bottom w:val="single" w:sz="8" w:color="0000FF"/>
            </w:tcBorders>
            <w:gridSpan w:val="8"/>
          </w:tcPr>
          <w:p>
            <w:pPr>
              <w:jc w:val="center"/>
              <w:ind w:right="20"/>
              <w:spacing w:after="0"/>
              <w:rPr>
                <w:rFonts w:ascii="Arial" w:cs="Arial" w:eastAsia="Arial" w:hAnsi="Arial"/>
                <w:sz w:val="17"/>
                <w:szCs w:val="17"/>
                <w:b w:val="1"/>
                <w:bCs w:val="1"/>
                <w:color w:val="0000FF"/>
              </w:rPr>
            </w:pPr>
            <w:hyperlink w:anchor="page107">
              <w:r>
                <w:rPr>
                  <w:rFonts w:ascii="Arial" w:cs="Arial" w:eastAsia="Arial" w:hAnsi="Arial"/>
                  <w:sz w:val="17"/>
                  <w:szCs w:val="17"/>
                  <w:b w:val="1"/>
                  <w:bCs w:val="1"/>
                  <w:color w:val="0000FF"/>
                </w:rPr>
                <w:t>PART III</w:t>
              </w:r>
            </w:hyperlink>
          </w:p>
        </w:tc>
        <w:tc>
          <w:tcPr>
            <w:tcW w:w="160" w:type="dxa"/>
            <w:vAlign w:val="bottom"/>
            <w:tcBorders>
              <w:top w:val="single" w:sz="8" w:color="0000FF"/>
            </w:tcBorders>
          </w:tcPr>
          <w:p>
            <w:pPr>
              <w:spacing w:after="0"/>
              <w:rPr>
                <w:sz w:val="17"/>
                <w:szCs w:val="17"/>
                <w:color w:val="auto"/>
              </w:rPr>
            </w:pPr>
          </w:p>
        </w:tc>
        <w:tc>
          <w:tcPr>
            <w:tcW w:w="46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33"/>
        </w:trPr>
        <w:tc>
          <w:tcPr>
            <w:tcW w:w="3980" w:type="dxa"/>
            <w:vAlign w:val="bottom"/>
            <w:gridSpan w:val="15"/>
          </w:tcPr>
          <w:p>
            <w:pPr>
              <w:spacing w:after="0"/>
              <w:rPr>
                <w:rFonts w:ascii="Arial" w:cs="Arial" w:eastAsia="Arial" w:hAnsi="Arial"/>
                <w:sz w:val="17"/>
                <w:szCs w:val="17"/>
                <w:color w:val="0000FF"/>
                <w:w w:val="93"/>
              </w:rPr>
            </w:pPr>
            <w:hyperlink w:anchor="page108">
              <w:r>
                <w:rPr>
                  <w:rFonts w:ascii="Arial" w:cs="Arial" w:eastAsia="Arial" w:hAnsi="Arial"/>
                  <w:sz w:val="17"/>
                  <w:szCs w:val="17"/>
                  <w:color w:val="0000FF"/>
                  <w:w w:val="93"/>
                </w:rPr>
                <w:t>Directors, Executive Officers and Corporate Governance</w:t>
              </w:r>
            </w:hyperlink>
          </w:p>
        </w:tc>
        <w:tc>
          <w:tcPr>
            <w:tcW w:w="538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8">
              <w:r>
                <w:rPr>
                  <w:rFonts w:ascii="Arial" w:cs="Arial" w:eastAsia="Arial" w:hAnsi="Arial"/>
                  <w:sz w:val="17"/>
                  <w:szCs w:val="17"/>
                  <w:color w:val="0000FF"/>
                  <w:w w:val="84"/>
                </w:rPr>
                <w:t>105</w:t>
              </w:r>
            </w:hyperlink>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760" w:type="dxa"/>
            <w:vAlign w:val="bottom"/>
            <w:gridSpan w:val="7"/>
          </w:tcPr>
          <w:p>
            <w:pPr>
              <w:spacing w:after="0"/>
              <w:rPr>
                <w:rFonts w:ascii="Arial" w:cs="Arial" w:eastAsia="Arial" w:hAnsi="Arial"/>
                <w:sz w:val="17"/>
                <w:szCs w:val="17"/>
                <w:color w:val="0000FF"/>
                <w:w w:val="92"/>
              </w:rPr>
            </w:pPr>
            <w:hyperlink w:anchor="page108">
              <w:r>
                <w:rPr>
                  <w:rFonts w:ascii="Arial" w:cs="Arial" w:eastAsia="Arial" w:hAnsi="Arial"/>
                  <w:sz w:val="17"/>
                  <w:szCs w:val="17"/>
                  <w:color w:val="0000FF"/>
                  <w:w w:val="92"/>
                </w:rPr>
                <w:t>Executive Compensation</w:t>
              </w:r>
            </w:hyperlink>
          </w:p>
        </w:tc>
        <w:tc>
          <w:tcPr>
            <w:tcW w:w="2220" w:type="dxa"/>
            <w:vAlign w:val="bottom"/>
            <w:gridSpan w:val="8"/>
          </w:tcPr>
          <w:p>
            <w:pPr>
              <w:spacing w:after="0"/>
              <w:rPr>
                <w:sz w:val="24"/>
                <w:szCs w:val="24"/>
                <w:color w:val="auto"/>
              </w:rPr>
            </w:pPr>
          </w:p>
        </w:tc>
        <w:tc>
          <w:tcPr>
            <w:tcW w:w="538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8">
              <w:r>
                <w:rPr>
                  <w:rFonts w:ascii="Arial" w:cs="Arial" w:eastAsia="Arial" w:hAnsi="Arial"/>
                  <w:sz w:val="17"/>
                  <w:szCs w:val="17"/>
                  <w:color w:val="0000FF"/>
                  <w:w w:val="84"/>
                </w:rPr>
                <w:t>105</w:t>
              </w:r>
            </w:hyperlink>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9360" w:type="dxa"/>
            <w:vAlign w:val="bottom"/>
            <w:gridSpan w:val="27"/>
          </w:tcPr>
          <w:p>
            <w:pPr>
              <w:spacing w:after="0"/>
              <w:rPr>
                <w:rFonts w:ascii="Arial" w:cs="Arial" w:eastAsia="Arial" w:hAnsi="Arial"/>
                <w:sz w:val="17"/>
                <w:szCs w:val="17"/>
                <w:color w:val="0000FF"/>
              </w:rPr>
            </w:pPr>
            <w:hyperlink w:anchor="page108">
              <w:r>
                <w:rPr>
                  <w:rFonts w:ascii="Arial" w:cs="Arial" w:eastAsia="Arial" w:hAnsi="Arial"/>
                  <w:sz w:val="17"/>
                  <w:szCs w:val="17"/>
                  <w:color w:val="0000FF"/>
                </w:rPr>
                <w:t>Security Ownership of Certain Beneficial Owners and Management and Related Stockholder Matters</w:t>
              </w:r>
            </w:hyperlink>
          </w:p>
        </w:tc>
        <w:tc>
          <w:tcPr>
            <w:tcW w:w="520" w:type="dxa"/>
            <w:vAlign w:val="bottom"/>
            <w:gridSpan w:val="5"/>
          </w:tcPr>
          <w:p>
            <w:pPr>
              <w:jc w:val="right"/>
              <w:ind w:right="20"/>
              <w:spacing w:after="0"/>
              <w:rPr>
                <w:rFonts w:ascii="Arial" w:cs="Arial" w:eastAsia="Arial" w:hAnsi="Arial"/>
                <w:sz w:val="17"/>
                <w:szCs w:val="17"/>
                <w:color w:val="0000FF"/>
              </w:rPr>
            </w:pPr>
            <w:hyperlink w:anchor="page108">
              <w:r>
                <w:rPr>
                  <w:rFonts w:ascii="Arial" w:cs="Arial" w:eastAsia="Arial" w:hAnsi="Arial"/>
                  <w:sz w:val="17"/>
                  <w:szCs w:val="17"/>
                  <w:color w:val="0000FF"/>
                </w:rPr>
                <w:t>105</w:t>
              </w:r>
            </w:hyperlink>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5240" w:type="dxa"/>
            <w:vAlign w:val="bottom"/>
            <w:gridSpan w:val="22"/>
          </w:tcPr>
          <w:p>
            <w:pPr>
              <w:spacing w:after="0"/>
              <w:rPr>
                <w:rFonts w:ascii="Arial" w:cs="Arial" w:eastAsia="Arial" w:hAnsi="Arial"/>
                <w:sz w:val="17"/>
                <w:szCs w:val="17"/>
                <w:color w:val="0000FF"/>
                <w:w w:val="91"/>
              </w:rPr>
            </w:pPr>
            <w:hyperlink w:anchor="page108">
              <w:r>
                <w:rPr>
                  <w:rFonts w:ascii="Arial" w:cs="Arial" w:eastAsia="Arial" w:hAnsi="Arial"/>
                  <w:sz w:val="17"/>
                  <w:szCs w:val="17"/>
                  <w:color w:val="0000FF"/>
                  <w:w w:val="91"/>
                </w:rPr>
                <w:t>Certain Relationships and Related Transactions and Director Independence</w:t>
              </w:r>
            </w:hyperlink>
          </w:p>
        </w:tc>
        <w:tc>
          <w:tcPr>
            <w:tcW w:w="1820" w:type="dxa"/>
            <w:vAlign w:val="bottom"/>
            <w:gridSpan w:val="3"/>
          </w:tcPr>
          <w:p>
            <w:pPr>
              <w:spacing w:after="0"/>
              <w:rPr>
                <w:sz w:val="24"/>
                <w:szCs w:val="24"/>
                <w:color w:val="auto"/>
              </w:rPr>
            </w:pPr>
          </w:p>
        </w:tc>
        <w:tc>
          <w:tcPr>
            <w:tcW w:w="23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8">
              <w:r>
                <w:rPr>
                  <w:rFonts w:ascii="Arial" w:cs="Arial" w:eastAsia="Arial" w:hAnsi="Arial"/>
                  <w:sz w:val="17"/>
                  <w:szCs w:val="17"/>
                  <w:color w:val="0000FF"/>
                  <w:w w:val="84"/>
                </w:rPr>
                <w:t>105</w:t>
              </w:r>
            </w:hyperlink>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5240" w:type="dxa"/>
            <w:vAlign w:val="bottom"/>
            <w:gridSpan w:val="22"/>
          </w:tcPr>
          <w:p>
            <w:pPr>
              <w:spacing w:after="0"/>
              <w:rPr>
                <w:rFonts w:ascii="Arial" w:cs="Arial" w:eastAsia="Arial" w:hAnsi="Arial"/>
                <w:sz w:val="17"/>
                <w:szCs w:val="17"/>
                <w:color w:val="0000FF"/>
              </w:rPr>
            </w:pPr>
            <w:hyperlink w:anchor="page108">
              <w:r>
                <w:rPr>
                  <w:rFonts w:ascii="Arial" w:cs="Arial" w:eastAsia="Arial" w:hAnsi="Arial"/>
                  <w:sz w:val="17"/>
                  <w:szCs w:val="17"/>
                  <w:color w:val="0000FF"/>
                </w:rPr>
                <w:t>Principal Accountant Fees and Services</w:t>
              </w:r>
            </w:hyperlink>
          </w:p>
        </w:tc>
        <w:tc>
          <w:tcPr>
            <w:tcW w:w="412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08">
              <w:r>
                <w:rPr>
                  <w:rFonts w:ascii="Arial" w:cs="Arial" w:eastAsia="Arial" w:hAnsi="Arial"/>
                  <w:sz w:val="17"/>
                  <w:szCs w:val="17"/>
                  <w:color w:val="0000FF"/>
                  <w:w w:val="84"/>
                </w:rPr>
                <w:t>105</w:t>
              </w:r>
            </w:hyperlink>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500" w:type="dxa"/>
            <w:vAlign w:val="bottom"/>
            <w:gridSpan w:val="15"/>
          </w:tcPr>
          <w:p>
            <w:pPr>
              <w:jc w:val="center"/>
              <w:ind w:right="4800"/>
              <w:spacing w:after="0"/>
              <w:rPr>
                <w:rFonts w:ascii="Arial" w:cs="Arial" w:eastAsia="Arial" w:hAnsi="Arial"/>
                <w:sz w:val="17"/>
                <w:szCs w:val="17"/>
                <w:b w:val="1"/>
                <w:bCs w:val="1"/>
                <w:color w:val="0000FF"/>
              </w:rPr>
            </w:pPr>
            <w:hyperlink w:anchor="page108">
              <w:r>
                <w:rPr>
                  <w:rFonts w:ascii="Arial" w:cs="Arial" w:eastAsia="Arial" w:hAnsi="Arial"/>
                  <w:sz w:val="17"/>
                  <w:szCs w:val="17"/>
                  <w:b w:val="1"/>
                  <w:bCs w:val="1"/>
                  <w:color w:val="0000FF"/>
                </w:rPr>
                <w:t>PART IV</w:t>
              </w:r>
            </w:hyperlink>
          </w:p>
        </w:tc>
        <w:tc>
          <w:tcPr>
            <w:tcW w:w="2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333"/>
        </w:trPr>
        <w:tc>
          <w:tcPr>
            <w:tcW w:w="3880" w:type="dxa"/>
            <w:vAlign w:val="bottom"/>
            <w:gridSpan w:val="13"/>
          </w:tcPr>
          <w:p>
            <w:pPr>
              <w:spacing w:after="0"/>
              <w:rPr>
                <w:rFonts w:ascii="Arial" w:cs="Arial" w:eastAsia="Arial" w:hAnsi="Arial"/>
                <w:sz w:val="17"/>
                <w:szCs w:val="17"/>
                <w:color w:val="0000FF"/>
              </w:rPr>
            </w:pPr>
            <w:hyperlink w:anchor="page109">
              <w:r>
                <w:rPr>
                  <w:rFonts w:ascii="Arial" w:cs="Arial" w:eastAsia="Arial" w:hAnsi="Arial"/>
                  <w:sz w:val="17"/>
                  <w:szCs w:val="17"/>
                  <w:color w:val="0000FF"/>
                </w:rPr>
                <w:t>Exhibits and Financial Statement Schedules</w:t>
              </w:r>
            </w:hyperlink>
          </w:p>
        </w:tc>
        <w:tc>
          <w:tcPr>
            <w:tcW w:w="680" w:type="dxa"/>
            <w:vAlign w:val="bottom"/>
            <w:tcBorders>
              <w:top w:val="single" w:sz="8" w:color="0000FF"/>
            </w:tcBorders>
            <w:gridSpan w:val="6"/>
          </w:tcPr>
          <w:p>
            <w:pPr>
              <w:spacing w:after="0"/>
              <w:rPr>
                <w:sz w:val="24"/>
                <w:szCs w:val="24"/>
                <w:color w:val="auto"/>
              </w:rPr>
            </w:pPr>
          </w:p>
        </w:tc>
        <w:tc>
          <w:tcPr>
            <w:tcW w:w="4800" w:type="dxa"/>
            <w:vAlign w:val="bottom"/>
            <w:gridSpan w:val="8"/>
          </w:tcPr>
          <w:p>
            <w:pPr>
              <w:spacing w:after="0"/>
              <w:rPr>
                <w:sz w:val="24"/>
                <w:szCs w:val="24"/>
                <w:color w:val="auto"/>
              </w:rPr>
            </w:pPr>
          </w:p>
        </w:tc>
        <w:tc>
          <w:tcPr>
            <w:tcW w:w="520" w:type="dxa"/>
            <w:vAlign w:val="bottom"/>
            <w:gridSpan w:val="5"/>
          </w:tcPr>
          <w:p>
            <w:pPr>
              <w:jc w:val="right"/>
              <w:ind w:right="20"/>
              <w:spacing w:after="0"/>
              <w:rPr>
                <w:rFonts w:ascii="Arial" w:cs="Arial" w:eastAsia="Arial" w:hAnsi="Arial"/>
                <w:sz w:val="17"/>
                <w:szCs w:val="17"/>
                <w:color w:val="0000FF"/>
              </w:rPr>
            </w:pPr>
            <w:hyperlink w:anchor="page109">
              <w:r>
                <w:rPr>
                  <w:rFonts w:ascii="Arial" w:cs="Arial" w:eastAsia="Arial" w:hAnsi="Arial"/>
                  <w:sz w:val="17"/>
                  <w:szCs w:val="17"/>
                  <w:color w:val="0000FF"/>
                </w:rPr>
                <w:t>106</w:t>
              </w:r>
            </w:hyperlink>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300" w:type="dxa"/>
            <w:vAlign w:val="bottom"/>
            <w:gridSpan w:val="1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3060" w:type="dxa"/>
            <w:vAlign w:val="bottom"/>
            <w:gridSpan w:val="10"/>
          </w:tcPr>
          <w:p>
            <w:pPr>
              <w:spacing w:after="0"/>
              <w:rPr>
                <w:rFonts w:ascii="Arial" w:cs="Arial" w:eastAsia="Arial" w:hAnsi="Arial"/>
                <w:sz w:val="17"/>
                <w:szCs w:val="17"/>
                <w:color w:val="0000FF"/>
              </w:rPr>
            </w:pPr>
            <w:hyperlink w:anchor="page111">
              <w:r>
                <w:rPr>
                  <w:rFonts w:ascii="Arial" w:cs="Arial" w:eastAsia="Arial" w:hAnsi="Arial"/>
                  <w:sz w:val="17"/>
                  <w:szCs w:val="17"/>
                  <w:color w:val="0000FF"/>
                </w:rPr>
                <w:t>Form 10-K Summary</w:t>
              </w:r>
            </w:hyperlink>
          </w:p>
        </w:tc>
        <w:tc>
          <w:tcPr>
            <w:tcW w:w="6300" w:type="dxa"/>
            <w:vAlign w:val="bottom"/>
            <w:gridSpan w:val="17"/>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gridSpan w:val="4"/>
          </w:tcPr>
          <w:p>
            <w:pPr>
              <w:jc w:val="right"/>
              <w:ind w:right="20"/>
              <w:spacing w:after="0"/>
              <w:rPr>
                <w:rFonts w:ascii="Arial" w:cs="Arial" w:eastAsia="Arial" w:hAnsi="Arial"/>
                <w:sz w:val="17"/>
                <w:szCs w:val="17"/>
                <w:color w:val="0000FF"/>
                <w:w w:val="84"/>
              </w:rPr>
            </w:pPr>
            <w:hyperlink w:anchor="page111">
              <w:r>
                <w:rPr>
                  <w:rFonts w:ascii="Arial" w:cs="Arial" w:eastAsia="Arial" w:hAnsi="Arial"/>
                  <w:sz w:val="17"/>
                  <w:szCs w:val="17"/>
                  <w:color w:val="0000FF"/>
                  <w:w w:val="84"/>
                </w:rPr>
                <w:t>109</w:t>
              </w:r>
            </w:hyperlink>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1223645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620" w:space="720"/>
            <w:col w:w="9880"/>
          </w:cols>
          <w:pgMar w:left="340" w:top="1219"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17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w:t>
      </w:r>
    </w:p>
    <w:p>
      <w:pPr>
        <w:spacing w:after="0" w:line="176" w:lineRule="exact"/>
        <w:rPr>
          <w:sz w:val="20"/>
          <w:szCs w:val="20"/>
          <w:color w:val="auto"/>
        </w:rPr>
      </w:pPr>
    </w:p>
    <w:p>
      <w:pPr>
        <w:ind w:right="60" w:firstLine="470"/>
        <w:spacing w:after="0" w:line="324" w:lineRule="auto"/>
        <w:rPr>
          <w:sz w:val="20"/>
          <w:szCs w:val="20"/>
          <w:color w:val="auto"/>
        </w:rPr>
      </w:pPr>
      <w:r>
        <w:rPr>
          <w:rFonts w:ascii="Arial" w:cs="Arial" w:eastAsia="Arial" w:hAnsi="Arial"/>
          <w:sz w:val="15"/>
          <w:szCs w:val="15"/>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6"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21" w:lineRule="exact"/>
        <w:rPr>
          <w:sz w:val="20"/>
          <w:szCs w:val="20"/>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operating and financial performance, ability to generate positive cash flow and ability to achieve and sustain profitability;</w:t>
      </w:r>
    </w:p>
    <w:p>
      <w:pPr>
        <w:spacing w:after="0" w:line="170" w:lineRule="exact"/>
        <w:rPr>
          <w:rFonts w:ascii="Arial" w:cs="Arial" w:eastAsia="Arial" w:hAnsi="Arial"/>
          <w:sz w:val="17"/>
          <w:szCs w:val="17"/>
          <w:color w:val="auto"/>
        </w:rPr>
      </w:pPr>
    </w:p>
    <w:p>
      <w:pPr>
        <w:ind w:left="640" w:right="32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anticipate and satisfy customer demands, including through the introduction of new features, products or services and the provision of professional services;</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w:t>
      </w:r>
    </w:p>
    <w:p>
      <w:pPr>
        <w:spacing w:after="0" w:line="170" w:lineRule="exact"/>
        <w:rPr>
          <w:rFonts w:ascii="Arial" w:cs="Arial" w:eastAsia="Arial" w:hAnsi="Arial"/>
          <w:sz w:val="17"/>
          <w:szCs w:val="17"/>
          <w:color w:val="auto"/>
        </w:rPr>
      </w:pPr>
    </w:p>
    <w:p>
      <w:pPr>
        <w:ind w:left="640" w:right="88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our sales and marketing organization and to scale our business, including entering into new markets and managing our international expansion;</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ongoing COVID-19 pandemic and any associated economic downturn on our future operating and financial performance;</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trading prices of our common stock and the impact of securities analysts’ reports on these prices;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build and maintain credibility with the developer community;</w:t>
      </w:r>
    </w:p>
    <w:p>
      <w:pPr>
        <w:spacing w:after="0" w:line="235"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customers to use our products;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enforce and enhance our intellectual property;</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growth and expansion of the market for database products and our ability to penetrate such market;</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security of our software and adequately address privacy concerns;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accurately forecast our sales cycle and make changes to our pricing model;</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form new and expand existing strategic partnerships;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attraction and retention of highly skilled and key personnel;</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enhance our brand;</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manage our growth and future expenses and maintain our corporate culture;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modified or new laws and regulations applying to our business.</w:t>
      </w:r>
    </w:p>
    <w:p>
      <w:pPr>
        <w:spacing w:after="0" w:line="17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17"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0"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1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27" w:lineRule="exact"/>
        <w:rPr>
          <w:sz w:val="20"/>
          <w:szCs w:val="20"/>
          <w:color w:val="auto"/>
        </w:rPr>
      </w:pPr>
    </w:p>
    <w:p>
      <w:pPr>
        <w:ind w:right="100" w:firstLine="470"/>
        <w:spacing w:after="0" w:line="307" w:lineRule="auto"/>
        <w:rPr>
          <w:sz w:val="20"/>
          <w:szCs w:val="20"/>
          <w:color w:val="auto"/>
        </w:rPr>
      </w:pPr>
      <w:r>
        <w:rPr>
          <w:rFonts w:ascii="Arial" w:cs="Arial" w:eastAsia="Arial" w:hAnsi="Arial"/>
          <w:sz w:val="15"/>
          <w:szCs w:val="15"/>
          <w:color w:val="auto"/>
        </w:rPr>
        <w:t>Software applications continue to redefine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of all sizes and industries and across geographies have significantly increased investment in developers with the strategic goal of improving their pace of innovation and competitive position.</w:t>
      </w:r>
    </w:p>
    <w:p>
      <w:pPr>
        <w:spacing w:after="0" w:line="99" w:lineRule="exact"/>
        <w:rPr>
          <w:sz w:val="20"/>
          <w:szCs w:val="20"/>
          <w:color w:val="auto"/>
        </w:rPr>
      </w:pPr>
    </w:p>
    <w:p>
      <w:pPr>
        <w:jc w:val="both"/>
        <w:ind w:right="620" w:firstLine="470"/>
        <w:spacing w:after="0" w:line="272" w:lineRule="auto"/>
        <w:rPr>
          <w:sz w:val="20"/>
          <w:szCs w:val="20"/>
          <w:color w:val="auto"/>
        </w:rPr>
      </w:pPr>
      <w:r>
        <w:rPr>
          <w:rFonts w:ascii="Arial" w:cs="Arial" w:eastAsia="Arial" w:hAnsi="Arial"/>
          <w:sz w:val="17"/>
          <w:szCs w:val="17"/>
          <w:color w:val="auto"/>
        </w:rPr>
        <w:t>A database is at the heart of every software application.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is a highly strategic decision that directly affects developer productivity, application performance and organizational competitiveness.</w:t>
      </w:r>
    </w:p>
    <w:p>
      <w:pPr>
        <w:spacing w:after="0" w:line="17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Legacy 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When we refer to a modern database, we are referring to a database that was originally commercialized after the year 2000 and that is designed for globally distributed deployments.</w:t>
      </w:r>
    </w:p>
    <w:p>
      <w:pPr>
        <w:spacing w:after="0" w:line="117"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Our unique platform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the pace of innovation within an organization. Customers can run our platform in any environment, depending on their operational requirements: fully managed as a service or self-managed in the cloud, on-premise or in a hybrid environment.</w:t>
      </w:r>
    </w:p>
    <w:p>
      <w:pPr>
        <w:spacing w:after="0" w:line="99"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database market is one of the largest in the software industry. According to IDC, the worldwide database software market, which it refers to as the data management software market, was forecast to be $74 billion in 2021 growing to approximately $121 billion in 2025, representing a 13%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23"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To encourage developer usage, familiarity and adoption of our platform, we offer Community Server, a free-to-download version of our database that is analogous to a “freemium” offering. This allows developers to evaluate our platform in a frictionless manner, which we believe has contributed to our platform's popularity among developers and driven enterprise adoption of our subscription offering. Prior to October 2018, we offered Community Server under the GNU Affero General Public License version 3 (the “AGPL”). In October 2018, we issued a new software license, the Server Side Public License (the “SSPL”), for all versions of Community Server released after that date. Both the SSPL and the AGPL grant licensees broad freedom to view, use, copy, modify and redistribute the source code of Community Server provided certain conditions are met. The SSPL is based on the AGPL but includes an explicit condition that any organization using Community Server to offer MongoDB as a third-party service must open source the software that it uses to offer such service.</w:t>
      </w:r>
    </w:p>
    <w:p>
      <w:pPr>
        <w:spacing w:after="0" w:line="118"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differentiators of our platform include: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Built Our Platform for Developers.</w:t>
      </w:r>
    </w:p>
    <w:p>
      <w:pPr>
        <w:spacing w:after="0" w:line="170"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w:t>
      </w: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According to the Stack Overflow Annual Developer Survey, MongoDB continues to be one of the top databases developers want to work with.</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Built a Modern Platform for Applications.</w:t>
      </w:r>
    </w:p>
    <w:p>
      <w:pPr>
        <w:spacing w:after="0" w:line="170" w:lineRule="exact"/>
        <w:rPr>
          <w:sz w:val="20"/>
          <w:szCs w:val="20"/>
          <w:color w:val="auto"/>
        </w:rPr>
      </w:pPr>
    </w:p>
    <w:p>
      <w:pPr>
        <w:ind w:right="220" w:firstLine="470"/>
        <w:spacing w:after="0" w:line="264" w:lineRule="auto"/>
        <w:rPr>
          <w:sz w:val="20"/>
          <w:szCs w:val="20"/>
          <w:color w:val="auto"/>
        </w:rPr>
      </w:pPr>
      <w:r>
        <w:rPr>
          <w:rFonts w:ascii="Arial" w:cs="Arial" w:eastAsia="Arial" w:hAnsi="Arial"/>
          <w:sz w:val="17"/>
          <w:szCs w:val="17"/>
          <w:color w:val="auto"/>
        </w:rPr>
        <w:t>Our founders were frustrated by the challenges of working with legacy database offerings. Our platform was built to address these challenges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 quarter of our new business related to MongoDB Enterprise Advanced, our proprietary commercial database offering, resulted from applications that were migrated from legacy relational databases.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Core features and capabilities of our platform include:</w:t>
      </w:r>
    </w:p>
    <w:p>
      <w:pPr>
        <w:spacing w:after="0" w:line="178" w:lineRule="exact"/>
        <w:rPr>
          <w:sz w:val="20"/>
          <w:szCs w:val="20"/>
          <w:color w:val="auto"/>
        </w:rPr>
      </w:pPr>
    </w:p>
    <w:p>
      <w:pPr>
        <w:ind w:left="640" w:right="20" w:hanging="165"/>
        <w:spacing w:after="0" w:line="267" w:lineRule="auto"/>
        <w:tabs>
          <w:tab w:leader="none" w:pos="629" w:val="left"/>
        </w:tabs>
        <w:numPr>
          <w:ilvl w:val="0"/>
          <w:numId w:val="5"/>
        </w:numPr>
        <w:rPr>
          <w:rFonts w:ascii="Arial" w:cs="Arial" w:eastAsia="Arial" w:hAnsi="Arial"/>
          <w:sz w:val="18"/>
          <w:szCs w:val="18"/>
          <w:color w:val="auto"/>
        </w:rPr>
      </w:pPr>
      <w:r>
        <w:rPr>
          <w:rFonts w:ascii="Arial" w:cs="Arial" w:eastAsia="Arial" w:hAnsi="Arial"/>
          <w:sz w:val="16"/>
          <w:szCs w:val="16"/>
          <w:b w:val="1"/>
          <w:bCs w:val="1"/>
          <w:color w:val="auto"/>
        </w:rPr>
        <w:t xml:space="preserve">Versatility. </w:t>
      </w:r>
      <w:r>
        <w:rPr>
          <w:rFonts w:ascii="Arial" w:cs="Arial" w:eastAsia="Arial" w:hAnsi="Arial"/>
          <w:sz w:val="16"/>
          <w:szCs w:val="16"/>
          <w:color w:val="auto"/>
        </w:rPr>
        <w:t>Our modern general purpose database platform supports a broad range of workloads and offers our customers a host of features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that complement our database offering. This integration provides a unique solution that precludes the need for single-purpose technologies, and allows our customers to reduce cost and back-end complexity of their data infrastructure, as well as increase speed of innovation.</w:t>
      </w:r>
    </w:p>
    <w:p>
      <w:pPr>
        <w:spacing w:after="0" w:line="183" w:lineRule="exact"/>
        <w:rPr>
          <w:rFonts w:ascii="Arial" w:cs="Arial" w:eastAsia="Arial" w:hAnsi="Arial"/>
          <w:sz w:val="18"/>
          <w:szCs w:val="18"/>
          <w:color w:val="auto"/>
        </w:rPr>
      </w:pPr>
    </w:p>
    <w:p>
      <w:pPr>
        <w:ind w:left="640" w:hanging="165"/>
        <w:spacing w:after="0" w:line="279"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Performance. </w:t>
      </w:r>
      <w:r>
        <w:rPr>
          <w:rFonts w:ascii="Arial" w:cs="Arial" w:eastAsia="Arial" w:hAnsi="Arial"/>
          <w:sz w:val="17"/>
          <w:szCs w:val="17"/>
          <w:color w:val="auto"/>
        </w:rPr>
        <w:t>We deliver the extreme throughput and predictable low-latency required by the most demanding applications and leverage modern server</w:t>
      </w:r>
      <w:r>
        <w:rPr>
          <w:rFonts w:ascii="Arial" w:cs="Arial" w:eastAsia="Arial" w:hAnsi="Arial"/>
          <w:sz w:val="17"/>
          <w:szCs w:val="17"/>
          <w:b w:val="1"/>
          <w:bCs w:val="1"/>
          <w:color w:val="auto"/>
        </w:rPr>
        <w:t xml:space="preserve"> </w:t>
      </w:r>
      <w:r>
        <w:rPr>
          <w:rFonts w:ascii="Arial" w:cs="Arial" w:eastAsia="Arial" w:hAnsi="Arial"/>
          <w:sz w:val="17"/>
          <w:szCs w:val="17"/>
          <w:color w:val="auto"/>
        </w:rPr>
        <w:t>architectures, delivering millions of operations per second.</w:t>
      </w:r>
    </w:p>
    <w:p>
      <w:pPr>
        <w:spacing w:after="0" w:line="172" w:lineRule="exact"/>
        <w:rPr>
          <w:rFonts w:ascii="Arial" w:cs="Arial" w:eastAsia="Arial" w:hAnsi="Arial"/>
          <w:sz w:val="17"/>
          <w:szCs w:val="17"/>
          <w:color w:val="auto"/>
        </w:rPr>
      </w:pPr>
    </w:p>
    <w:p>
      <w:pPr>
        <w:ind w:left="640" w:right="60" w:hanging="165"/>
        <w:spacing w:after="0" w:line="295"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 distributed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 It is easy to add capacity to our platform in a modular, predictable and cost-efficient manner.</w:t>
      </w:r>
    </w:p>
    <w:p>
      <w:pPr>
        <w:spacing w:after="0" w:line="94" w:lineRule="exact"/>
        <w:rPr>
          <w:rFonts w:ascii="Arial" w:cs="Arial" w:eastAsia="Arial" w:hAnsi="Arial"/>
          <w:sz w:val="17"/>
          <w:szCs w:val="17"/>
          <w:color w:val="auto"/>
        </w:rPr>
      </w:pPr>
    </w:p>
    <w:p>
      <w:pPr>
        <w:ind w:left="640" w:right="220" w:hanging="165"/>
        <w:spacing w:after="0" w:line="27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Flexibility and Control. </w:t>
      </w:r>
      <w:r>
        <w:rPr>
          <w:rFonts w:ascii="Arial" w:cs="Arial" w:eastAsia="Arial" w:hAnsi="Arial"/>
          <w:sz w:val="17"/>
          <w:szCs w:val="17"/>
          <w:color w:val="auto"/>
        </w:rPr>
        <w:t>MongoDB's intelligent distributed systems architecture enables users to easily place data where their applications and users</w:t>
      </w:r>
      <w:r>
        <w:rPr>
          <w:rFonts w:ascii="Arial" w:cs="Arial" w:eastAsia="Arial" w:hAnsi="Arial"/>
          <w:sz w:val="17"/>
          <w:szCs w:val="17"/>
          <w:b w:val="1"/>
          <w:bCs w:val="1"/>
          <w:color w:val="auto"/>
        </w:rPr>
        <w:t xml:space="preserve"> </w:t>
      </w:r>
      <w:r>
        <w:rPr>
          <w:rFonts w:ascii="Arial" w:cs="Arial" w:eastAsia="Arial" w:hAnsi="Arial"/>
          <w:sz w:val="17"/>
          <w:szCs w:val="17"/>
          <w:color w:val="auto"/>
        </w:rPr>
        <w:t>need it. MongoDB can be run within and across geographically distributed data centers and cloud regions, providing levels of scalability, workload isolation and data locality to meet today's modern application requirements.</w:t>
      </w:r>
    </w:p>
    <w:p>
      <w:pPr>
        <w:spacing w:after="0" w:line="109" w:lineRule="exact"/>
        <w:rPr>
          <w:rFonts w:ascii="Arial" w:cs="Arial" w:eastAsia="Arial" w:hAnsi="Arial"/>
          <w:sz w:val="17"/>
          <w:szCs w:val="17"/>
          <w:color w:val="auto"/>
        </w:rPr>
      </w:pPr>
    </w:p>
    <w:p>
      <w:pPr>
        <w:ind w:left="640" w:right="540" w:hanging="165"/>
        <w:spacing w:after="0" w:line="295"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Reliability. </w:t>
      </w:r>
      <w:r>
        <w:rPr>
          <w:rFonts w:ascii="Arial" w:cs="Arial" w:eastAsia="Arial" w:hAnsi="Arial"/>
          <w:sz w:val="17"/>
          <w:szCs w:val="17"/>
          <w:color w:val="auto"/>
        </w:rPr>
        <w:t>Our platform includes the critical, advanced security features and fault-tolerance that enterprises demand. It was built to operate in a</w:t>
      </w:r>
      <w:r>
        <w:rPr>
          <w:rFonts w:ascii="Arial" w:cs="Arial" w:eastAsia="Arial" w:hAnsi="Arial"/>
          <w:sz w:val="17"/>
          <w:szCs w:val="17"/>
          <w:b w:val="1"/>
          <w:bCs w:val="1"/>
          <w:color w:val="auto"/>
        </w:rPr>
        <w:t xml:space="preserve"> </w:t>
      </w:r>
      <w:r>
        <w:rPr>
          <w:rFonts w:ascii="Arial" w:cs="Arial" w:eastAsia="Arial" w:hAnsi="Arial"/>
          <w:sz w:val="17"/>
          <w:szCs w:val="17"/>
          <w:color w:val="auto"/>
        </w:rPr>
        <w:t>globally distributed environment for “always-on” applications.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Allow Customers to Run Any Application Anywhere.</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As a general purpose database,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 or in a hybrid environment. Customers can deploy our platform in any of the major public cloud alternatives, providing them with increased flexibility and cost-optimization opportunities by preventing public cloud vendor lock-in. Our customers have a consistent experience regardless of infrastructure, providing optionality, flexibility and efficiency.</w:t>
      </w:r>
    </w:p>
    <w:p>
      <w:pPr>
        <w:spacing w:after="0" w:line="114" w:lineRule="exact"/>
        <w:rPr>
          <w:sz w:val="20"/>
          <w:szCs w:val="20"/>
          <w:color w:val="auto"/>
        </w:rPr>
      </w:pPr>
    </w:p>
    <w:p>
      <w:pPr>
        <w:ind w:right="280" w:firstLine="470"/>
        <w:spacing w:after="0" w:line="251" w:lineRule="auto"/>
        <w:rPr>
          <w:sz w:val="20"/>
          <w:szCs w:val="20"/>
          <w:color w:val="auto"/>
        </w:rPr>
      </w:pPr>
      <w:r>
        <w:rPr>
          <w:rFonts w:ascii="Arial" w:cs="Arial" w:eastAsia="Arial" w:hAnsi="Arial"/>
          <w:sz w:val="17"/>
          <w:szCs w:val="17"/>
          <w:color w:val="auto"/>
        </w:rPr>
        <w:t>Customers of MongoDB Atlas, our multi-cloud offering, enjoy the benefits of consuming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configuring operating systems, upgrading and more.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Customer Benefits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platform delivers the following key business benefits for our customers:</w:t>
      </w:r>
    </w:p>
    <w:p>
      <w:pPr>
        <w:spacing w:after="0" w:line="164" w:lineRule="exact"/>
        <w:rPr>
          <w:sz w:val="20"/>
          <w:szCs w:val="20"/>
          <w:color w:val="auto"/>
        </w:rPr>
      </w:pPr>
    </w:p>
    <w:p>
      <w:pPr>
        <w:ind w:left="640" w:right="80" w:hanging="165"/>
        <w:spacing w:after="0" w:line="269"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Maximize Competitive Advantage through Software and Data. </w:t>
      </w:r>
      <w:r>
        <w:rPr>
          <w:rFonts w:ascii="Arial" w:cs="Arial" w:eastAsia="Arial" w:hAnsi="Arial"/>
          <w:sz w:val="17"/>
          <w:szCs w:val="17"/>
          <w:color w:val="auto"/>
        </w:rPr>
        <w:t>Our platform is built to support modern applications, allowing organizations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right="60" w:hanging="165"/>
        <w:spacing w:after="0" w:line="266"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Increase Developer Productivity. </w:t>
      </w:r>
      <w:r>
        <w:rPr>
          <w:rFonts w:ascii="Arial" w:cs="Arial" w:eastAsia="Arial" w:hAnsi="Arial"/>
          <w:sz w:val="17"/>
          <w:szCs w:val="17"/>
          <w:color w:val="auto"/>
        </w:rPr>
        <w:t>By empowering developers to build and modernize applications quickly and cost-efficiently, we enable developers’</w:t>
      </w:r>
      <w:r>
        <w:rPr>
          <w:rFonts w:ascii="Arial" w:cs="Arial" w:eastAsia="Arial" w:hAnsi="Arial"/>
          <w:sz w:val="17"/>
          <w:szCs w:val="17"/>
          <w:b w:val="1"/>
          <w:bCs w:val="1"/>
          <w:color w:val="auto"/>
        </w:rPr>
        <w:t xml:space="preserve"> </w:t>
      </w:r>
      <w:r>
        <w:rPr>
          <w:rFonts w:ascii="Arial" w:cs="Arial" w:eastAsia="Arial" w:hAnsi="Arial"/>
          <w:sz w:val="17"/>
          <w:szCs w:val="17"/>
          <w:color w:val="auto"/>
        </w:rPr>
        <w:t>agility and accelerate their time-to-revenue for new products. Our platform’s document-based architecture and intuitive drivers make developing new applications and iterating on existing applications very efficient, increasing developer productivity. MongoDB Atlas allows developers to focus on how their applications use the database, application performance and end-user experience, rather than the database infrastructure management including provisioning, operating system configuration, upgrades, monitoring and backups.</w:t>
      </w:r>
    </w:p>
    <w:p>
      <w:pPr>
        <w:spacing w:after="0" w:line="119" w:lineRule="exact"/>
        <w:rPr>
          <w:rFonts w:ascii="Arial" w:cs="Arial" w:eastAsia="Arial" w:hAnsi="Arial"/>
          <w:sz w:val="17"/>
          <w:szCs w:val="17"/>
          <w:color w:val="auto"/>
        </w:rPr>
      </w:pPr>
    </w:p>
    <w:p>
      <w:pPr>
        <w:ind w:left="640" w:right="20" w:hanging="165"/>
        <w:spacing w:after="0" w:line="276"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Deliver High Reliability for Mission-Critical Deployments. </w:t>
      </w:r>
      <w:r>
        <w:rPr>
          <w:rFonts w:ascii="Arial" w:cs="Arial" w:eastAsia="Arial" w:hAnsi="Arial"/>
          <w:sz w:val="17"/>
          <w:szCs w:val="17"/>
          <w:color w:val="auto"/>
        </w:rPr>
        <w:t>Our platform is designed to support mission-critical applications by being fault-tolerant</w:t>
      </w:r>
      <w:r>
        <w:rPr>
          <w:rFonts w:ascii="Arial" w:cs="Arial" w:eastAsia="Arial" w:hAnsi="Arial"/>
          <w:sz w:val="17"/>
          <w:szCs w:val="17"/>
          <w:b w:val="1"/>
          <w:bCs w:val="1"/>
          <w:color w:val="auto"/>
        </w:rPr>
        <w:t xml:space="preserve"> </w:t>
      </w:r>
      <w:r>
        <w:rPr>
          <w:rFonts w:ascii="Arial" w:cs="Arial" w:eastAsia="Arial" w:hAnsi="Arial"/>
          <w:sz w:val="17"/>
          <w:szCs w:val="17"/>
          <w:color w:val="auto"/>
        </w:rPr>
        <w:t>and always-on, reducing downtime for our customers and minimizing the risk of lost revenue. Also, given the competitive criticality of applications, we designed our platform to enable better end-user experiences.</w:t>
      </w:r>
    </w:p>
    <w:p>
      <w:pPr>
        <w:spacing w:after="0" w:line="109" w:lineRule="exact"/>
        <w:rPr>
          <w:rFonts w:ascii="Arial" w:cs="Arial" w:eastAsia="Arial" w:hAnsi="Arial"/>
          <w:sz w:val="17"/>
          <w:szCs w:val="17"/>
          <w:color w:val="auto"/>
        </w:rPr>
      </w:pPr>
    </w:p>
    <w:p>
      <w:pPr>
        <w:ind w:left="640" w:hanging="165"/>
        <w:spacing w:after="0" w:line="286"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 By allowing customers to remove themselves from the complexity of managing the database and related underlying infrastructure, MongoDB Atlas can further reduce total cost of ownership.</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We built MongoDB to be a modern, general purpose database platform. We believe that organizations should be able to run our platform anywhere: from a developer’s laptop, to an enterprise data center, in the public cloud or in a hybrid environment. Our core offerings are MongoDB Atlas and MongoDB Enterprise Advanced. MongoDB Atlas is our hosted multi-cloud database-as-a-service (“DBaaS”) offering that includes comprehensive infrastructure and management of our database. MongoDB Enterprise Advanced is our proprietary commercial database server offering for enterprise customers that can run in the cloud, on-premise or in a hybrid environment.</w:t>
      </w:r>
    </w:p>
    <w:p>
      <w:pPr>
        <w:spacing w:after="0" w:line="127"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Our goal is to convert Community Server users to paying customers of our commercial subscription offerings such as MongoDB Atlas or MongoDB Enterprise Advanced. Our Community Server has been downloaded over 240 million times from our website alone since February 2009. Our free tier of MongoDB Atlas provides access to our hosted database solution with limited processing power and storage, as well as certain operational limitations.</w:t>
      </w:r>
    </w:p>
    <w:p>
      <w:pPr>
        <w:spacing w:after="0" w:line="132"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To support our database platform and increase customer retention, we provide professional services to our customers with the goal of making customers’ applications on our platform successful.</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MongoDB Atlas</w:t>
      </w:r>
    </w:p>
    <w:p>
      <w:pPr>
        <w:spacing w:after="0" w:line="170" w:lineRule="exact"/>
        <w:rPr>
          <w:sz w:val="20"/>
          <w:szCs w:val="20"/>
          <w:color w:val="auto"/>
        </w:rPr>
      </w:pPr>
    </w:p>
    <w:p>
      <w:pPr>
        <w:ind w:right="40" w:firstLine="470"/>
        <w:spacing w:after="0" w:line="28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 Over the years, we have introduced additional features and functionality, which have increased the capabilities of MongoDB Atlas and accelerated and expanded the adoption of MongoDB Atlas as an application data platform. Our MongoDB application data platform’s complementary services and products include:</w:t>
      </w:r>
    </w:p>
    <w:p>
      <w:pPr>
        <w:spacing w:after="0" w:line="118" w:lineRule="exact"/>
        <w:rPr>
          <w:sz w:val="20"/>
          <w:szCs w:val="20"/>
          <w:color w:val="auto"/>
        </w:rPr>
      </w:pPr>
    </w:p>
    <w:p>
      <w:pPr>
        <w:ind w:left="640" w:right="320" w:hanging="165"/>
        <w:spacing w:after="0" w:line="272"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MongoDB Atlas Search. </w:t>
      </w:r>
      <w:r>
        <w:rPr>
          <w:rFonts w:ascii="Arial" w:cs="Arial" w:eastAsia="Arial" w:hAnsi="Arial"/>
          <w:sz w:val="17"/>
          <w:szCs w:val="17"/>
          <w:color w:val="auto"/>
        </w:rPr>
        <w:t>We have integrated full-text search capabilities with our operational database, reducing implementation complexity for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developers and eliminating the need to learn and maintain multiple technologies. MongoDB Atlas Search removes the need to run a separate search system alongside the existing database.</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100" w:hanging="165"/>
        <w:spacing w:after="0" w:line="272"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MongoDB Atlas Data Lake. </w:t>
      </w:r>
      <w:r>
        <w:rPr>
          <w:rFonts w:ascii="Arial" w:cs="Arial" w:eastAsia="Arial" w:hAnsi="Arial"/>
          <w:sz w:val="17"/>
          <w:szCs w:val="17"/>
          <w:color w:val="auto"/>
        </w:rPr>
        <w:t>Customers can store data more cost effectively with MongoDB Atlas Data Lake and make that data readily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stakeholders across an organization. MongoDB Atlas Data Lake allows for native query, transformation and movement of data across MongoDB Atlas clusters and cloud object storage.</w:t>
      </w:r>
    </w:p>
    <w:p>
      <w:pPr>
        <w:spacing w:after="0" w:line="119" w:lineRule="exact"/>
        <w:rPr>
          <w:rFonts w:ascii="Arial" w:cs="Arial" w:eastAsia="Arial" w:hAnsi="Arial"/>
          <w:sz w:val="17"/>
          <w:szCs w:val="17"/>
          <w:color w:val="auto"/>
        </w:rPr>
      </w:pPr>
    </w:p>
    <w:p>
      <w:pPr>
        <w:ind w:left="640" w:right="180" w:hanging="165"/>
        <w:spacing w:after="0" w:line="272"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MongoDB Charts. </w:t>
      </w:r>
      <w:r>
        <w:rPr>
          <w:rFonts w:ascii="Arial" w:cs="Arial" w:eastAsia="Arial" w:hAnsi="Arial"/>
          <w:sz w:val="17"/>
          <w:szCs w:val="17"/>
          <w:color w:val="auto"/>
        </w:rPr>
        <w:t>Customers can create visual charts and dashboards of their MongoDB data. MongoDB Charts includes a seamless integration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MongoDB Atlas and provides built-in tools to easily share and collaborate on visualizations, while also allowing for the embedding of charts within customer applications.</w:t>
      </w:r>
    </w:p>
    <w:p>
      <w:pPr>
        <w:spacing w:after="0" w:line="119" w:lineRule="exact"/>
        <w:rPr>
          <w:rFonts w:ascii="Arial" w:cs="Arial" w:eastAsia="Arial" w:hAnsi="Arial"/>
          <w:sz w:val="17"/>
          <w:szCs w:val="17"/>
          <w:color w:val="auto"/>
        </w:rPr>
      </w:pPr>
    </w:p>
    <w:p>
      <w:pPr>
        <w:ind w:left="640" w:right="60" w:hanging="165"/>
        <w:spacing w:after="0" w:line="267"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MongoDB Realm. </w:t>
      </w:r>
      <w:r>
        <w:rPr>
          <w:rFonts w:ascii="Arial" w:cs="Arial" w:eastAsia="Arial" w:hAnsi="Arial"/>
          <w:sz w:val="17"/>
          <w:szCs w:val="17"/>
          <w:color w:val="auto"/>
        </w:rPr>
        <w:t>Customers can build highly performant mobile applications with object-oriented software development kits (“SDKs”), seamless data</w:t>
      </w:r>
      <w:r>
        <w:rPr>
          <w:rFonts w:ascii="Arial" w:cs="Arial" w:eastAsia="Arial" w:hAnsi="Arial"/>
          <w:sz w:val="17"/>
          <w:szCs w:val="17"/>
          <w:i w:val="1"/>
          <w:iCs w:val="1"/>
          <w:color w:val="auto"/>
        </w:rPr>
        <w:t xml:space="preserve"> </w:t>
      </w:r>
      <w:r>
        <w:rPr>
          <w:rFonts w:ascii="Arial" w:cs="Arial" w:eastAsia="Arial" w:hAnsi="Arial"/>
          <w:sz w:val="17"/>
          <w:szCs w:val="17"/>
          <w:color w:val="auto"/>
        </w:rPr>
        <w:t>synchronization, functions and application programming interfaces or APIs. A core component of MongoDB Realm is Realm Sync. This edge to cloud data synchronization service between Realm mobile database on the frontend and MongoDB Atlas on the backend solves one of the most challenging data problems for mobile developers.</w:t>
      </w:r>
    </w:p>
    <w:p>
      <w:pPr>
        <w:spacing w:after="0" w:line="123"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MongoDB Atlas is available on all three major cloud providers (Amazon Web Services (‘‘AWS’’), Google Cloud Platform (‘‘GCP’’) and Microsoft Azure) in North America, Europe and Asia Pacific, providing customers broad geographic coverage across more than 80 regions globally, enabling them to leverage the benefits of different cloud platforms for different use cases and helping them avoid infrastructure vendor lock-in. In 2020, we announced the general availability of multi-cloud clusters on MongoDB Atlas, which allows organizations to deploy a fully managed, distributed database across multiple cloud providers simultaneously without the added operational complexity of managing data replication and migration across clouds.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MongoDB Atlas represented 56%, 46% and 39% of our total revenue for the fiscal years ended January 31, 2022, 2021 and 2020, respectively.</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MongoDB Enterprise Advanced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MongoDB Enterprise Advanced is our subscription package that includes a commercial license to our platform and the following:</w:t>
      </w:r>
    </w:p>
    <w:p>
      <w:pPr>
        <w:spacing w:after="0" w:line="170" w:lineRule="exact"/>
        <w:rPr>
          <w:sz w:val="20"/>
          <w:szCs w:val="20"/>
          <w:color w:val="auto"/>
        </w:rPr>
      </w:pPr>
    </w:p>
    <w:p>
      <w:pPr>
        <w:ind w:left="640" w:right="180" w:hanging="165"/>
        <w:spacing w:after="0" w:line="267"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MongoDB Enterprise Database Server. </w:t>
      </w:r>
      <w:r>
        <w:rPr>
          <w:rFonts w:ascii="Arial" w:cs="Arial" w:eastAsia="Arial" w:hAnsi="Arial"/>
          <w:sz w:val="17"/>
          <w:szCs w:val="17"/>
          <w:color w:val="auto"/>
        </w:rPr>
        <w:t>The MongoDB enterprise database server, called Enterprise Server, is our proprietary commercial database. It</w:t>
      </w:r>
      <w:r>
        <w:rPr>
          <w:rFonts w:ascii="Arial" w:cs="Arial" w:eastAsia="Arial" w:hAnsi="Arial"/>
          <w:sz w:val="17"/>
          <w:szCs w:val="17"/>
          <w:i w:val="1"/>
          <w:iCs w:val="1"/>
          <w:color w:val="auto"/>
        </w:rPr>
        <w:t xml:space="preserve"> </w:t>
      </w:r>
      <w:r>
        <w:rPr>
          <w:rFonts w:ascii="Arial" w:cs="Arial" w:eastAsia="Arial" w:hAnsi="Arial"/>
          <w:sz w:val="17"/>
          <w:szCs w:val="17"/>
          <w:color w:val="auto"/>
        </w:rPr>
        <w:t>stores, organizes and processes data and facilitates access and changes to the data. Enterprise Server includes advanced security features, auditing functionality and enterprise-standard authentication and authorization, as well as encrypted and in-memory storage engines to enable a wide range of workloads.</w:t>
      </w:r>
    </w:p>
    <w:p>
      <w:pPr>
        <w:spacing w:after="0" w:line="123" w:lineRule="exact"/>
        <w:rPr>
          <w:rFonts w:ascii="Arial" w:cs="Arial" w:eastAsia="Arial" w:hAnsi="Arial"/>
          <w:sz w:val="17"/>
          <w:szCs w:val="17"/>
          <w:color w:val="auto"/>
        </w:rPr>
      </w:pPr>
    </w:p>
    <w:p>
      <w:pPr>
        <w:ind w:left="640" w:right="60" w:hanging="165"/>
        <w:spacing w:after="0" w:line="272"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Enterprise Management Capabilities. </w:t>
      </w:r>
      <w:r>
        <w:rPr>
          <w:rFonts w:ascii="Arial" w:cs="Arial" w:eastAsia="Arial" w:hAnsi="Arial"/>
          <w:sz w:val="17"/>
          <w:szCs w:val="17"/>
          <w:color w:val="auto"/>
        </w:rPr>
        <w:t>MongoDB Enterprise Advance customers can choose either our Cloud Manager Premium product (for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who want to manage our platform via the cloud) or Ops Manager (generally for those with on-premise deployments), our sophisticated suite of management tools that allows operations teams to run, manage and configure MongoDB according to their needs.</w:t>
      </w:r>
    </w:p>
    <w:p>
      <w:pPr>
        <w:spacing w:after="0" w:line="119" w:lineRule="exact"/>
        <w:rPr>
          <w:rFonts w:ascii="Arial" w:cs="Arial" w:eastAsia="Arial" w:hAnsi="Arial"/>
          <w:sz w:val="17"/>
          <w:szCs w:val="17"/>
          <w:color w:val="auto"/>
        </w:rPr>
      </w:pPr>
    </w:p>
    <w:p>
      <w:pPr>
        <w:ind w:left="640" w:right="180" w:hanging="165"/>
        <w:spacing w:after="0" w:line="272"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Analytics Integrations. </w:t>
      </w:r>
      <w:r>
        <w:rPr>
          <w:rFonts w:ascii="Arial" w:cs="Arial" w:eastAsia="Arial" w:hAnsi="Arial"/>
          <w:sz w:val="17"/>
          <w:szCs w:val="17"/>
          <w:color w:val="auto"/>
        </w:rPr>
        <w:t>We provide integrations to allow data and business analysts to analyze data in applications running on our platform using their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business intelligence and analytics tools. Our analytics integrations ensure that enterprises can efficiently extract significant value from applications built on our platform.</w:t>
      </w:r>
    </w:p>
    <w:p>
      <w:pPr>
        <w:spacing w:after="0" w:line="119"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MongoDB Enterprise Advanced represented 34%, 43% and 47% of our total revenue for the fiscal years ended January 31, 2022, 2021 and 2020, respectively.</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Professional Services</w:t>
      </w:r>
    </w:p>
    <w:p>
      <w:pPr>
        <w:spacing w:after="0" w:line="170" w:lineRule="exact"/>
        <w:rPr>
          <w:sz w:val="20"/>
          <w:szCs w:val="20"/>
          <w:color w:val="auto"/>
        </w:rPr>
      </w:pPr>
    </w:p>
    <w:p>
      <w:pPr>
        <w:ind w:right="80" w:firstLine="470"/>
        <w:spacing w:after="0" w:line="284"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with us to higher levels and done so more quickly than customers who have not engaged with our professional services.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Professional services represented 4%, 4% and 5% of our total revenue for the fiscal years ended January 31, 2022, 2021 and 2020, respectively.</w:t>
      </w:r>
    </w:p>
    <w:p>
      <w:pPr>
        <w:spacing w:after="0" w:line="32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pursuing our large market opportunity with growth strategies that include:</w:t>
      </w:r>
    </w:p>
    <w:p>
      <w:pPr>
        <w:spacing w:after="0" w:line="164" w:lineRule="exact"/>
        <w:rPr>
          <w:sz w:val="20"/>
          <w:szCs w:val="20"/>
          <w:color w:val="auto"/>
        </w:rPr>
      </w:pPr>
    </w:p>
    <w:p>
      <w:pPr>
        <w:ind w:left="640" w:hanging="165"/>
        <w:spacing w:after="0" w:line="263"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Acquiring New Customers. </w:t>
      </w:r>
      <w:r>
        <w:rPr>
          <w:rFonts w:ascii="Arial" w:cs="Arial" w:eastAsia="Arial" w:hAnsi="Arial"/>
          <w:sz w:val="17"/>
          <w:szCs w:val="17"/>
          <w:color w:val="auto"/>
        </w:rPr>
        <w:t>We believe there is a substantial opportunity to continue to grow our customer base. We benefit from word-of-mouth</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and frictionless experimentation by the developer community through our Community Server and MongoDB Atlas free tier offerings.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21" w:lineRule="exact"/>
        <w:rPr>
          <w:rFonts w:ascii="Arial" w:cs="Arial" w:eastAsia="Arial" w:hAnsi="Arial"/>
          <w:sz w:val="17"/>
          <w:szCs w:val="17"/>
          <w:color w:val="auto"/>
        </w:rPr>
      </w:pPr>
    </w:p>
    <w:p>
      <w:pPr>
        <w:ind w:left="640" w:right="20" w:hanging="165"/>
        <w:spacing w:after="0" w:line="261"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Expanding Sales Within Our Customer Base. </w:t>
      </w:r>
      <w:r>
        <w:rPr>
          <w:rFonts w:ascii="Arial" w:cs="Arial" w:eastAsia="Arial" w:hAnsi="Arial"/>
          <w:sz w:val="17"/>
          <w:szCs w:val="17"/>
          <w:color w:val="auto"/>
        </w:rPr>
        <w:t>We seek to grow our sales with our customers in several ways. As an application grows and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capacity, our customers increase their spending on our platform. In addition, our customers may expand their subscriptions to our platform as they migrate additional existing applications or build new applications, either within the same department or in other lines of business or geographies. Also,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consistently been over 120%, demonstrates our ability to expand within existing customers. See Part II, Item 7, Management’s Discussion and Analysis of Financial Condition and Results of Operations of this Form 10-K for a description of ARR and a discussion of our net ARR expansion rate.</w:t>
      </w:r>
    </w:p>
    <w:p>
      <w:pPr>
        <w:spacing w:after="0" w:line="122" w:lineRule="exact"/>
        <w:rPr>
          <w:rFonts w:ascii="Arial" w:cs="Arial" w:eastAsia="Arial" w:hAnsi="Arial"/>
          <w:sz w:val="17"/>
          <w:szCs w:val="17"/>
          <w:color w:val="auto"/>
        </w:rPr>
      </w:pPr>
    </w:p>
    <w:p>
      <w:pPr>
        <w:ind w:left="640" w:right="120" w:hanging="165"/>
        <w:spacing w:after="0" w:line="277"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Driving Usage of MongoDB Atlas. </w:t>
      </w:r>
      <w:r>
        <w:rPr>
          <w:rFonts w:ascii="Arial" w:cs="Arial" w:eastAsia="Arial" w:hAnsi="Arial"/>
          <w:sz w:val="16"/>
          <w:szCs w:val="16"/>
          <w:color w:val="auto"/>
        </w:rPr>
        <w:t>MongoDB Atlas, our hosted multi-cloud offering, is an important part of our run-anywhere strategy. With</w:t>
      </w:r>
      <w:r>
        <w:rPr>
          <w:rFonts w:ascii="Arial" w:cs="Arial" w:eastAsia="Arial" w:hAnsi="Arial"/>
          <w:sz w:val="16"/>
          <w:szCs w:val="16"/>
          <w:b w:val="1"/>
          <w:bCs w:val="1"/>
          <w:color w:val="auto"/>
        </w:rPr>
        <w:t xml:space="preserve"> </w:t>
      </w:r>
      <w:r>
        <w:rPr>
          <w:rFonts w:ascii="Arial" w:cs="Arial" w:eastAsia="Arial" w:hAnsi="Arial"/>
          <w:sz w:val="16"/>
          <w:szCs w:val="16"/>
          <w:color w:val="auto"/>
        </w:rPr>
        <w:t>MongoDB Atlas, customers can enjoy the benefits of consuming MongoDB as a service in the public cloud, enabling customers to remove themselves from the complexity of managing the database and related underlying infrastructure. We initially launched MongoDB Atlas in 2016 and generated revenue by migrating existing users of our Community Server. We offer tools to easily migrate existing users of our Community Server offering to MongoDB Atlas. Since its launch, we have continued to expand and enhance the functionality of MongoDB Atlas and have introduced a number of additional features and products to drive accelerated MongoDB Atlas adoption, including among Enterprise Advanced customers and Community Server users in addition to customers who are new to our platform. In addition, we also announced the general availability of multi-cloud clusters on MongoDB Atlas, which allows customers to run their applications across multiple public clouds simultaneously. MongoDB Atlas is available on all three major cloud providers (AWS, GCP and Microsoft Azure) in North America, Europe and Asia Pacific. We offer a free tier on AWS, GCP and Microsoft Azure, which provides limited processing power and storage, in order to drive trial and adoption of MongoDB Atlas among developers. Recently, MongoDB Atlas for Government achieved the FedRAMP designation of “In process,” with the Department of Health and Human Services (“HHS”) serving as the initial agency partner. Once MongoDB Atlas for Government becomes FedRAMP Authorized, we believe MongoDB will be positioned to capitalize on the popularity of MongoDB across a number of U.S. federal government agencies.</w:t>
      </w:r>
    </w:p>
    <w:p>
      <w:pPr>
        <w:spacing w:after="0" w:line="114" w:lineRule="exact"/>
        <w:rPr>
          <w:rFonts w:ascii="Arial" w:cs="Arial" w:eastAsia="Arial" w:hAnsi="Arial"/>
          <w:sz w:val="16"/>
          <w:szCs w:val="16"/>
          <w:color w:val="auto"/>
        </w:rPr>
      </w:pPr>
    </w:p>
    <w:p>
      <w:pPr>
        <w:ind w:left="640" w:right="20" w:hanging="165"/>
        <w:spacing w:after="0" w:line="261"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Extending Product Leadership and Introducing New Products. </w:t>
      </w:r>
      <w:r>
        <w:rPr>
          <w:rFonts w:ascii="Arial" w:cs="Arial" w:eastAsia="Arial" w:hAnsi="Arial"/>
          <w:sz w:val="17"/>
          <w:szCs w:val="17"/>
          <w:color w:val="auto"/>
        </w:rPr>
        <w:t>We intend to continue to invest in our product offerings with the goal of expanding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functionality and adoption of our platform. The guiding principle of our product innovation is to help developers solve more of their data challenges by utilizing our platform. During 2021, with the release of MongoDB 5.0, we improved the ease of use of our platform, by introducing innovation that facilitates data partitioning, as well as simplifying the process of upgrading to the latest version of our software. We also expanded the breadth of functionality of our platform by introducing native time series support across our platform. Finally, we announced a series of improvements to our newer products, including adding critical e-commerce capabilities to Atlas Search. We also moved to a quarterly product release schedule, starting with MongoDB 5.1, to bring new features and capabilities more quickly to our customers. Our latest releases included enhancements to time series collections, richer and more flexible analytics, improvements to query functionality, new capabilities that allow teams to execute more sophisticated analytic queries directly against their live</w:t>
      </w:r>
    </w:p>
    <w:p>
      <w:pPr>
        <w:spacing w:after="0" w:line="27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140"/>
        <w:spacing w:after="0" w:line="288" w:lineRule="auto"/>
        <w:rPr>
          <w:sz w:val="20"/>
          <w:szCs w:val="20"/>
          <w:color w:val="auto"/>
        </w:rPr>
      </w:pPr>
      <w:r>
        <w:rPr>
          <w:rFonts w:ascii="Arial" w:cs="Arial" w:eastAsia="Arial" w:hAnsi="Arial"/>
          <w:sz w:val="17"/>
          <w:szCs w:val="17"/>
          <w:color w:val="auto"/>
        </w:rPr>
        <w:t>operational and transactional data and enhancements to our security features. We also made it possible for developers to easily access their MongoDB Atlas through a standard interface.</w:t>
      </w:r>
    </w:p>
    <w:p>
      <w:pPr>
        <w:spacing w:after="0" w:line="100" w:lineRule="exact"/>
        <w:rPr>
          <w:sz w:val="20"/>
          <w:szCs w:val="20"/>
          <w:color w:val="auto"/>
        </w:rPr>
      </w:pPr>
    </w:p>
    <w:p>
      <w:pPr>
        <w:ind w:left="640" w:right="160" w:hanging="322"/>
        <w:spacing w:after="0" w:line="263"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Fostering the MongoDB Developer Community. </w:t>
      </w:r>
      <w:r>
        <w:rPr>
          <w:rFonts w:ascii="Arial" w:cs="Arial" w:eastAsia="Arial" w:hAnsi="Arial"/>
          <w:sz w:val="17"/>
          <w:szCs w:val="17"/>
          <w:color w:val="auto"/>
        </w:rPr>
        <w:t>We have attracted a large and growing community of highly engaged developers, who have</w:t>
      </w:r>
      <w:r>
        <w:rPr>
          <w:rFonts w:ascii="Arial" w:cs="Arial" w:eastAsia="Arial" w:hAnsi="Arial"/>
          <w:sz w:val="17"/>
          <w:szCs w:val="17"/>
          <w:b w:val="1"/>
          <w:bCs w:val="1"/>
          <w:color w:val="auto"/>
        </w:rPr>
        <w:t xml:space="preserve"> </w:t>
      </w:r>
      <w:r>
        <w:rPr>
          <w:rFonts w:ascii="Arial" w:cs="Arial" w:eastAsia="Arial" w:hAnsi="Arial"/>
          <w:sz w:val="17"/>
          <w:szCs w:val="17"/>
          <w:color w:val="auto"/>
        </w:rPr>
        <w:t>downloaded our Community Server offering over 240 million times from our website since February 2009 and over 85 million times in the last 12 months alone.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annual MongoDB World user conference, MongoDB University and other community-centered events. As of January 31, 2022, there were over 1.5 million MongoDB University registrations. We intend to continue to invest in the MongoDB developer community.</w:t>
      </w:r>
    </w:p>
    <w:p>
      <w:pPr>
        <w:spacing w:after="0" w:line="121" w:lineRule="exact"/>
        <w:rPr>
          <w:rFonts w:ascii="Arial" w:cs="Arial" w:eastAsia="Arial" w:hAnsi="Arial"/>
          <w:sz w:val="17"/>
          <w:szCs w:val="17"/>
          <w:color w:val="auto"/>
        </w:rPr>
      </w:pPr>
    </w:p>
    <w:p>
      <w:pPr>
        <w:ind w:left="640" w:right="100" w:hanging="322"/>
        <w:spacing w:after="0" w:line="277"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Growing and Cultivating Our Partner Ecosystem. </w:t>
      </w:r>
      <w:r>
        <w:rPr>
          <w:rFonts w:ascii="Arial" w:cs="Arial" w:eastAsia="Arial" w:hAnsi="Arial"/>
          <w:sz w:val="16"/>
          <w:szCs w:val="16"/>
          <w:color w:val="auto"/>
        </w:rPr>
        <w:t>We have built a partner ecosystem of independent software vendors, systems integrators, value</w:t>
      </w:r>
      <w:r>
        <w:rPr>
          <w:rFonts w:ascii="Arial" w:cs="Arial" w:eastAsia="Arial" w:hAnsi="Arial"/>
          <w:sz w:val="16"/>
          <w:szCs w:val="16"/>
          <w:b w:val="1"/>
          <w:bCs w:val="1"/>
          <w:color w:val="auto"/>
        </w:rPr>
        <w:t xml:space="preserve"> </w:t>
      </w:r>
      <w:r>
        <w:rPr>
          <w:rFonts w:ascii="Arial" w:cs="Arial" w:eastAsia="Arial" w:hAnsi="Arial"/>
          <w:sz w:val="16"/>
          <w:szCs w:val="16"/>
          <w:color w:val="auto"/>
        </w:rPr>
        <w:t>added resellers, cloud and technology partners. For example, in 2019, we expanded our global partner ecosystem with the announcement of a new partnership with Alibaba Cloud to offer an authorized MongoDB-as-a-Service solution to users in China for the first time. We expanded our reach in China in February 2021 when we announced the launch of a global partnership with Tencent Cloud that allows customers to easily adopt and use MongoDB-as-a-Service across Tencent’s global cloud infrastructure. We expanded our business partnerships with all three major cloud providers (AWS, GCP and Microsoft Azure) to enhance our marketing initiatives and align with our sales strategy. In addition, our technology partnerships with companies such as Informatica have provided our customers with tools to help them modernize from legacy relational databases to MongoDB which, along with our other technology partnerships, provide us with significant benefits, including lead generation, new customer acquisition, marketplace fulfillment, accelerated deployment and additional customer support. 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We intend to continue to expand and enhance our partner relationships to grow our market presence and drive greater sales efficiency.</w:t>
      </w:r>
    </w:p>
    <w:p>
      <w:pPr>
        <w:spacing w:after="0" w:line="114" w:lineRule="exact"/>
        <w:rPr>
          <w:rFonts w:ascii="Arial" w:cs="Arial" w:eastAsia="Arial" w:hAnsi="Arial"/>
          <w:sz w:val="16"/>
          <w:szCs w:val="16"/>
          <w:color w:val="auto"/>
        </w:rPr>
      </w:pPr>
    </w:p>
    <w:p>
      <w:pPr>
        <w:ind w:left="640" w:right="20" w:hanging="322"/>
        <w:spacing w:after="0" w:line="27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Internationally. </w:t>
      </w:r>
      <w:r>
        <w:rPr>
          <w:rFonts w:ascii="Arial" w:cs="Arial" w:eastAsia="Arial" w:hAnsi="Arial"/>
          <w:sz w:val="17"/>
          <w:szCs w:val="17"/>
          <w:color w:val="auto"/>
        </w:rPr>
        <w:t>We believe there is significant opportunity to continue to expand the use of our platform outside the United States.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fiscal years ended January 31, 2022, 2021 and 2020, revenue generated outside of the United States was 46%, 44% and 41% of our total revenue. We intend to continue to expand our sales and drive adoption of our platform globally.</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believe that our employees and the culture we have established are critically important to our success. In order to continue to compete and succeed in our highly competitive and rapidly evolving market, it is crucial that we continue to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spacing w:after="0" w:line="123"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As of January 31, 2022, we had a total of 3,544 employees, including 1,640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Our Culture</w:t>
      </w:r>
    </w:p>
    <w:p>
      <w:pPr>
        <w:spacing w:after="0" w:line="170"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 and relevant and we have recently updated the language to better reflect our evolving culture:</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right="520" w:hanging="165"/>
        <w:spacing w:after="0" w:line="295"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Think Big, Go Far. </w:t>
      </w:r>
      <w:r>
        <w:rPr>
          <w:rFonts w:ascii="Arial" w:cs="Arial" w:eastAsia="Arial" w:hAnsi="Arial"/>
          <w:sz w:val="17"/>
          <w:szCs w:val="17"/>
          <w:color w:val="auto"/>
        </w:rPr>
        <w:t>We are big dreamers with a passion for creativity. We eagerly pursue new opportunities and markets through innovation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disruption. We have a pioneering spirit—always ready to forge new paths and take smart risks.</w:t>
      </w:r>
    </w:p>
    <w:p>
      <w:pPr>
        <w:spacing w:after="0" w:line="94" w:lineRule="exact"/>
        <w:rPr>
          <w:rFonts w:ascii="Arial" w:cs="Arial" w:eastAsia="Arial" w:hAnsi="Arial"/>
          <w:sz w:val="17"/>
          <w:szCs w:val="17"/>
          <w:color w:val="auto"/>
        </w:rPr>
      </w:pPr>
    </w:p>
    <w:p>
      <w:pPr>
        <w:ind w:left="640" w:right="40" w:hanging="165"/>
        <w:spacing w:after="0" w:line="295"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Make It Matter. </w:t>
      </w:r>
      <w:r>
        <w:rPr>
          <w:rFonts w:ascii="Arial" w:cs="Arial" w:eastAsia="Arial" w:hAnsi="Arial"/>
          <w:sz w:val="17"/>
          <w:szCs w:val="17"/>
          <w:color w:val="auto"/>
        </w:rPr>
        <w:t>We are relentless in our pursuit of meaningful impact. We think strategically and are clear on what we are and are not trying to do. We</w:t>
      </w:r>
      <w:r>
        <w:rPr>
          <w:rFonts w:ascii="Arial" w:cs="Arial" w:eastAsia="Arial" w:hAnsi="Arial"/>
          <w:sz w:val="17"/>
          <w:szCs w:val="17"/>
          <w:b w:val="1"/>
          <w:bCs w:val="1"/>
          <w:color w:val="auto"/>
        </w:rPr>
        <w:t xml:space="preserve"> </w:t>
      </w:r>
      <w:r>
        <w:rPr>
          <w:rFonts w:ascii="Arial" w:cs="Arial" w:eastAsia="Arial" w:hAnsi="Arial"/>
          <w:sz w:val="17"/>
          <w:szCs w:val="17"/>
          <w:color w:val="auto"/>
        </w:rPr>
        <w:t>accomplish an amazing amount of important work and we are obsessed with delivering on our commitments.</w:t>
      </w:r>
    </w:p>
    <w:p>
      <w:pPr>
        <w:spacing w:after="0" w:line="94" w:lineRule="exact"/>
        <w:rPr>
          <w:rFonts w:ascii="Arial" w:cs="Arial" w:eastAsia="Arial" w:hAnsi="Arial"/>
          <w:sz w:val="17"/>
          <w:szCs w:val="17"/>
          <w:color w:val="auto"/>
        </w:rPr>
      </w:pPr>
    </w:p>
    <w:p>
      <w:pPr>
        <w:ind w:left="640" w:hanging="165"/>
        <w:spacing w:after="0" w:line="269"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Embrace the Power of Differences. </w:t>
      </w:r>
      <w:r>
        <w:rPr>
          <w:rFonts w:ascii="Arial" w:cs="Arial" w:eastAsia="Arial" w:hAnsi="Arial"/>
          <w:sz w:val="17"/>
          <w:szCs w:val="17"/>
          <w:color w:val="auto"/>
        </w:rPr>
        <w:t>We commit to creating a culture of belonging, where people of different origins, backgrounds and experiences feel</w:t>
      </w:r>
      <w:r>
        <w:rPr>
          <w:rFonts w:ascii="Arial" w:cs="Arial" w:eastAsia="Arial" w:hAnsi="Arial"/>
          <w:sz w:val="17"/>
          <w:szCs w:val="17"/>
          <w:b w:val="1"/>
          <w:bCs w:val="1"/>
          <w:color w:val="auto"/>
        </w:rPr>
        <w:t xml:space="preserve"> </w:t>
      </w:r>
      <w:r>
        <w:rPr>
          <w:rFonts w:ascii="Arial" w:cs="Arial" w:eastAsia="Arial" w:hAnsi="Arial"/>
          <w:sz w:val="17"/>
          <w:szCs w:val="17"/>
          <w:color w:val="auto"/>
        </w:rPr>
        <w:t>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116" w:lineRule="exact"/>
        <w:rPr>
          <w:rFonts w:ascii="Arial" w:cs="Arial" w:eastAsia="Arial" w:hAnsi="Arial"/>
          <w:sz w:val="17"/>
          <w:szCs w:val="17"/>
          <w:color w:val="auto"/>
        </w:rPr>
      </w:pPr>
    </w:p>
    <w:p>
      <w:pPr>
        <w:ind w:left="640" w:right="200" w:hanging="165"/>
        <w:spacing w:after="0" w:line="276"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Build Together. </w:t>
      </w:r>
      <w:r>
        <w:rPr>
          <w:rFonts w:ascii="Arial" w:cs="Arial" w:eastAsia="Arial" w:hAnsi="Arial"/>
          <w:sz w:val="17"/>
          <w:szCs w:val="17"/>
          <w:color w:val="auto"/>
        </w:rPr>
        <w:t>We achieve amazing things by connecting and leveraging the diversity of perspectives, skills, experiences and backgrounds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entire organization. We place the interests of the company over any individual or team. We discuss things thoroughly, but prioritize commitment over consensus.</w:t>
      </w:r>
    </w:p>
    <w:p>
      <w:pPr>
        <w:spacing w:after="0" w:line="109" w:lineRule="exact"/>
        <w:rPr>
          <w:rFonts w:ascii="Arial" w:cs="Arial" w:eastAsia="Arial" w:hAnsi="Arial"/>
          <w:sz w:val="17"/>
          <w:szCs w:val="17"/>
          <w:color w:val="auto"/>
        </w:rPr>
      </w:pPr>
    </w:p>
    <w:p>
      <w:pPr>
        <w:ind w:left="640" w:right="600" w:hanging="165"/>
        <w:spacing w:after="0" w:line="295"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Be Intellectually Honest. </w:t>
      </w:r>
      <w:r>
        <w:rPr>
          <w:rFonts w:ascii="Arial" w:cs="Arial" w:eastAsia="Arial" w:hAnsi="Arial"/>
          <w:sz w:val="17"/>
          <w:szCs w:val="17"/>
          <w:color w:val="auto"/>
        </w:rPr>
        <w:t>We embrace reality. We apply high-quality thinking and rigor and operate with transparency. We have courage in our</w:t>
      </w:r>
      <w:r>
        <w:rPr>
          <w:rFonts w:ascii="Arial" w:cs="Arial" w:eastAsia="Arial" w:hAnsi="Arial"/>
          <w:sz w:val="17"/>
          <w:szCs w:val="17"/>
          <w:b w:val="1"/>
          <w:bCs w:val="1"/>
          <w:color w:val="auto"/>
        </w:rPr>
        <w:t xml:space="preserve"> </w:t>
      </w:r>
      <w:r>
        <w:rPr>
          <w:rFonts w:ascii="Arial" w:cs="Arial" w:eastAsia="Arial" w:hAnsi="Arial"/>
          <w:sz w:val="17"/>
          <w:szCs w:val="17"/>
          <w:color w:val="auto"/>
        </w:rPr>
        <w:t>convictions but work hard to ensure biases or personal beliefs do not get in the way of finding the best solution.</w:t>
      </w:r>
    </w:p>
    <w:p>
      <w:pPr>
        <w:spacing w:after="0" w:line="94" w:lineRule="exact"/>
        <w:rPr>
          <w:rFonts w:ascii="Arial" w:cs="Arial" w:eastAsia="Arial" w:hAnsi="Arial"/>
          <w:sz w:val="17"/>
          <w:szCs w:val="17"/>
          <w:color w:val="auto"/>
        </w:rPr>
      </w:pPr>
    </w:p>
    <w:p>
      <w:pPr>
        <w:ind w:left="640" w:right="60" w:hanging="165"/>
        <w:spacing w:after="0" w:line="276"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Own What You Do. </w:t>
      </w:r>
      <w:r>
        <w:rPr>
          <w:rFonts w:ascii="Arial" w:cs="Arial" w:eastAsia="Arial" w:hAnsi="Arial"/>
          <w:sz w:val="17"/>
          <w:szCs w:val="17"/>
          <w:color w:val="auto"/>
        </w:rPr>
        <w:t>We take ownership and are accountable for everything that we do. We empower and we are empowered to make things happen</w:t>
      </w:r>
      <w:r>
        <w:rPr>
          <w:rFonts w:ascii="Arial" w:cs="Arial" w:eastAsia="Arial" w:hAnsi="Arial"/>
          <w:sz w:val="17"/>
          <w:szCs w:val="17"/>
          <w:b w:val="1"/>
          <w:bCs w:val="1"/>
          <w:color w:val="auto"/>
        </w:rPr>
        <w:t xml:space="preserve"> </w:t>
      </w:r>
      <w:r>
        <w:rPr>
          <w:rFonts w:ascii="Arial" w:cs="Arial" w:eastAsia="Arial" w:hAnsi="Arial"/>
          <w:sz w:val="17"/>
          <w:szCs w:val="17"/>
          <w:color w:val="auto"/>
        </w:rPr>
        <w:t>and balance independence with interdependence. We demand excellence from ourselves. We each play our own part in making MongoDB a great place to work.</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Compensation and Benefits</w:t>
      </w:r>
    </w:p>
    <w:p>
      <w:pPr>
        <w:spacing w:after="0" w:line="170"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We provide competitive compensation and benefits for our employees globally. Our compensation package may include base salary, commission or semi-annual bonuses and long-term equity awards. Broad-based equity compensation is an important tool for us to attract and retain talent. We generally grant full-time employees equity at the time of hire and annually thereafter, and we provide employees the opportunity to participate in an employee stock purchase plan, in order to foster a strong sense of ownership and align our employees’ interests with our long-term success.</w:t>
      </w:r>
    </w:p>
    <w:p>
      <w:pPr>
        <w:spacing w:after="0" w:line="110"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In addition to cash and equity compensation, we also offer employees a wide array of benefits designed to be aligned with local reward practices and competitive with those offered by companies that we compete with for talent. In the United States, these include health (medical, dental and vision) insurance, paid time off, retirement benefits and additional resources to support employees' overall well-being. We also have a global parental leave program pursuant to which we provide 20 weeks of paid parental leave for new parents. While the philosophy around our benefits is the same worldwide, specific benefits may vary in other countries due to local regulations and preferences.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Health, Safety and Well-Being</w:t>
      </w:r>
    </w:p>
    <w:p>
      <w:pPr>
        <w:spacing w:after="0" w:line="170"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color w:val="auto"/>
        </w:rPr>
        <w:t>We believe the health, safety and well-being of our employees is vital to our success. We have prioritized employee safety during the ongoing COVID-19 pandemic by ensuring all employees are properly enabled to work remotely and providing clarity on office closures and evolving guidelines. In addition, in response to the ongoing COVID-19 pandemic, we introduced caregiving leaves and promoted new and existing resources related to mental health. We also implemented a number of additional measures to support our employees, such as additional company-wide days off and wellness checks throughout the pandemic. As we look to reopen offices in many parts of the world, we are adopting a flexible and hybrid approach to working, to meet employee needs and the needs of the business. We continue to focus on mental well-being to help employees cope with the demands of a high growth company.</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Diversity &amp; Inclusion</w:t>
      </w:r>
    </w:p>
    <w:p>
      <w:pPr>
        <w:spacing w:after="0" w:line="170"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We are committed to building a diverse workforce and a culture that reflects our value of embracing the power of differences to drive better business outcomes.</w:t>
      </w:r>
    </w:p>
    <w:p>
      <w:pPr>
        <w:spacing w:after="0" w:line="106"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We have expanded our efforts to recruit a more diverse workforce by embedding the capability to recruit diverse talent within our entire recruiting organization and investing in diversity sourcing teams, diverse recruitment marketing campaigns and external partnerships. We are investing in the development of diverse high potential talent within MongoDB, and we are</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providing platforms for employees to have intellectually honest discussions about causes that matter to them. Our employees have organically created affinity groups, such as The Underrepresented People of Color (TUPOC) Network, Underrepresented Genders in Tech, Queeries and MDBWomen to offer support, mentoring and networking opportunities, and help foster a welcoming and diverse workplace. As part of our commitment to gender diversity, we have also pledged our commitment to the Corporate Parity Pledge, which includes a commitment to interview and consider at least one qualified female candidate for every additional directorship resulting from an increase in the number of directors and every open role at the vice president level and above.</w:t>
      </w:r>
    </w:p>
    <w:p>
      <w:pPr>
        <w:spacing w:after="0" w:line="114"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are also committed to pay equity, regardless of gender, ethnicity or other personal characteristics. To deliver on that commitment, we benchmark and set pay ranges based on market data and consider factors such as an employee’s role and experience, the location of their job, and their performance. In addition, to reduce the risk of bias and help ensure consistent pay practices, we use a third-party tool to conduct annual pay parity checks.</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Engagement</w:t>
      </w:r>
    </w:p>
    <w:p>
      <w:pPr>
        <w:spacing w:after="0" w:line="170" w:lineRule="exact"/>
        <w:rPr>
          <w:sz w:val="20"/>
          <w:szCs w:val="20"/>
          <w:color w:val="auto"/>
        </w:rPr>
      </w:pPr>
    </w:p>
    <w:p>
      <w:pPr>
        <w:ind w:right="520" w:firstLine="470"/>
        <w:spacing w:after="0" w:line="288" w:lineRule="auto"/>
        <w:rPr>
          <w:sz w:val="20"/>
          <w:szCs w:val="20"/>
          <w:color w:val="auto"/>
        </w:rPr>
      </w:pPr>
      <w:r>
        <w:rPr>
          <w:rFonts w:ascii="Arial" w:cs="Arial" w:eastAsia="Arial" w:hAnsi="Arial"/>
          <w:sz w:val="16"/>
          <w:szCs w:val="16"/>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Talent &amp; Leadership Development</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Attracting, retaining and developing top talent remains a high priority for us as we continue to grow and scale. We continue to enhance our approach to performance and talent management through semi-annual reflection cycles, talent reviews and succession planning. We are increasing our focus on leadership development by establishing clear leadership principles and investing in building manager capability to lead through change and stress and to build culture within teams. Our capability building and learning programs are offered both live and online, run centrally or through the business units and span both technical skills and soft skills.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6" w:lineRule="exact"/>
        <w:rPr>
          <w:sz w:val="20"/>
          <w:szCs w:val="20"/>
          <w:color w:val="auto"/>
        </w:rPr>
      </w:pPr>
    </w:p>
    <w:p>
      <w:pPr>
        <w:ind w:right="40" w:firstLine="470"/>
        <w:spacing w:after="0" w:line="296" w:lineRule="auto"/>
        <w:rPr>
          <w:sz w:val="20"/>
          <w:szCs w:val="20"/>
          <w:color w:val="auto"/>
        </w:rPr>
      </w:pPr>
      <w:r>
        <w:rPr>
          <w:rFonts w:ascii="Arial" w:cs="Arial" w:eastAsia="Arial" w:hAnsi="Arial"/>
          <w:sz w:val="15"/>
          <w:szCs w:val="15"/>
          <w:color w:val="auto"/>
        </w:rPr>
        <w:t>As of January 31, 2022, we had over 33,000 customers spanning a wide range of industries in more than 100 countries around the world. All affiliated entities are counted as a single customer. No single customer represented more than 10% of our revenue in fiscal year 2022. Our customer count as of January 31, 2022 includes customers acquired from ObjectLabs Corporation (“mLab”) and Realm. Our definition of “customer” excludes (1) users of our free offerings,</w:t>
      </w:r>
    </w:p>
    <w:p>
      <w:pPr>
        <w:spacing w:after="0" w:line="1" w:lineRule="exact"/>
        <w:rPr>
          <w:sz w:val="20"/>
          <w:szCs w:val="20"/>
          <w:color w:val="auto"/>
        </w:rPr>
      </w:pPr>
    </w:p>
    <w:p>
      <w:pPr>
        <w:ind w:right="520" w:firstLine="5"/>
        <w:spacing w:after="0" w:line="273" w:lineRule="auto"/>
        <w:tabs>
          <w:tab w:leader="none" w:pos="2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mLab users who spend $20 or less per month with us and (3) self-serve users acquired from Realm. The excluded mLab and Realm users collectively represent an immaterial portion of the revenue associated with users acquired from those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27"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spacing w:after="0" w:line="127" w:lineRule="exact"/>
        <w:rPr>
          <w:sz w:val="20"/>
          <w:szCs w:val="20"/>
          <w:color w:val="auto"/>
        </w:rPr>
      </w:pPr>
    </w:p>
    <w:p>
      <w:pPr>
        <w:jc w:val="both"/>
        <w:ind w:right="340" w:firstLine="470"/>
        <w:spacing w:after="0" w:line="267" w:lineRule="auto"/>
        <w:rPr>
          <w:sz w:val="20"/>
          <w:szCs w:val="20"/>
          <w:color w:val="auto"/>
        </w:rPr>
      </w:pPr>
      <w:r>
        <w:rPr>
          <w:rFonts w:ascii="Arial" w:cs="Arial" w:eastAsia="Arial" w:hAnsi="Arial"/>
          <w:sz w:val="17"/>
          <w:szCs w:val="17"/>
          <w:color w:val="auto"/>
        </w:rPr>
        <w:t>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may have already built applications using our technology. In order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customers and free-tier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spacing w:after="0" w:line="118"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Our sales and marketing organization includes sales development, inside sales, field sales, sales engineering and marketing personnel. As of January 31, 2022, we had 1,713 employees in our sales and marketing organization.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7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23"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As of January 31, 2022, we had 863 employees in our research and development organization. We intend to continue to invest in our research and development capabilities to extend our platform.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182" w:lineRule="exact"/>
        <w:rPr>
          <w:sz w:val="20"/>
          <w:szCs w:val="20"/>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mindshare with software developers and IT executives;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capabilities, including flexibility, scalability, performance, security and reliability;</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flexible deployment options, including fully managed as a service or self-managed in the cloud, on-premise or in a hybrid environment;</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deployment;</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breadth of use cases supported;</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integration with existing IT infrastructure;</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robustness of professional services and customer support;</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price and total cost of ownership;</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adherence to industry standards and certifications;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size of customer base and level of user adoption;</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strength of sales and marketing efforts; and</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we compete favorably on the basis of the factors listed above.</w:t>
      </w:r>
    </w:p>
    <w:p>
      <w:pPr>
        <w:spacing w:after="0" w:line="170" w:lineRule="exact"/>
        <w:rPr>
          <w:sz w:val="20"/>
          <w:szCs w:val="20"/>
          <w:color w:val="auto"/>
        </w:rPr>
      </w:pPr>
    </w:p>
    <w:p>
      <w:pPr>
        <w:ind w:right="20" w:firstLine="470"/>
        <w:spacing w:after="0" w:line="32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AWS, GCP and Microsoft Azure that offer database functionality and non-relational database software providers.</w:t>
      </w:r>
    </w:p>
    <w:p>
      <w:pPr>
        <w:spacing w:after="0" w:line="83" w:lineRule="exact"/>
        <w:rPr>
          <w:sz w:val="20"/>
          <w:szCs w:val="20"/>
          <w:color w:val="auto"/>
        </w:rPr>
      </w:pPr>
    </w:p>
    <w:p>
      <w:pPr>
        <w:ind w:right="120" w:firstLine="470"/>
        <w:spacing w:after="0" w:line="288" w:lineRule="auto"/>
        <w:rPr>
          <w:sz w:val="20"/>
          <w:szCs w:val="20"/>
          <w:color w:val="auto"/>
        </w:rPr>
      </w:pPr>
      <w:r>
        <w:rPr>
          <w:rFonts w:ascii="Arial" w:cs="Arial" w:eastAsia="Arial" w:hAnsi="Arial"/>
          <w:sz w:val="16"/>
          <w:szCs w:val="16"/>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w:t>
      </w:r>
    </w:p>
    <w:p>
      <w:pPr>
        <w:spacing w:after="0" w:line="25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2022, and as our existing markets see more market entry, we expect competition to intensify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7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believe that seasonal fluctuations that we have experienced in the past may continue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6" w:lineRule="exact"/>
        <w:rPr>
          <w:sz w:val="20"/>
          <w:szCs w:val="20"/>
          <w:color w:val="auto"/>
        </w:rPr>
      </w:pPr>
    </w:p>
    <w:p>
      <w:pPr>
        <w:ind w:right="40" w:firstLine="470"/>
        <w:spacing w:after="0" w:line="358"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60"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As of January 31, 2022, in the United States, we had been issued 52 patents, which expire between 2030 and 2038 and had 36 patent applications pending, of which seven are provisional applications. In addition, as of January 31, 2022, we had 11 registered trademarks in the United States and two pending trademark application in the United States.</w:t>
      </w:r>
    </w:p>
    <w:p>
      <w:pPr>
        <w:spacing w:after="0" w:line="12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 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17"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6"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MongoDB, Inc. was incorporated under the laws of the State of Delaware in November 2007 under the name 10Gen, Inc. We changed our name to MongoDB, Inc. on August 27, 2013. In October 2017, we completed our initial public offering and our Class A common stock is listed on The Nasdaq Global Market (“Nasdaq”) under the symbol “MDB.” Our principal executive offices are located at 1633 Broadway, 38th Floor, New York, New York 10019 and our telephone number is (646) 727-4092.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w:t>
      </w:r>
    </w:p>
    <w:p>
      <w:pPr>
        <w:spacing w:after="0" w:line="1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6" w:lineRule="exact"/>
        <w:rPr>
          <w:sz w:val="20"/>
          <w:szCs w:val="20"/>
          <w:color w:val="auto"/>
        </w:rPr>
      </w:pPr>
    </w:p>
    <w:p>
      <w:pPr>
        <w:ind w:right="40" w:firstLine="470"/>
        <w:spacing w:after="0" w:line="282" w:lineRule="auto"/>
        <w:rPr>
          <w:sz w:val="20"/>
          <w:szCs w:val="20"/>
          <w:color w:val="auto"/>
        </w:rPr>
      </w:pPr>
      <w:r>
        <w:rPr>
          <w:rFonts w:ascii="Arial" w:cs="Arial" w:eastAsia="Arial" w:hAnsi="Arial"/>
          <w:sz w:val="16"/>
          <w:szCs w:val="16"/>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76"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60" w:lineRule="exact"/>
        <w:rPr>
          <w:sz w:val="20"/>
          <w:szCs w:val="20"/>
          <w:color w:val="auto"/>
        </w:rPr>
      </w:pPr>
    </w:p>
    <w:p>
      <w:pPr>
        <w:ind w:left="640" w:right="8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ongoing COVID-19 pandemic, related economic downturn and measures taken in response to the pandemic could negatively impact our business, financial condition and results of operations.</w:t>
      </w:r>
    </w:p>
    <w:p>
      <w:pPr>
        <w:spacing w:after="0" w:line="53" w:lineRule="exact"/>
        <w:rPr>
          <w:rFonts w:ascii="Arial" w:cs="Arial" w:eastAsia="Arial" w:hAnsi="Arial"/>
          <w:sz w:val="17"/>
          <w:szCs w:val="17"/>
          <w:color w:val="auto"/>
        </w:rPr>
      </w:pPr>
    </w:p>
    <w:p>
      <w:pPr>
        <w:ind w:left="640" w:right="34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Arial" w:cs="Arial" w:eastAsia="Arial" w:hAnsi="Arial"/>
          <w:sz w:val="17"/>
          <w:szCs w:val="17"/>
          <w:color w:val="auto"/>
        </w:rPr>
      </w:pPr>
    </w:p>
    <w:p>
      <w:pPr>
        <w:ind w:left="640" w:right="30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fail to meet our publicly announced guidance or other expectations about our business and future operating results, which would cause our stock price to decline.</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 limited operating history, which makes it difficult to predict our future results of operations.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 history of losses and as our costs increase, we may not be able to generate sufficient revenue to achieve or sustain profitability.</w:t>
      </w:r>
    </w:p>
    <w:p>
      <w:pPr>
        <w:spacing w:after="0" w:line="118" w:lineRule="exact"/>
        <w:rPr>
          <w:rFonts w:ascii="Arial" w:cs="Arial" w:eastAsia="Arial" w:hAnsi="Arial"/>
          <w:sz w:val="17"/>
          <w:szCs w:val="17"/>
          <w:color w:val="auto"/>
        </w:rPr>
      </w:pPr>
    </w:p>
    <w:p>
      <w:pPr>
        <w:ind w:left="640" w:right="28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currently face significant competition and expect that intense competition will continue.</w:t>
      </w:r>
    </w:p>
    <w:p>
      <w:pPr>
        <w:spacing w:after="0" w:line="118" w:lineRule="exact"/>
        <w:rPr>
          <w:rFonts w:ascii="Arial" w:cs="Arial" w:eastAsia="Arial" w:hAnsi="Arial"/>
          <w:sz w:val="17"/>
          <w:szCs w:val="17"/>
          <w:color w:val="auto"/>
        </w:rPr>
      </w:pPr>
    </w:p>
    <w:p>
      <w:pPr>
        <w:ind w:left="640" w:right="64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do not effectively expand our sales and marketing organization, we may be unable to add new customers or increase sales to our existing customers.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decision to offer Community Server under the Server Side Public License (“SSPL”) may harm adoption of Community Server.</w:t>
      </w:r>
    </w:p>
    <w:p>
      <w:pPr>
        <w:spacing w:after="0" w:line="118" w:lineRule="exact"/>
        <w:rPr>
          <w:rFonts w:ascii="Arial" w:cs="Arial" w:eastAsia="Arial" w:hAnsi="Arial"/>
          <w:sz w:val="17"/>
          <w:szCs w:val="17"/>
          <w:color w:val="auto"/>
        </w:rPr>
      </w:pPr>
    </w:p>
    <w:p>
      <w:pPr>
        <w:ind w:left="640" w:right="52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invested significantly in our MongoDB Atlas offering, and if it fails to achieve market adoption, our business, results of operations and financial condition could be harmed.</w:t>
      </w:r>
    </w:p>
    <w:p>
      <w:pPr>
        <w:spacing w:after="0" w:line="53" w:lineRule="exact"/>
        <w:rPr>
          <w:rFonts w:ascii="Arial" w:cs="Arial" w:eastAsia="Arial" w:hAnsi="Arial"/>
          <w:sz w:val="17"/>
          <w:szCs w:val="17"/>
          <w:color w:val="auto"/>
        </w:rPr>
      </w:pPr>
    </w:p>
    <w:p>
      <w:pPr>
        <w:ind w:left="640" w:right="18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licensing model for Community Server could negatively affect our ability to monetize and protect our intellectual property rights.</w:t>
      </w:r>
    </w:p>
    <w:p>
      <w:pPr>
        <w:spacing w:after="0" w:line="118" w:lineRule="exact"/>
        <w:rPr>
          <w:rFonts w:ascii="Arial" w:cs="Arial" w:eastAsia="Arial" w:hAnsi="Arial"/>
          <w:sz w:val="17"/>
          <w:szCs w:val="17"/>
          <w:color w:val="auto"/>
        </w:rPr>
      </w:pPr>
    </w:p>
    <w:p>
      <w:pPr>
        <w:ind w:left="640" w:right="34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could incur substantial costs in protecting or defending our intellectual property rights and any failure to protect our intellectual property rights could reduce the value of our software and brand.</w:t>
      </w:r>
    </w:p>
    <w:p>
      <w:pPr>
        <w:spacing w:after="0" w:line="53" w:lineRule="exact"/>
        <w:rPr>
          <w:rFonts w:ascii="Arial" w:cs="Arial" w:eastAsia="Arial" w:hAnsi="Arial"/>
          <w:sz w:val="17"/>
          <w:szCs w:val="17"/>
          <w:color w:val="auto"/>
        </w:rPr>
      </w:pPr>
    </w:p>
    <w:p>
      <w:pPr>
        <w:ind w:left="640" w:right="10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Arial" w:cs="Arial" w:eastAsia="Arial" w:hAnsi="Arial"/>
          <w:sz w:val="17"/>
          <w:szCs w:val="17"/>
          <w:color w:val="auto"/>
        </w:rPr>
      </w:pPr>
    </w:p>
    <w:p>
      <w:pPr>
        <w:ind w:left="640" w:right="60" w:hanging="322"/>
        <w:spacing w:after="0" w:line="272"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80" w:hanging="322"/>
        <w:spacing w:after="0" w:line="272"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are not able to maintain and enhance our brand, especially among developers, our business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6"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b w:val="1"/>
          <w:bCs w:val="1"/>
          <w:i w:val="1"/>
          <w:iCs w:val="1"/>
          <w:color w:val="auto"/>
        </w:rPr>
        <w:t>The ongoing COVID-19 pandemic, related economic downturn and measures taken in response to the pandemic could negatively impact our business, financial condition and results of operations.</w:t>
      </w:r>
    </w:p>
    <w:p>
      <w:pPr>
        <w:spacing w:after="0" w:line="106" w:lineRule="exact"/>
        <w:rPr>
          <w:sz w:val="20"/>
          <w:szCs w:val="20"/>
          <w:color w:val="auto"/>
        </w:rPr>
      </w:pPr>
    </w:p>
    <w:p>
      <w:pPr>
        <w:ind w:firstLine="627"/>
        <w:spacing w:after="0" w:line="259" w:lineRule="auto"/>
        <w:rPr>
          <w:sz w:val="20"/>
          <w:szCs w:val="20"/>
          <w:color w:val="auto"/>
        </w:rPr>
      </w:pPr>
      <w:r>
        <w:rPr>
          <w:rFonts w:ascii="Arial" w:cs="Arial" w:eastAsia="Arial" w:hAnsi="Arial"/>
          <w:sz w:val="17"/>
          <w:szCs w:val="17"/>
          <w:color w:val="auto"/>
        </w:rPr>
        <w:t>Beginning in March 2020, we took measures intended to help minimize the risk of the SARS-CoV-2 virus to our employees, our customers and the communities in which we participate, which measures could negatively impact our business. These measures included temporarily requiring all employees to work remotely, suspending all non-essential travel worldwide for our employees, canceling, postponing or holding virtually MongoDB-sponsored events and discouraging employee attendance at industry events and in-person work-related meetings. During 2021, we began to re-open our offices in the United States and certain other locations globally for employees to voluntarily return, subject to certain restrictions and government regulations, and we have taken recommended measures to protect the health and safety of employees who return to the office, including with respect to occupancy limitations, masking requirements and other safety measures. We have informed our employees that they may continue to elect to work remotely until conditions improve, even if their office reopens. While certain travel bans and other restrictions that were implemented at the beginning of the pandemic were relaxed earlier in the year, due to the identification of the Omicron variant of the SARS-CoV-2 virus, among other developments, some of these restrictions were re-imposed, and new restrictions may be implemented. Business travel on a voluntary basis resumed during 2021 and we started to hold some in-person marketing events. Although our travel costs for the year ended January 31, 2022 were below pre-pandemic levels, we expect travel behavior to return to pre-pandemic levels. We are actively monitoring the situation related to the COVID-19 pandemic, and we may adjust our policies as may be required or recommended by federal, foreign, state or local authorities.</w:t>
      </w:r>
    </w:p>
    <w:p>
      <w:pPr>
        <w:spacing w:after="0" w:line="133" w:lineRule="exact"/>
        <w:rPr>
          <w:sz w:val="20"/>
          <w:szCs w:val="20"/>
          <w:color w:val="auto"/>
        </w:rPr>
      </w:pPr>
    </w:p>
    <w:p>
      <w:pPr>
        <w:ind w:right="60" w:firstLine="627"/>
        <w:spacing w:after="0" w:line="276" w:lineRule="auto"/>
        <w:rPr>
          <w:sz w:val="20"/>
          <w:szCs w:val="20"/>
          <w:color w:val="auto"/>
        </w:rPr>
      </w:pPr>
      <w:r>
        <w:rPr>
          <w:rFonts w:ascii="Arial" w:cs="Arial" w:eastAsia="Arial" w:hAnsi="Arial"/>
          <w:sz w:val="16"/>
          <w:szCs w:val="16"/>
          <w:color w:val="auto"/>
        </w:rPr>
        <w:t>While we have a distributed workforce and our employees are accustomed to working remotely or working with other remote employees, our workforce has not historically been fully remote. Additionally, prior to the COVID-19 pandemic, our employees traveled frequently to establish and maintain relationships with one another and with our customers, partners and investors, and some of our business processes assume that employees can review and sign documents in person. We are adopting a hybrid work environment that may also present operational challenges and risks, including reduced productivity, lower employee retention, and increased compliance and tax obligations in a number of jurisdictions. We have informed our employees that they may continue to elect to work remotely until conditions improve, even if their office reopens, and we continue to host large events virtually rather than in person and to travel less frequently for business than we did prior to the pandemic. Although we continue to monitor the situation and may adjust our current policies as more information and guidance become available, reducing travel and in-person business interactions on a long-term basis could negatively impact our marketing efforts, our ability to enter into customer contracts in a timely manner, our international expansion efforts, our ability to recruit employees across the organization and, in sales and marketing, in particular, which could have longer term effects on our sales pipeline, or create operational or other challenges as our workforce remains predominantly remote, any of which could harm our business. For example, remote and hybrid work arrangements may result in decreased employee productivity and morale with increased regretted employee attrition.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22" w:lineRule="exact"/>
        <w:rPr>
          <w:sz w:val="20"/>
          <w:szCs w:val="20"/>
          <w:color w:val="auto"/>
        </w:rPr>
      </w:pPr>
    </w:p>
    <w:p>
      <w:pPr>
        <w:ind w:right="60" w:firstLine="470"/>
        <w:spacing w:after="0" w:line="279" w:lineRule="auto"/>
        <w:rPr>
          <w:sz w:val="20"/>
          <w:szCs w:val="20"/>
          <w:color w:val="auto"/>
        </w:rPr>
      </w:pPr>
      <w:r>
        <w:rPr>
          <w:rFonts w:ascii="Arial" w:cs="Arial" w:eastAsia="Arial" w:hAnsi="Arial"/>
          <w:sz w:val="16"/>
          <w:szCs w:val="16"/>
          <w:color w:val="auto"/>
        </w:rPr>
        <w:t>The ultimate impact to our results of operations will depend to a large extent on currently unknowable developments, including the length of time the disruption and uncertainty caused by COVID-19 will continue, which will, in turn, depend on, among other things, the actions taken by authorities and other entities to contain COVID-19 or treat its impact, including the impact of any reopening plans, additional closures and spikes or surges in COVID-19 infection, including as a result of new variants of the SARS-CoV-2 virus, and individuals’ and companies’ risk tolerance regarding health matters going forward, all of which are beyond our control. For example, vaccine mandates have been announced in certain jurisdictions in which our business operates and the implementation of additional vaccination requirements in jurisdictions in which our business operates, could result in attrition, including attrition of critically skilled labor and difficulty securing future labor needs, which could materially and adversely affect our results of operations, financial condition and cash flows. These potential impacts, while uncertain, could harm our business and adversely affect our operating results. In addition, to the</w:t>
      </w: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extent the ongoing COVID-19 pandemic adversely affects our business and results of operations, it may also have the effect of heightening many of the other risks and uncertainties described in this “Risk Factors” section which may materially and adversely affect our business and results of operations.</w:t>
      </w:r>
    </w:p>
    <w:p>
      <w:pPr>
        <w:spacing w:after="0" w:line="8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06"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labor shortages, supply chain disruptions, inflationary pressures, financial and credit market fluctuations, international trade relations and/or the imposition of trade tariffs, political turmoil, natural catastrophes, regional or global outbreaks of contagious diseases, such as the ongoing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negatively affect the growth of our business.</w:t>
      </w:r>
    </w:p>
    <w:p>
      <w:pPr>
        <w:spacing w:after="0" w:line="119" w:lineRule="exact"/>
        <w:rPr>
          <w:sz w:val="20"/>
          <w:szCs w:val="20"/>
          <w:color w:val="auto"/>
        </w:rPr>
      </w:pPr>
    </w:p>
    <w:p>
      <w:pPr>
        <w:ind w:right="120" w:firstLine="470"/>
        <w:spacing w:after="0" w:line="280" w:lineRule="auto"/>
        <w:rPr>
          <w:sz w:val="20"/>
          <w:szCs w:val="20"/>
          <w:color w:val="auto"/>
        </w:rPr>
      </w:pPr>
      <w:r>
        <w:rPr>
          <w:rFonts w:ascii="Arial" w:cs="Arial" w:eastAsia="Arial" w:hAnsi="Arial"/>
          <w:sz w:val="16"/>
          <w:szCs w:val="16"/>
          <w:color w:val="auto"/>
        </w:rPr>
        <w:t>Geopolitical risks, including those arising from trade tension and/or the imposition of trade tariffs, terrorist activity or acts of civil or international hostility, are increasing. For instance, military conflict and escalating tensions between Russia and Ukraine could result in geopolitical instability and adversely affect the global economy or specific markets. Similarly,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adversely affect the global economy or capital markets, as well as our business and results of operations.</w:t>
      </w:r>
    </w:p>
    <w:p>
      <w:pPr>
        <w:spacing w:after="0" w:line="118" w:lineRule="exact"/>
        <w:rPr>
          <w:sz w:val="20"/>
          <w:szCs w:val="20"/>
          <w:color w:val="auto"/>
        </w:rPr>
      </w:pPr>
    </w:p>
    <w:p>
      <w:pPr>
        <w:ind w:firstLine="627"/>
        <w:spacing w:after="0" w:line="276" w:lineRule="auto"/>
        <w:rPr>
          <w:sz w:val="20"/>
          <w:szCs w:val="20"/>
          <w:color w:val="auto"/>
        </w:rPr>
      </w:pPr>
      <w:r>
        <w:rPr>
          <w:rFonts w:ascii="Arial" w:cs="Arial" w:eastAsia="Arial" w:hAnsi="Arial"/>
          <w:sz w:val="16"/>
          <w:szCs w:val="16"/>
          <w:color w:val="auto"/>
        </w:rPr>
        <w:t>In particular, the ongoing COVID-19 pandemic, attempts by governments and private organizations to address the pandemic and the associated global economic uncertainty may prevent us or our employees, contractors, suppliers, customers and other business partners from conducting certain business activities, which could materially and adversely impact our business, financial results and results of operations. In the initial stages of the pandemic, business activities were severely curtailed as a result of shelter-in-place and similar orders. Such orders or restrictions and the perception that such orders or restrictions could occur have resulted in business closures, work stoppages, slowdowns and delays, work-from-home policies, travel restrictions and cancellation of events, among other effects that could negatively impact productivity and disrupt our operations and those of our contractors, suppliers, customers and other business partners. As the COVID-19 pandemic has continued and the most stringent limitations on the conduct of in-person business have been lifted, many state, local and foreign governments have continued to put in place, and may in the future re-institute or put in place travel restrictions, limitations on indoor occupancy, masking and/or vaccination requirements and similar government orders and restrictions in order to control the spread of the disease. The ongoing COVID-19 pandemic, including actions by governmental and private actors in response to the pandemic, including vaccination mandates, could adversely affect workforces, customers, economies and financial markets globally, potentially leading to a sustained economic downturn. While it is not possible at this time to predict the duration and extent of the impact that the ongoing COVID-19 pandemic could have on worldwide economic activity and our business in particular, the continued spread of COVID-19, including the Delta and Omicron variants and other potentially more contagious variants of the SARS-CoV-2 virus, the measures taken by governments, businesses and other organizations in response to COVID-19 and the associated global economic uncertainty could materially and adversely impact our business, financial condition or results of operations.</w:t>
      </w:r>
    </w:p>
    <w:p>
      <w:pPr>
        <w:spacing w:after="0" w:line="120"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predict our future results of operations.</w:t>
      </w:r>
    </w:p>
    <w:p>
      <w:pPr>
        <w:spacing w:after="0" w:line="170" w:lineRule="exact"/>
        <w:rPr>
          <w:sz w:val="20"/>
          <w:szCs w:val="20"/>
          <w:color w:val="auto"/>
        </w:rPr>
      </w:pPr>
    </w:p>
    <w:p>
      <w:pPr>
        <w:ind w:right="60" w:firstLine="470"/>
        <w:spacing w:after="0" w:line="278"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8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We have incurred net losses in each period since our inception, including net losses of $306.9 million, $266.9 million and $175.5 million for the fiscal years ended January 31, 2022, 2021 and 2020, respectively. We had an accumulated deficit of $1.2 billion as of January 31, 2022.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1"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06"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face significant competition and expect that intense competition will continue.</w:t>
      </w:r>
    </w:p>
    <w:p>
      <w:pPr>
        <w:spacing w:after="0" w:line="170"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1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24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18"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193"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ongoing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18"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b w:val="1"/>
          <w:bCs w:val="1"/>
          <w:i w:val="1"/>
          <w:iCs w:val="1"/>
          <w:color w:val="auto"/>
        </w:rPr>
        <w:t>Our adoption strategies include offering Community Server and a free tier of MongoDB Atlas and we may not be able to realize the intended benefits of these strategies.</w:t>
      </w:r>
    </w:p>
    <w:p>
      <w:pPr>
        <w:spacing w:after="0" w:line="1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decision to offer Community Server under a new license, the Server Side Public License, may harm adoption of Community Server.</w:t>
      </w:r>
    </w:p>
    <w:p>
      <w:pPr>
        <w:spacing w:after="0" w:line="170"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adoption of Community Server, which in turn could lead to reduced brand and product awareness, ultimately leading to a decline in paying customers and our ability to grow our business or achieve profitability may be harmed.</w:t>
      </w:r>
    </w:p>
    <w:p>
      <w:pPr>
        <w:spacing w:after="0" w:line="118" w:lineRule="exact"/>
        <w:rPr>
          <w:sz w:val="20"/>
          <w:szCs w:val="20"/>
          <w:color w:val="auto"/>
        </w:rPr>
      </w:pPr>
    </w:p>
    <w:p>
      <w:pPr>
        <w:ind w:right="620"/>
        <w:spacing w:after="0" w:line="288" w:lineRule="auto"/>
        <w:rPr>
          <w:sz w:val="20"/>
          <w:szCs w:val="20"/>
          <w:color w:val="auto"/>
        </w:rPr>
      </w:pPr>
      <w:r>
        <w:rPr>
          <w:rFonts w:ascii="Arial" w:cs="Arial" w:eastAsia="Arial" w:hAnsi="Arial"/>
          <w:sz w:val="17"/>
          <w:szCs w:val="17"/>
          <w:b w:val="1"/>
          <w:bCs w:val="1"/>
          <w:i w:val="1"/>
          <w:iCs w:val="1"/>
          <w:color w:val="auto"/>
        </w:rPr>
        <w:t>We have invested significantly in our MongoDB Atlas offering and if we fail to continue to attract new MongoDB Atlas customers or retain existing customers our business, results of operations and financial condition could be harmed.</w:t>
      </w:r>
    </w:p>
    <w:p>
      <w:pPr>
        <w:spacing w:after="0" w:line="106"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We introduced MongoDB Atlas in June 2016 and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increase customer adoption of MongoDB Atlas or retain existing customers, or if we do so in a way that is not profitable or fails to compete successfully against our current or future competitors, our business, results of operations and financial condition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negatively impacted if the AGPL, the SSPL and other open source licenses under which some of our software is licensed are not enforceable.</w:t>
      </w:r>
    </w:p>
    <w:p>
      <w:pPr>
        <w:spacing w:after="0" w:line="193"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7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21"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20"/>
        <w:spacing w:after="0" w:line="288" w:lineRule="auto"/>
        <w:rPr>
          <w:sz w:val="20"/>
          <w:szCs w:val="20"/>
          <w:color w:val="auto"/>
        </w:rPr>
      </w:pPr>
      <w:r>
        <w:rPr>
          <w:rFonts w:ascii="Arial" w:cs="Arial" w:eastAsia="Arial" w:hAnsi="Arial"/>
          <w:sz w:val="17"/>
          <w:szCs w:val="17"/>
          <w:b w:val="1"/>
          <w:bCs w:val="1"/>
          <w:i w:val="1"/>
          <w:iCs w:val="1"/>
          <w:color w:val="auto"/>
        </w:rPr>
        <w:t>Our software incorporates third-party open source software, which could negatively affect our ability to sell our products and subject us to possible litigation.</w:t>
      </w:r>
    </w:p>
    <w:p>
      <w:pPr>
        <w:spacing w:after="0" w:line="106"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26" w:lineRule="exact"/>
        <w:rPr>
          <w:sz w:val="20"/>
          <w:szCs w:val="20"/>
          <w:color w:val="auto"/>
        </w:rPr>
      </w:pPr>
    </w:p>
    <w:p>
      <w:pPr>
        <w:ind w:right="40" w:firstLine="470"/>
        <w:spacing w:after="0" w:line="280"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18"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23"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Any of these risks could be difficult to eliminate or manage and if not addressed, could have a negative effect on our business, results of operations and financial condition.</w:t>
      </w:r>
    </w:p>
    <w:p>
      <w:pPr>
        <w:spacing w:after="0" w:line="106"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6"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24"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i w:val="1"/>
          <w:iCs w:val="1"/>
          <w:color w:val="auto"/>
        </w:rPr>
        <w:t>Our success is highly dependent on our ability to penetrate the existing market for database products, as well as the growth and expansion of the market for database products.</w:t>
      </w:r>
    </w:p>
    <w:p>
      <w:pPr>
        <w:spacing w:after="0" w:line="1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9" w:lineRule="exact"/>
        <w:rPr>
          <w:sz w:val="20"/>
          <w:szCs w:val="20"/>
          <w:color w:val="auto"/>
        </w:rPr>
      </w:pPr>
    </w:p>
    <w:p>
      <w:pPr>
        <w:ind w:right="680"/>
        <w:spacing w:after="0" w:line="288" w:lineRule="auto"/>
        <w:rPr>
          <w:sz w:val="20"/>
          <w:szCs w:val="20"/>
          <w:color w:val="auto"/>
        </w:rPr>
      </w:pPr>
      <w:r>
        <w:rPr>
          <w:rFonts w:ascii="Arial" w:cs="Arial" w:eastAsia="Arial" w:hAnsi="Arial"/>
          <w:sz w:val="17"/>
          <w:szCs w:val="17"/>
          <w:b w:val="1"/>
          <w:bCs w:val="1"/>
          <w:i w:val="1"/>
          <w:iCs w:val="1"/>
          <w:color w:val="auto"/>
        </w:rPr>
        <w:t>Our future quarterly results may fluctuate significantly and if we fail to meet the expectations of analysts or investors, our stock price could decline substantially.</w:t>
      </w:r>
    </w:p>
    <w:p>
      <w:pPr>
        <w:spacing w:after="0" w:line="10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3" w:lineRule="exact"/>
        <w:rPr>
          <w:sz w:val="20"/>
          <w:szCs w:val="20"/>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actual and anticipated growth rates of our revenue, customers and other key operating metrics;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new product announcements, pricing changes and other actions by competitors;</w:t>
      </w:r>
    </w:p>
    <w:p>
      <w:pPr>
        <w:spacing w:after="0" w:line="118" w:lineRule="exact"/>
        <w:rPr>
          <w:rFonts w:ascii="Arial" w:cs="Arial" w:eastAsia="Arial" w:hAnsi="Arial"/>
          <w:sz w:val="17"/>
          <w:szCs w:val="17"/>
          <w:color w:val="auto"/>
        </w:rPr>
      </w:pPr>
    </w:p>
    <w:p>
      <w:pPr>
        <w:ind w:left="940" w:right="20" w:hanging="465"/>
        <w:spacing w:after="0" w:line="272"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Arial" w:cs="Arial" w:eastAsia="Arial" w:hAnsi="Arial"/>
          <w:sz w:val="17"/>
          <w:szCs w:val="17"/>
          <w:color w:val="auto"/>
        </w:rPr>
      </w:pPr>
    </w:p>
    <w:p>
      <w:pPr>
        <w:ind w:left="940" w:right="26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sales where subscriptions are bundled with services versus sold on a standalone basis and sales by us and our partners;</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effectively expand our sales and marketing capabilities and teams;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retain customers and expand their usage of our software, particularly for our largest customers;</w:t>
      </w:r>
    </w:p>
    <w:p>
      <w:pPr>
        <w:spacing w:after="0" w:line="118" w:lineRule="exact"/>
        <w:rPr>
          <w:rFonts w:ascii="Arial" w:cs="Arial" w:eastAsia="Arial" w:hAnsi="Arial"/>
          <w:sz w:val="17"/>
          <w:szCs w:val="17"/>
          <w:color w:val="auto"/>
        </w:rPr>
      </w:pPr>
    </w:p>
    <w:p>
      <w:pPr>
        <w:ind w:left="940" w:right="580" w:hanging="465"/>
        <w:spacing w:after="0" w:line="321" w:lineRule="auto"/>
        <w:tabs>
          <w:tab w:leader="none" w:pos="9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30" w:lineRule="exact"/>
        <w:rPr>
          <w:rFonts w:ascii="Arial" w:cs="Arial" w:eastAsia="Arial" w:hAnsi="Arial"/>
          <w:sz w:val="16"/>
          <w:szCs w:val="16"/>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inability to enforce the AGPL or SSPL;</w:t>
      </w:r>
    </w:p>
    <w:p>
      <w:pPr>
        <w:spacing w:after="0" w:line="118" w:lineRule="exact"/>
        <w:rPr>
          <w:rFonts w:ascii="Arial" w:cs="Arial" w:eastAsia="Arial" w:hAnsi="Arial"/>
          <w:sz w:val="17"/>
          <w:szCs w:val="17"/>
          <w:color w:val="auto"/>
        </w:rPr>
      </w:pPr>
    </w:p>
    <w:p>
      <w:pPr>
        <w:ind w:left="940" w:right="32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revenue recognition;</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mix of revenue attributable to larger transactions as opposed to smaller transactions;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budgeting cycles and purchasing decisions;</w:t>
      </w:r>
    </w:p>
    <w:p>
      <w:pPr>
        <w:spacing w:after="0" w:line="118" w:lineRule="exact"/>
        <w:rPr>
          <w:rFonts w:ascii="Arial" w:cs="Arial" w:eastAsia="Arial" w:hAnsi="Arial"/>
          <w:sz w:val="17"/>
          <w:szCs w:val="17"/>
          <w:color w:val="auto"/>
        </w:rPr>
      </w:pPr>
    </w:p>
    <w:p>
      <w:pPr>
        <w:ind w:left="940" w:right="6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customers and potential customers opting for alternative products, including developing their own in-house solutions, or opting to use only the free version of our products;</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control costs, including our operating expenses;</w:t>
      </w:r>
    </w:p>
    <w:p>
      <w:pPr>
        <w:spacing w:after="0" w:line="11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19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delivery and use of our software;</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failure to maintain the level of service uptime and performance required by our customers;</w:t>
      </w:r>
    </w:p>
    <w:p>
      <w:pPr>
        <w:spacing w:after="0" w:line="118" w:lineRule="exact"/>
        <w:rPr>
          <w:rFonts w:ascii="Arial" w:cs="Arial" w:eastAsia="Arial" w:hAnsi="Arial"/>
          <w:sz w:val="17"/>
          <w:szCs w:val="17"/>
          <w:color w:val="auto"/>
        </w:rPr>
      </w:pPr>
    </w:p>
    <w:p>
      <w:pPr>
        <w:ind w:left="940" w:right="20" w:hanging="465"/>
        <w:spacing w:after="0" w:line="28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collectability of receivables from customers and resellers, which may be hindered or delayed if these customers or resellers experience financial distress;</w:t>
      </w:r>
    </w:p>
    <w:p>
      <w:pPr>
        <w:spacing w:after="0" w:line="66" w:lineRule="exact"/>
        <w:rPr>
          <w:rFonts w:ascii="Arial" w:cs="Arial" w:eastAsia="Arial" w:hAnsi="Arial"/>
          <w:sz w:val="17"/>
          <w:szCs w:val="17"/>
          <w:color w:val="auto"/>
        </w:rPr>
      </w:pPr>
    </w:p>
    <w:p>
      <w:pPr>
        <w:ind w:left="940" w:right="80" w:hanging="465"/>
        <w:spacing w:after="0" w:line="260" w:lineRule="auto"/>
        <w:tabs>
          <w:tab w:leader="none" w:pos="929" w:val="left"/>
        </w:tabs>
        <w:numPr>
          <w:ilvl w:val="0"/>
          <w:numId w:val="19"/>
        </w:numPr>
        <w:rPr>
          <w:rFonts w:ascii="Arial" w:cs="Arial" w:eastAsia="Arial" w:hAnsi="Arial"/>
          <w:sz w:val="19"/>
          <w:szCs w:val="19"/>
          <w:color w:val="auto"/>
        </w:rPr>
      </w:pPr>
      <w:r>
        <w:rPr>
          <w:rFonts w:ascii="Arial" w:cs="Arial" w:eastAsia="Arial" w:hAnsi="Arial"/>
          <w:sz w:val="17"/>
          <w:szCs w:val="17"/>
          <w:color w:val="auto"/>
        </w:rPr>
        <w:t>changes in political and economic conditions, in domestic or international markets, including developments resulting from the recent United States presidential and congressional elections and change of administration in the United States;</w:t>
      </w:r>
    </w:p>
    <w:p>
      <w:pPr>
        <w:spacing w:after="0" w:line="74" w:lineRule="exact"/>
        <w:rPr>
          <w:rFonts w:ascii="Arial" w:cs="Arial" w:eastAsia="Arial" w:hAnsi="Arial"/>
          <w:sz w:val="19"/>
          <w:szCs w:val="19"/>
          <w:color w:val="auto"/>
        </w:rPr>
      </w:pPr>
    </w:p>
    <w:p>
      <w:pPr>
        <w:ind w:left="940" w:right="220" w:hanging="465"/>
        <w:spacing w:after="0" w:line="28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conditions, both domestically and internationally, as well as economic conditions specifically affecting industries in which our customers participate, including those conditions related to the ongoing COVID-19 pandemic;</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sales tax and other tax determinations by authorities in the jurisdictions in which we conduct business;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new accounting pronouncements; and</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stock-based compensation expense.</w:t>
      </w:r>
    </w:p>
    <w:p>
      <w:pPr>
        <w:spacing w:after="0" w:line="170"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The occurrence of one or more of the foregoing and other factors may cause our results of operations to vary significantly. For example, the full impact of the ongoing COVID-19 pandemic is unknown at this time, but could result in material adverse changes in our results of operations for an unknown period of time as the virus and its related political, social and economic impacts continue to spread. Moreover, fluctuations in our quarterly operating results and the price of our common stock may be particularly pronounced in the current economic environment due to the uncertainty caused by and the unprecedented nature of the COVID-19 pandemic. We also intend to continue to invest significantly to grow our business in the near future rather than optimizing for profitability or cash flows.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19" w:lineRule="exact"/>
        <w:rPr>
          <w:sz w:val="20"/>
          <w:szCs w:val="20"/>
          <w:color w:val="auto"/>
        </w:rPr>
      </w:pPr>
    </w:p>
    <w:p>
      <w:pPr>
        <w:ind w:right="220"/>
        <w:spacing w:after="0" w:line="358"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0" w:lineRule="exact"/>
        <w:rPr>
          <w:sz w:val="20"/>
          <w:szCs w:val="20"/>
          <w:color w:val="auto"/>
        </w:rPr>
      </w:pPr>
    </w:p>
    <w:p>
      <w:pPr>
        <w:ind w:right="20" w:firstLine="470"/>
        <w:spacing w:after="0" w:line="307" w:lineRule="auto"/>
        <w:rPr>
          <w:sz w:val="20"/>
          <w:szCs w:val="20"/>
          <w:color w:val="auto"/>
        </w:rPr>
      </w:pPr>
      <w:r>
        <w:rPr>
          <w:rFonts w:ascii="Arial" w:cs="Arial" w:eastAsia="Arial" w:hAnsi="Arial"/>
          <w:sz w:val="15"/>
          <w:szCs w:val="15"/>
          <w:color w:val="auto"/>
        </w:rPr>
        <w:t>We have recently experienced rapid growth in our business, operations and employee headcount. For fiscal years 2022, 2021 and 2020, our total revenue was $873.8 million, $590.4 million and $421.7 million, respectively, representing a 48% and 40% growth rate, respectively. We have also significantly increased the size of our customer base from over 3,200 customers as of January 31, 2017 to over 33,000 customers as of January 31, 2022, and we grew from 713 employees as of January 31, 2017 to 3,544 employees as of January 31, 2022. We expect to continue to expand our operations and employee headcount in the near term. Our success will depend in part on our ability to continue to grow and to manage this growth, domestically and internationally, effectively.</w:t>
      </w:r>
    </w:p>
    <w:p>
      <w:pPr>
        <w:spacing w:after="0" w:line="99" w:lineRule="exact"/>
        <w:rPr>
          <w:sz w:val="20"/>
          <w:szCs w:val="20"/>
          <w:color w:val="auto"/>
        </w:rPr>
      </w:pPr>
    </w:p>
    <w:p>
      <w:pPr>
        <w:ind w:firstLine="470"/>
        <w:spacing w:after="0" w:line="300" w:lineRule="auto"/>
        <w:rPr>
          <w:sz w:val="20"/>
          <w:szCs w:val="20"/>
          <w:color w:val="auto"/>
        </w:rPr>
      </w:pPr>
      <w:r>
        <w:rPr>
          <w:rFonts w:ascii="Arial" w:cs="Arial" w:eastAsia="Arial" w:hAnsi="Arial"/>
          <w:sz w:val="15"/>
          <w:szCs w:val="15"/>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24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If our security measures, or those of our service providers, are breached or unauthorized access to personal data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20"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color w:val="auto"/>
        </w:rPr>
        <w:t>In the ordinary course of our business, we collect, store and process personal data and other confidential information of our employees and our customers. We collect such information from individuals located both in the United States and abroad and may store or process such information outside of the country in which it was collected. We use third-party service providers and subprocessors to help us deliver services to our customers. These third-party service providers and subprocessors may store or process personal data and/or other confidential information of our employees and our customers.</w:t>
      </w:r>
    </w:p>
    <w:p>
      <w:pPr>
        <w:spacing w:after="0" w:line="110"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 particularly for companies like ours that are engaged in critical infrastructure or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COVID-19 pandemic and our remote workforce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28"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platform, products, and services.</w:t>
      </w:r>
    </w:p>
    <w:p>
      <w:pPr>
        <w:spacing w:after="0" w:line="123" w:lineRule="exact"/>
        <w:rPr>
          <w:sz w:val="20"/>
          <w:szCs w:val="20"/>
          <w:color w:val="auto"/>
        </w:rPr>
      </w:pPr>
    </w:p>
    <w:p>
      <w:pPr>
        <w:ind w:right="180" w:firstLine="470"/>
        <w:spacing w:after="0" w:line="272" w:lineRule="auto"/>
        <w:rPr>
          <w:sz w:val="20"/>
          <w:szCs w:val="20"/>
          <w:color w:val="auto"/>
        </w:rPr>
      </w:pPr>
      <w:r>
        <w:rPr>
          <w:rFonts w:ascii="Arial" w:cs="Arial" w:eastAsia="Arial" w:hAnsi="Arial"/>
          <w:sz w:val="17"/>
          <w:szCs w:val="17"/>
          <w:color w:val="auto"/>
        </w:rPr>
        <w:t>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19"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18"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14"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6"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cycle may be long and is unpredictable and our sales efforts require considerable time and expense.</w:t>
      </w:r>
    </w:p>
    <w:p>
      <w:pPr>
        <w:spacing w:after="0" w:line="170"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19" w:lineRule="exact"/>
        <w:rPr>
          <w:sz w:val="20"/>
          <w:szCs w:val="20"/>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effectiveness of our sales force, in particular new sales people as we increase the size of our sales force;</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discretionary nature of purchasing and budget cycles and decisions;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obstacles placed by a customer’s procurement process;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convert users of our free offerings to paying customers;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conditions and other factors impacting customer budgets;</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customer evaluation of competing products during the purchasing process; and</w:t>
      </w:r>
    </w:p>
    <w:p>
      <w:pPr>
        <w:spacing w:after="0" w:line="118" w:lineRule="exact"/>
        <w:rPr>
          <w:rFonts w:ascii="Arial" w:cs="Arial" w:eastAsia="Arial" w:hAnsi="Arial"/>
          <w:sz w:val="17"/>
          <w:szCs w:val="17"/>
          <w:color w:val="auto"/>
        </w:rPr>
      </w:pPr>
    </w:p>
    <w:p>
      <w:pPr>
        <w:ind w:left="620" w:hanging="14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evolving customer demands.</w:t>
      </w:r>
    </w:p>
    <w:p>
      <w:pPr>
        <w:spacing w:after="0" w:line="170"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This could impact the variability and comparability of our quarterly revenue results and may have an adverse effect on our business, results of operations and financial condition.</w:t>
      </w:r>
    </w:p>
    <w:p>
      <w:pPr>
        <w:spacing w:after="0" w:line="119" w:lineRule="exact"/>
        <w:rPr>
          <w:sz w:val="20"/>
          <w:szCs w:val="20"/>
          <w:color w:val="auto"/>
        </w:rPr>
      </w:pPr>
    </w:p>
    <w:p>
      <w:pPr>
        <w:ind w:right="660"/>
        <w:spacing w:after="0" w:line="288" w:lineRule="auto"/>
        <w:rPr>
          <w:sz w:val="20"/>
          <w:szCs w:val="20"/>
          <w:color w:val="auto"/>
        </w:rPr>
      </w:pPr>
      <w:r>
        <w:rPr>
          <w:rFonts w:ascii="Arial" w:cs="Arial" w:eastAsia="Arial" w:hAnsi="Arial"/>
          <w:sz w:val="17"/>
          <w:szCs w:val="17"/>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06" w:lineRule="exact"/>
        <w:rPr>
          <w:sz w:val="20"/>
          <w:szCs w:val="20"/>
          <w:color w:val="auto"/>
        </w:rPr>
      </w:pPr>
    </w:p>
    <w:p>
      <w:pPr>
        <w:ind w:right="140" w:firstLine="470"/>
        <w:spacing w:after="0" w:line="267" w:lineRule="auto"/>
        <w:rPr>
          <w:sz w:val="20"/>
          <w:szCs w:val="20"/>
          <w:color w:val="auto"/>
        </w:rPr>
      </w:pPr>
      <w:r>
        <w:rPr>
          <w:rFonts w:ascii="Arial" w:cs="Arial" w:eastAsia="Arial" w:hAnsi="Arial"/>
          <w:sz w:val="17"/>
          <w:szCs w:val="17"/>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0"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6"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3" w:lineRule="exact"/>
        <w:rPr>
          <w:sz w:val="20"/>
          <w:szCs w:val="20"/>
          <w:color w:val="auto"/>
        </w:rPr>
      </w:pPr>
    </w:p>
    <w:p>
      <w:pPr>
        <w:ind w:firstLine="470"/>
        <w:spacing w:after="0" w:line="298" w:lineRule="auto"/>
        <w:rPr>
          <w:sz w:val="20"/>
          <w:szCs w:val="20"/>
          <w:color w:val="auto"/>
        </w:rPr>
      </w:pPr>
      <w:r>
        <w:rPr>
          <w:rFonts w:ascii="Arial" w:cs="Arial" w:eastAsia="Arial" w:hAnsi="Arial"/>
          <w:sz w:val="15"/>
          <w:szCs w:val="15"/>
          <w:color w:val="auto"/>
        </w:rPr>
        <w:t>Even if we do attract new customers, the cost of new customer acquisition, product implementation and ongoing customer support may prove so high as to prevent us from achieving or sustaining profitability. For example, in fiscal years 2022, 2021 and 2020, total sales and marketing expense represented 54%, 55% and 53%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20"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Our subscription offerings are term-based and a majority of our subscription contracts were one year in duration in fiscal year 2022.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 quality support, our business and reputation could suffer.</w:t>
      </w:r>
    </w:p>
    <w:p>
      <w:pPr>
        <w:spacing w:after="0" w:line="170"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25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20"/>
        <w:spacing w:after="0" w:line="288" w:lineRule="auto"/>
        <w:rPr>
          <w:sz w:val="20"/>
          <w:szCs w:val="20"/>
          <w:color w:val="auto"/>
        </w:rPr>
      </w:pPr>
      <w:r>
        <w:rPr>
          <w:rFonts w:ascii="Arial" w:cs="Arial" w:eastAsia="Arial" w:hAnsi="Arial"/>
          <w:sz w:val="17"/>
          <w:szCs w:val="17"/>
          <w:b w:val="1"/>
          <w:bCs w:val="1"/>
          <w:i w:val="1"/>
          <w:iCs w:val="1"/>
          <w:color w:val="auto"/>
        </w:rPr>
        <w:t>Real or perceived errors, failures or bugs in our software could adversely affect our business, results of operations, financial condition and growth prospects.</w:t>
      </w:r>
    </w:p>
    <w:p>
      <w:pPr>
        <w:spacing w:after="0" w:line="106" w:lineRule="exact"/>
        <w:rPr>
          <w:sz w:val="20"/>
          <w:szCs w:val="20"/>
          <w:color w:val="auto"/>
        </w:rPr>
      </w:pPr>
    </w:p>
    <w:p>
      <w:pPr>
        <w:ind w:right="100" w:firstLine="470"/>
        <w:spacing w:after="0" w:line="278" w:lineRule="auto"/>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We are subject to stringent and changing obligations related to data privacy and information security. Our actual or perceived failure to comply with such obligations could lead to regulatory investigations or actions; litigation; fines and penalties; a disruption of our business operations; reputational harm; and other adverse business impacts.</w:t>
      </w:r>
    </w:p>
    <w:p>
      <w:pPr>
        <w:spacing w:after="0" w:line="120"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color w:val="auto"/>
        </w:rPr>
        <w:t>Data privacy has become a significant issue in the United States, Europe and in many other countries and jurisdictions where we offer our software and services. 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numerous data privacy and security obligations, such as various laws, regulations, guidance, industry standards, external and internal privacy and security policies, contracts, and other obligations that govern the processing of sensitive data by us and on our behalf.</w:t>
      </w:r>
    </w:p>
    <w:p>
      <w:pPr>
        <w:spacing w:after="0" w:line="126" w:lineRule="exact"/>
        <w:rPr>
          <w:sz w:val="20"/>
          <w:szCs w:val="20"/>
          <w:color w:val="auto"/>
        </w:rPr>
      </w:pPr>
    </w:p>
    <w:p>
      <w:pPr>
        <w:ind w:right="20" w:firstLine="470"/>
        <w:spacing w:after="0" w:line="276"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California enacted the California Consumer Privacy Act (the “CCPA”), which became effective on January 1, 2020. The CCPA introduced new requirements regarding the handling of personal data of California consumers and households. The law gives individuals the right to request access to and deletion of their personal data and the right to opt out of sales of their personal data. The CCPA also authorizes private lawsuits to recover statutory damages for certain data breaches. In addition, a new California ballot initiative, the California Privacy Rights Act (the “CPRA”), was passed in November 2020. Effective January 1, 2023, the CPRA will impose additional obligations on companies covered by the legislation and will significantly modify the CCPA, including by expanding consumers’ rights with respect to certain sensitive personal information and establishing a new California Privacy Protection Agency to implement and enforce the CPRA, which could increase the risk of enforcement. The effects of the CCPA and the CPRA are potentially significant and may require us to modify our data collection or processing practices and policies and increase our compliance costs and potential liability with respect to personal information we collect about California residents.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20"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will result in the development of secure software development practices or criteria for a consumer software labeling program and shall reflect a baseline level of secure practices for development of software sold to the U.S. federal government, including requiring developers to maintain greater visibility into their software and making security data publicly available. Due to the Executive Order, federal agencies may require us to modify our cybersecurity practices and policies and increase our compliance costs and, if we are unable to meet the</w:t>
      </w:r>
    </w:p>
    <w:p>
      <w:pPr>
        <w:spacing w:after="0" w:line="27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the Executive Order, it could impede our ability to work with the U.S. government and result in a loss of revenue.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may apply to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w:t>
      </w:r>
    </w:p>
    <w:p>
      <w:pPr>
        <w:spacing w:after="0" w:line="158" w:lineRule="exact"/>
        <w:rPr>
          <w:sz w:val="20"/>
          <w:szCs w:val="20"/>
          <w:color w:val="auto"/>
        </w:rPr>
      </w:pPr>
    </w:p>
    <w:p>
      <w:pPr>
        <w:jc w:val="both"/>
        <w:ind w:right="80" w:firstLine="470"/>
        <w:spacing w:after="0" w:line="295" w:lineRule="auto"/>
        <w:rPr>
          <w:sz w:val="20"/>
          <w:szCs w:val="20"/>
          <w:color w:val="auto"/>
        </w:rPr>
      </w:pPr>
      <w:r>
        <w:rPr>
          <w:rFonts w:ascii="Arial" w:cs="Arial" w:eastAsia="Arial" w:hAnsi="Arial"/>
          <w:sz w:val="15"/>
          <w:szCs w:val="15"/>
          <w:color w:val="auto"/>
        </w:rPr>
        <w:t>Internationally, virtually every jurisdiction in which we operate has established its own data security and privacy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and Switzerland is subject to the General Data Protection Regulation (the “GDPR”), which came into effect in May 2018, and other European laws governing the processing of personal data.</w:t>
      </w:r>
    </w:p>
    <w:p>
      <w:pPr>
        <w:spacing w:after="0"/>
        <w:rPr>
          <w:sz w:val="20"/>
          <w:szCs w:val="20"/>
          <w:color w:val="auto"/>
        </w:rPr>
      </w:pPr>
      <w:r>
        <w:rPr>
          <w:rFonts w:ascii="Arial" w:cs="Arial" w:eastAsia="Arial" w:hAnsi="Arial"/>
          <w:sz w:val="16"/>
          <w:szCs w:val="16"/>
          <w:color w:val="auto"/>
        </w:rPr>
        <w:t>Data protection authorities in the E.E.A. and Switzerland have the power to impose administrative fines for violations of the GDPR of up to a maximum of</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€20 million or 4% of the entity’s total worldwide global turnover for the preceding financial year, whichever is higher, and violations of the GDPR may also lead to damages claims by data controllers and data subjects.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Countries outside Europe, including without limitation Brazil, which recently enacted the General Data Protection Law (Lei Geral Proteção de Dados Pessoais, or LGPD) (Law No. 13,709/2018), are implementing significant limitations on the processing of personal data, similar to those in the GDPR. On June 5, 2020, Japan passed amendments to its Act on the Protection of Personal data, or APPI. Both laws broadly regulate the processing of personal data in a manner comparable to the GDPR, and violators of the LGPD and APPI face substantial penalties.</w:t>
      </w:r>
    </w:p>
    <w:p>
      <w:pPr>
        <w:spacing w:after="0" w:line="130" w:lineRule="exact"/>
        <w:rPr>
          <w:sz w:val="20"/>
          <w:szCs w:val="20"/>
          <w:color w:val="auto"/>
        </w:rPr>
      </w:pPr>
    </w:p>
    <w:p>
      <w:pPr>
        <w:ind w:right="20" w:firstLine="470"/>
        <w:spacing w:after="0" w:line="275" w:lineRule="auto"/>
        <w:rPr>
          <w:sz w:val="20"/>
          <w:szCs w:val="20"/>
          <w:color w:val="auto"/>
        </w:rPr>
      </w:pPr>
      <w:r>
        <w:rPr>
          <w:rFonts w:ascii="Arial" w:cs="Arial" w:eastAsia="Arial" w:hAnsi="Arial"/>
          <w:sz w:val="16"/>
          <w:szCs w:val="16"/>
          <w:color w:val="auto"/>
        </w:rPr>
        <w:t>Some of the foreign data protection laws, including, without limitation, the GDPR, may restrict the cross-border transfer of personal data, such as transfers of data to the United States from the E.E.A and Switzerland.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absent appropriate safeguards or other circumstances, the GDPR generally restricts the transfer of personal data to countries outside of the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Standard Contractual Clauses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United Kingdom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28"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In addition to the GDPR, other European legislative proposals and present laws and regulations apply to cookies and similar tracking technologies, electronic communications, and marketing. In the E.E.A. and the United Kingdom, regulators are increasingly focusing on compliance with requirements related to the online behavioral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marketing activities, divert the attention of our technology personnel, adversely affect our margins, and subject us to liabilities.</w:t>
      </w:r>
    </w:p>
    <w:p>
      <w:pPr>
        <w:spacing w:after="0" w:line="114" w:lineRule="exact"/>
        <w:rPr>
          <w:sz w:val="20"/>
          <w:szCs w:val="20"/>
          <w:color w:val="auto"/>
        </w:rPr>
      </w:pPr>
    </w:p>
    <w:p>
      <w:pPr>
        <w:ind w:right="240" w:firstLine="470"/>
        <w:spacing w:after="0" w:line="288" w:lineRule="auto"/>
        <w:rPr>
          <w:sz w:val="20"/>
          <w:szCs w:val="20"/>
          <w:color w:val="auto"/>
        </w:rPr>
      </w:pPr>
      <w:r>
        <w:rPr>
          <w:rFonts w:ascii="Arial" w:cs="Arial" w:eastAsia="Arial" w:hAnsi="Arial"/>
          <w:sz w:val="16"/>
          <w:szCs w:val="16"/>
          <w:color w:val="auto"/>
        </w:rPr>
        <w:t>In addition, because data security and privacy are critical competitive factors in our industry, we publish privacy policies and other documentation regarding our collection, processing, use and disclosure of personal data and/or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w:t>
      </w:r>
    </w:p>
    <w:p>
      <w:pPr>
        <w:spacing w:after="0" w:line="25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policies, certifications and documentation. The publication of our privacy policies and other documentation that provide promises and assurances about data security and privacy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14"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Because the interpretation and application of privacy and data protection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the failure, or perceived failure, to comply with applicable privacy or data protection laws, regulations and other actual or alleged obligations, could result in additional cost and liability to us, damage our reputation, inhibit sales and adversely affect our business.</w:t>
      </w:r>
    </w:p>
    <w:p>
      <w:pPr>
        <w:spacing w:after="0" w:line="129"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19"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06"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Market opportunity estimates and growth forecasts included in this Form 10-K are subject to significant uncertainty and are based on third-party assumptions and estimates that may not prove to be accurate. The market in which we compete may not meet the size estimates and may not achieve the growth forecast referenced in this Form 10-K. Even if the market in which we compete meets the size estimates and the growth forecast referenced in this Form 10-K, our business could fail to grow at similar rates, if at all, for a variety of reasons, which would adversely affect our results of operations.</w:t>
      </w:r>
    </w:p>
    <w:p>
      <w:pPr>
        <w:spacing w:after="0" w:line="110"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06" w:lineRule="exact"/>
        <w:rPr>
          <w:sz w:val="20"/>
          <w:szCs w:val="20"/>
          <w:color w:val="auto"/>
        </w:rPr>
      </w:pPr>
    </w:p>
    <w:p>
      <w:pPr>
        <w:ind w:right="40" w:firstLine="470"/>
        <w:spacing w:after="0" w:line="297" w:lineRule="auto"/>
        <w:rPr>
          <w:sz w:val="20"/>
          <w:szCs w:val="20"/>
          <w:color w:val="auto"/>
        </w:rPr>
      </w:pPr>
      <w:r>
        <w:rPr>
          <w:rFonts w:ascii="Arial" w:cs="Arial" w:eastAsia="Arial" w:hAnsi="Arial"/>
          <w:sz w:val="15"/>
          <w:szCs w:val="15"/>
          <w:color w:val="auto"/>
        </w:rPr>
        <w:t>Our success and ability to compete depend in part upon our intellectual property rights. As of January 31, 2022, we had 52 issued patents and 36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05"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2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6" w:lineRule="exact"/>
        <w:rPr>
          <w:sz w:val="20"/>
          <w:szCs w:val="20"/>
          <w:color w:val="auto"/>
        </w:rPr>
      </w:pPr>
    </w:p>
    <w:p>
      <w:pPr>
        <w:ind w:right="60" w:firstLine="470"/>
        <w:spacing w:after="0" w:line="304" w:lineRule="auto"/>
        <w:rPr>
          <w:sz w:val="20"/>
          <w:szCs w:val="20"/>
          <w:color w:val="auto"/>
        </w:rPr>
      </w:pPr>
      <w:r>
        <w:rPr>
          <w:rFonts w:ascii="Arial" w:cs="Arial" w:eastAsia="Arial" w:hAnsi="Arial"/>
          <w:sz w:val="15"/>
          <w:szCs w:val="15"/>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“Part I, Item 3, Legal Proceedings, of this Form 10-K.”</w:t>
      </w:r>
    </w:p>
    <w:p>
      <w:pPr>
        <w:spacing w:after="0" w:line="101"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193"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9"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6" w:lineRule="exact"/>
        <w:rPr>
          <w:sz w:val="20"/>
          <w:szCs w:val="20"/>
          <w:color w:val="auto"/>
        </w:rPr>
      </w:pPr>
    </w:p>
    <w:p>
      <w:pPr>
        <w:jc w:val="both"/>
        <w:ind w:right="200" w:firstLine="470"/>
        <w:spacing w:after="0" w:line="296" w:lineRule="auto"/>
        <w:rPr>
          <w:sz w:val="20"/>
          <w:szCs w:val="20"/>
          <w:color w:val="auto"/>
        </w:rPr>
      </w:pPr>
      <w:r>
        <w:rPr>
          <w:rFonts w:ascii="Arial" w:cs="Arial" w:eastAsia="Arial" w:hAnsi="Arial"/>
          <w:sz w:val="15"/>
          <w:szCs w:val="15"/>
          <w:color w:val="auto"/>
        </w:rPr>
        <w:t>We outsource substantially all of the infrastructure relating to MongoDB Atlas across AWS, Microsoft Azure and GCP to host our cloud offering. If the hosting of MongoDB Atlas gets disrupted for any reason, our business would be negatively impacted. Customers of MongoDB Atlas need to be able to access our platform at any time, without interruption or degradation of performance and we provide them with service level commitments with respect to uptime.</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w:t>
      </w:r>
    </w:p>
    <w:p>
      <w:pPr>
        <w:spacing w:after="0" w:line="27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14"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b w:val="1"/>
          <w:bCs w:val="1"/>
          <w:i w:val="1"/>
          <w:iCs w:val="1"/>
          <w:color w:val="auto"/>
        </w:rPr>
        <w:t>Interruptions or performance problems associated with our technology and infrastructure may adversely affect our business, results of operations and financial condition.</w:t>
      </w:r>
    </w:p>
    <w:p>
      <w:pPr>
        <w:spacing w:after="0" w:line="1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29"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6"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18" w:lineRule="exact"/>
        <w:rPr>
          <w:sz w:val="20"/>
          <w:szCs w:val="20"/>
          <w:color w:val="auto"/>
        </w:rPr>
      </w:pPr>
    </w:p>
    <w:p>
      <w:pPr>
        <w:ind w:right="120" w:firstLine="470"/>
        <w:spacing w:after="0" w:line="28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70" w:lineRule="exact"/>
        <w:rPr>
          <w:sz w:val="20"/>
          <w:szCs w:val="20"/>
          <w:color w:val="auto"/>
        </w:rPr>
      </w:pPr>
    </w:p>
    <w:p>
      <w:pPr>
        <w:ind w:right="160" w:firstLine="470"/>
        <w:spacing w:after="0" w:line="304" w:lineRule="auto"/>
        <w:rPr>
          <w:sz w:val="20"/>
          <w:szCs w:val="20"/>
          <w:color w:val="auto"/>
        </w:rPr>
      </w:pPr>
      <w:r>
        <w:rPr>
          <w:rFonts w:ascii="Arial" w:cs="Arial" w:eastAsia="Arial" w:hAnsi="Arial"/>
          <w:sz w:val="15"/>
          <w:szCs w:val="15"/>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4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line="358"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60"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3"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26" w:lineRule="exact"/>
        <w:rPr>
          <w:sz w:val="20"/>
          <w:szCs w:val="20"/>
          <w:color w:val="auto"/>
        </w:rPr>
      </w:pPr>
    </w:p>
    <w:p>
      <w:pPr>
        <w:ind w:right="280" w:firstLine="470"/>
        <w:spacing w:after="0" w:line="321" w:lineRule="auto"/>
        <w:rPr>
          <w:sz w:val="20"/>
          <w:szCs w:val="20"/>
          <w:color w:val="auto"/>
        </w:rPr>
      </w:pPr>
      <w:r>
        <w:rPr>
          <w:rFonts w:ascii="Arial" w:cs="Arial" w:eastAsia="Arial" w:hAnsi="Arial"/>
          <w:sz w:val="16"/>
          <w:szCs w:val="16"/>
          <w:color w:val="auto"/>
        </w:rPr>
        <w:t>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83" w:lineRule="exact"/>
        <w:rPr>
          <w:sz w:val="20"/>
          <w:szCs w:val="20"/>
          <w:color w:val="auto"/>
        </w:rPr>
      </w:pPr>
    </w:p>
    <w:p>
      <w:pPr>
        <w:ind w:right="60" w:firstLine="470"/>
        <w:spacing w:after="0" w:line="280" w:lineRule="auto"/>
        <w:rPr>
          <w:sz w:val="20"/>
          <w:szCs w:val="20"/>
          <w:color w:val="auto"/>
        </w:rPr>
      </w:pPr>
      <w:r>
        <w:rPr>
          <w:rFonts w:ascii="Arial" w:cs="Arial" w:eastAsia="Arial" w:hAnsi="Arial"/>
          <w:sz w:val="16"/>
          <w:szCs w:val="16"/>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193"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2"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19" w:lineRule="exact"/>
        <w:rPr>
          <w:sz w:val="20"/>
          <w:szCs w:val="20"/>
          <w:color w:val="auto"/>
        </w:rPr>
      </w:pPr>
    </w:p>
    <w:p>
      <w:pPr>
        <w:jc w:val="both"/>
        <w:ind w:right="180" w:firstLine="470"/>
        <w:spacing w:after="0" w:line="272" w:lineRule="auto"/>
        <w:rPr>
          <w:sz w:val="20"/>
          <w:szCs w:val="20"/>
          <w:color w:val="auto"/>
        </w:rPr>
      </w:pPr>
      <w:r>
        <w:rPr>
          <w:rFonts w:ascii="Arial" w:cs="Arial" w:eastAsia="Arial" w:hAnsi="Arial"/>
          <w:sz w:val="17"/>
          <w:szCs w:val="17"/>
          <w:color w:val="auto"/>
        </w:rPr>
        <w:t>We believe that our culture has been and will continue to be a key contributor to our success. From January 31, 2017 to January 31, 2022, we increased the size of our workforce by 2,831 employees and we expect to continue to hire aggressively as we expand, especially research and development and sales and marketing personnel. Such substantial headcount growth may result in a change to our corporate culture.</w:t>
      </w:r>
    </w:p>
    <w:p>
      <w:pPr>
        <w:spacing w:after="0" w:line="119"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leadership team also plays a key role in our corporate culture. We recently hired a Chief Technology Officer, a Chief People Officer and a Chief Marketing Officer, and we may also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ongoing COVID-19 pandemic.</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If we do not continue to maintain and develop our corporate culture, we may be unable to executive effectively and foster the innovation, creativity and entrepreneurial spirit we believe we need to support our growth, which could harm our business.</w:t>
      </w:r>
    </w:p>
    <w:p>
      <w:pPr>
        <w:spacing w:after="0" w:line="106"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6" w:lineRule="exact"/>
        <w:rPr>
          <w:sz w:val="20"/>
          <w:szCs w:val="20"/>
          <w:color w:val="auto"/>
        </w:rPr>
      </w:pPr>
    </w:p>
    <w:p>
      <w:pPr>
        <w:ind w:right="80" w:firstLine="470"/>
        <w:spacing w:after="0" w:line="284"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14"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b w:val="1"/>
          <w:bCs w:val="1"/>
          <w:i w:val="1"/>
          <w:iCs w:val="1"/>
          <w:color w:val="auto"/>
        </w:rPr>
        <w:t>Indemnity provisions in various agreements potentially expose us to substantial liability for data breaches, intellectual property infringement and other losses.</w:t>
      </w:r>
    </w:p>
    <w:p>
      <w:pPr>
        <w:spacing w:after="0" w:line="106" w:lineRule="exact"/>
        <w:rPr>
          <w:sz w:val="20"/>
          <w:szCs w:val="20"/>
          <w:color w:val="auto"/>
        </w:rPr>
      </w:pPr>
    </w:p>
    <w:p>
      <w:pPr>
        <w:ind w:right="140" w:firstLine="470"/>
        <w:spacing w:after="0" w:line="263" w:lineRule="auto"/>
        <w:rPr>
          <w:sz w:val="20"/>
          <w:szCs w:val="20"/>
          <w:color w:val="auto"/>
        </w:rPr>
      </w:pPr>
      <w:r>
        <w:rPr>
          <w:rFonts w:ascii="Arial" w:cs="Arial" w:eastAsia="Arial" w:hAnsi="Arial"/>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breaches,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6"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06"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In the fiscal years ended January 31, 2022, 2021 and 2020, total revenue generated from customers outside the United States was 46%, 44% and 41%,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2" w:lineRule="exact"/>
        <w:rPr>
          <w:sz w:val="20"/>
          <w:szCs w:val="20"/>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conditions;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adapt and localize our products for specific countries;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difficulty collecting accounts receivable and longer payment cycles;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unexpected changes in laws, regulatory requirements, taxes or trade laws;</w:t>
      </w:r>
    </w:p>
    <w:p>
      <w:pPr>
        <w:spacing w:after="0" w:line="118" w:lineRule="exact"/>
        <w:rPr>
          <w:rFonts w:ascii="Arial" w:cs="Arial" w:eastAsia="Arial" w:hAnsi="Arial"/>
          <w:sz w:val="17"/>
          <w:szCs w:val="17"/>
          <w:color w:val="auto"/>
        </w:rPr>
      </w:pPr>
    </w:p>
    <w:p>
      <w:pPr>
        <w:ind w:left="940" w:right="560" w:hanging="465"/>
        <w:spacing w:after="0" w:line="321" w:lineRule="auto"/>
        <w:tabs>
          <w:tab w:leader="none" w:pos="9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shelter-in-place, occupancy limitations or similar orders, private travel limitation, or business disruption in regions affecting our operations, stemming from actual, imminent or perceived outbreak of contagious disease, including the ongoing COVID-19 pandemic;</w:t>
      </w:r>
    </w:p>
    <w:p>
      <w:pPr>
        <w:spacing w:after="0" w:line="30" w:lineRule="exact"/>
        <w:rPr>
          <w:rFonts w:ascii="Arial" w:cs="Arial" w:eastAsia="Arial" w:hAnsi="Arial"/>
          <w:sz w:val="16"/>
          <w:szCs w:val="16"/>
          <w:color w:val="auto"/>
        </w:rPr>
      </w:pPr>
    </w:p>
    <w:p>
      <w:pPr>
        <w:ind w:left="940" w:right="82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more stringent regulations relating to privacy and data security and the unauthorized use of, or access to, commercial and personal data, particularly in EMEA;</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Arial" w:cs="Arial" w:eastAsia="Arial" w:hAnsi="Arial"/>
          <w:sz w:val="17"/>
          <w:szCs w:val="17"/>
          <w:color w:val="auto"/>
        </w:rPr>
      </w:pPr>
    </w:p>
    <w:p>
      <w:pPr>
        <w:ind w:left="940" w:right="22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challenges inherent in efficiently managing an increased number of employees over large geographic distances, including the need to implement appropriate systems, policies, benefits and compliance programs;</w:t>
      </w:r>
    </w:p>
    <w:p>
      <w:pPr>
        <w:spacing w:after="0" w:line="19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right="560" w:hanging="465"/>
        <w:spacing w:after="0" w:line="28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managing a business in new markets with diverse cultures, languages, customs, legal systems, alternative dispute systems and regulatory systems;</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costs associated with international operations, including travel, real estate, infrastructure and legal compliance costs;</w:t>
      </w:r>
    </w:p>
    <w:p>
      <w:pPr>
        <w:spacing w:after="0" w:line="118" w:lineRule="exact"/>
        <w:rPr>
          <w:rFonts w:ascii="Arial" w:cs="Arial" w:eastAsia="Arial" w:hAnsi="Arial"/>
          <w:sz w:val="17"/>
          <w:szCs w:val="17"/>
          <w:color w:val="auto"/>
        </w:rPr>
      </w:pPr>
    </w:p>
    <w:p>
      <w:pPr>
        <w:ind w:left="940" w:right="40" w:hanging="465"/>
        <w:spacing w:after="0" w:line="28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effect of other economic factors, including inflation, pricing and currency devaluation;</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laws and business practices favoring local competitors or general preferences for local vendors;</w:t>
      </w:r>
    </w:p>
    <w:p>
      <w:pPr>
        <w:spacing w:after="0" w:line="118" w:lineRule="exact"/>
        <w:rPr>
          <w:rFonts w:ascii="Arial" w:cs="Arial" w:eastAsia="Arial" w:hAnsi="Arial"/>
          <w:sz w:val="17"/>
          <w:szCs w:val="17"/>
          <w:color w:val="auto"/>
        </w:rPr>
      </w:pPr>
    </w:p>
    <w:p>
      <w:pPr>
        <w:ind w:left="940" w:right="980" w:hanging="465"/>
        <w:spacing w:after="0" w:line="28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limited or insufficient intellectual property protection or difficulties enforcing our intellectual property;</w:t>
      </w:r>
    </w:p>
    <w:p>
      <w:pPr>
        <w:spacing w:after="0" w:line="105" w:lineRule="exact"/>
        <w:rPr>
          <w:rFonts w:ascii="Arial" w:cs="Arial" w:eastAsia="Arial" w:hAnsi="Arial"/>
          <w:sz w:val="17"/>
          <w:szCs w:val="17"/>
          <w:color w:val="auto"/>
        </w:rPr>
      </w:pPr>
    </w:p>
    <w:p>
      <w:pPr>
        <w:ind w:left="940" w:right="400" w:hanging="465"/>
        <w:spacing w:after="0" w:line="235"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political instability, social unrest, terrorist activities, acts of civil or international hostility, such as the current military conflict and escalating tensions between Russia and Ukraine, natural disasters or regional or global outbreaks of contagious diseases, such as the ongoing COVID-19 pandemic;</w:t>
      </w:r>
    </w:p>
    <w:p>
      <w:pPr>
        <w:spacing w:after="0" w:line="1" w:lineRule="exact"/>
        <w:rPr>
          <w:rFonts w:ascii="Arial" w:cs="Arial" w:eastAsia="Arial" w:hAnsi="Arial"/>
          <w:sz w:val="17"/>
          <w:szCs w:val="17"/>
          <w:color w:val="auto"/>
        </w:rPr>
      </w:pPr>
    </w:p>
    <w:p>
      <w:pPr>
        <w:ind w:left="940" w:right="200" w:hanging="465"/>
        <w:spacing w:after="0" w:line="271"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exposure to liabilities under anti-corruption and anti-money laundering laws, including the U.S. Foreign Corrupt Practices Act, U.K. Bribery Act and similar laws and regulations in other jurisdictions; and</w:t>
      </w:r>
    </w:p>
    <w:p>
      <w:pPr>
        <w:spacing w:after="0" w:line="67" w:lineRule="exact"/>
        <w:rPr>
          <w:rFonts w:ascii="Arial" w:cs="Arial" w:eastAsia="Arial" w:hAnsi="Arial"/>
          <w:sz w:val="17"/>
          <w:szCs w:val="17"/>
          <w:color w:val="auto"/>
        </w:rPr>
      </w:pPr>
    </w:p>
    <w:p>
      <w:pPr>
        <w:ind w:left="940" w:hanging="465"/>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tax burdens and foreign exchange controls that could make it difficult to repatriate earnings and cash.</w:t>
      </w:r>
    </w:p>
    <w:p>
      <w:pPr>
        <w:spacing w:after="0" w:line="17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9"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83"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8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6"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4" w:lineRule="exact"/>
        <w:rPr>
          <w:sz w:val="20"/>
          <w:szCs w:val="20"/>
          <w:color w:val="auto"/>
        </w:rPr>
      </w:pPr>
    </w:p>
    <w:p>
      <w:pPr>
        <w:ind w:right="220" w:firstLine="470"/>
        <w:spacing w:after="0" w:line="26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6"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6" w:lineRule="exact"/>
        <w:rPr>
          <w:sz w:val="20"/>
          <w:szCs w:val="20"/>
          <w:color w:val="auto"/>
        </w:rPr>
      </w:pPr>
    </w:p>
    <w:p>
      <w:pPr>
        <w:ind w:firstLine="470"/>
        <w:spacing w:after="0" w:line="298"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0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83"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23"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On November 1, 2018, we acquired ObjectLabs Corporation (“mLab”), a privately held company, headquartered in San Francisco, California, that offers cloud database services. On May 7, 2019, we acquired Tightdb, Inc. (“Realm”), a privately held mobile database company. The risks we face in connection with these and any future acquisitions include:</w:t>
      </w:r>
    </w:p>
    <w:p>
      <w:pPr>
        <w:spacing w:after="0" w:line="119" w:lineRule="exact"/>
        <w:rPr>
          <w:sz w:val="20"/>
          <w:szCs w:val="20"/>
          <w:color w:val="auto"/>
        </w:rPr>
      </w:pPr>
    </w:p>
    <w:p>
      <w:pPr>
        <w:ind w:left="940" w:right="260" w:hanging="465"/>
        <w:spacing w:after="0" w:line="267"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1" w:lineRule="exact"/>
        <w:rPr>
          <w:rFonts w:ascii="Arial" w:cs="Arial" w:eastAsia="Arial" w:hAnsi="Arial"/>
          <w:sz w:val="17"/>
          <w:szCs w:val="17"/>
          <w:color w:val="auto"/>
        </w:rPr>
      </w:pPr>
    </w:p>
    <w:p>
      <w:pPr>
        <w:ind w:left="940" w:right="560" w:hanging="465"/>
        <w:spacing w:after="0" w:line="288"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9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be able to realize anticipated synergies;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118" w:lineRule="exact"/>
        <w:rPr>
          <w:rFonts w:ascii="Arial" w:cs="Arial" w:eastAsia="Arial" w:hAnsi="Arial"/>
          <w:sz w:val="17"/>
          <w:szCs w:val="17"/>
          <w:color w:val="auto"/>
        </w:rPr>
      </w:pPr>
    </w:p>
    <w:p>
      <w:pPr>
        <w:ind w:left="940" w:right="240" w:hanging="465"/>
        <w:spacing w:after="0" w:line="272"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Arial" w:cs="Arial" w:eastAsia="Arial" w:hAnsi="Arial"/>
          <w:sz w:val="17"/>
          <w:szCs w:val="17"/>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encounter challenges integrating the employees of the acquired company into our company culture;</w:t>
      </w:r>
    </w:p>
    <w:p>
      <w:pPr>
        <w:spacing w:after="0" w:line="118" w:lineRule="exact"/>
        <w:rPr>
          <w:rFonts w:ascii="Arial" w:cs="Arial" w:eastAsia="Arial" w:hAnsi="Arial"/>
          <w:sz w:val="17"/>
          <w:szCs w:val="17"/>
          <w:color w:val="auto"/>
        </w:rPr>
      </w:pPr>
    </w:p>
    <w:p>
      <w:pPr>
        <w:ind w:left="940" w:right="40" w:hanging="465"/>
        <w:spacing w:after="0" w:line="288"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Arial" w:cs="Arial" w:eastAsia="Arial" w:hAnsi="Arial"/>
          <w:sz w:val="17"/>
          <w:szCs w:val="17"/>
          <w:color w:val="auto"/>
        </w:rPr>
      </w:pPr>
    </w:p>
    <w:p>
      <w:pPr>
        <w:ind w:left="940" w:right="360" w:hanging="465"/>
        <w:spacing w:after="0" w:line="288"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unable to successfully sell any acquired products or increase adoption or usage of acquired products, or increase spend by acquired customers;</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use of cash to pay for acquisitions would limit other potential uses for our cash;</w:t>
      </w:r>
    </w:p>
    <w:p>
      <w:pPr>
        <w:spacing w:after="0" w:line="118" w:lineRule="exact"/>
        <w:rPr>
          <w:rFonts w:ascii="Arial" w:cs="Arial" w:eastAsia="Arial" w:hAnsi="Arial"/>
          <w:sz w:val="17"/>
          <w:szCs w:val="17"/>
          <w:color w:val="auto"/>
        </w:rPr>
      </w:pPr>
    </w:p>
    <w:p>
      <w:pPr>
        <w:ind w:left="940" w:right="620" w:hanging="465"/>
        <w:spacing w:after="0" w:line="288"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incur debt to fund any acquisitions, such debt may subject us to material restrictions on our ability to conduct our business, including financial maintenance covenants; and</w:t>
      </w:r>
    </w:p>
    <w:p>
      <w:pPr>
        <w:spacing w:after="0" w:line="53" w:lineRule="exact"/>
        <w:rPr>
          <w:rFonts w:ascii="Arial" w:cs="Arial" w:eastAsia="Arial" w:hAnsi="Arial"/>
          <w:sz w:val="17"/>
          <w:szCs w:val="17"/>
          <w:color w:val="auto"/>
        </w:rPr>
      </w:pPr>
    </w:p>
    <w:p>
      <w:pPr>
        <w:ind w:left="940" w:right="180" w:hanging="465"/>
        <w:spacing w:after="0" w:line="288"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issue a significant amount of equity securities in connection with future acquisitions, existing stockholders may be diluted and earnings per share may decrease.</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occurrence of any of these risks could have an adverse effect on our business, results of operations and financial condition.</w:t>
      </w:r>
    </w:p>
    <w:p>
      <w:pPr>
        <w:spacing w:after="0" w:line="170"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6" w:lineRule="exact"/>
        <w:rPr>
          <w:sz w:val="20"/>
          <w:szCs w:val="20"/>
          <w:color w:val="auto"/>
        </w:rPr>
      </w:pPr>
    </w:p>
    <w:p>
      <w:pPr>
        <w:ind w:right="280" w:firstLine="470"/>
        <w:spacing w:after="0" w:line="297" w:lineRule="auto"/>
        <w:rPr>
          <w:sz w:val="20"/>
          <w:szCs w:val="20"/>
          <w:color w:val="auto"/>
        </w:rPr>
      </w:pPr>
      <w:r>
        <w:rPr>
          <w:rFonts w:ascii="Arial" w:cs="Arial" w:eastAsia="Arial" w:hAnsi="Arial"/>
          <w:sz w:val="16"/>
          <w:szCs w:val="16"/>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01"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record all fair value adjustments of our non-marketable securities through the consolidated statement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82"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w:t>
      </w:r>
    </w:p>
    <w:p>
      <w:pPr>
        <w:spacing w:after="0" w:line="28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93" w:lineRule="exact"/>
        <w:rPr>
          <w:sz w:val="20"/>
          <w:szCs w:val="20"/>
          <w:color w:val="auto"/>
        </w:rPr>
      </w:pPr>
    </w:p>
    <w:p>
      <w:pPr>
        <w:ind w:right="40" w:firstLine="470"/>
        <w:spacing w:after="0" w:line="277" w:lineRule="auto"/>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 the Notes to Consolidated Financial Statements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21"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6" w:lineRule="exact"/>
        <w:rPr>
          <w:sz w:val="20"/>
          <w:szCs w:val="20"/>
          <w:color w:val="auto"/>
        </w:rPr>
      </w:pPr>
    </w:p>
    <w:p>
      <w:pPr>
        <w:ind w:right="60" w:firstLine="470"/>
        <w:spacing w:after="0" w:line="324"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8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2"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w:t>
      </w: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23"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3"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6"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6" w:lineRule="exact"/>
        <w:rPr>
          <w:sz w:val="20"/>
          <w:szCs w:val="20"/>
          <w:color w:val="auto"/>
        </w:rPr>
      </w:pPr>
    </w:p>
    <w:p>
      <w:pPr>
        <w:ind w:right="180" w:firstLine="470"/>
        <w:spacing w:after="0" w:line="26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both the COVID-19 pandemic and new flexible work policies have increased and are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29"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7" w:lineRule="exact"/>
        <w:rPr>
          <w:sz w:val="20"/>
          <w:szCs w:val="20"/>
          <w:color w:val="auto"/>
        </w:rPr>
      </w:pPr>
    </w:p>
    <w:p>
      <w:pPr>
        <w:ind w:right="460" w:firstLine="470"/>
        <w:spacing w:after="0" w:line="288" w:lineRule="auto"/>
        <w:rPr>
          <w:sz w:val="20"/>
          <w:szCs w:val="20"/>
          <w:color w:val="auto"/>
        </w:rPr>
      </w:pPr>
      <w:r>
        <w:rPr>
          <w:rFonts w:ascii="Arial" w:cs="Arial" w:eastAsia="Arial" w:hAnsi="Arial"/>
          <w:sz w:val="17"/>
          <w:szCs w:val="17"/>
          <w:color w:val="auto"/>
        </w:rPr>
        <w:t>Potential tax reform in the United States may result in significant changes to U.S. federal income taxation law, including changes to the U.S. federal income taxation of corporations (including ours) and/or changes to the U.S. federal</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income taxation of stockholders in U.S. corporations, including investors in our common stock. For example, the Tax Cuts and Jobs Act of 2017 (the “Act”) was enacted on December 22, 2017 and significantly revised the U.S. corporate income tax law. Furthermore, on October 28, 2021, the House Rules Committee, under the Biden Administration released the new proposed tax legislation under the “Build Back Better Act” (“BBBA”) highlighting potential reversal and revision of key provisions of the Act. As the BBBA is only proposed legislation, and has not yet been passed by Congress and enacted into law, we have not yet determined the impact on our effective tax rate, though we continue to monitor the progression of the Biden Administration’s proposals. We are currently unable to predict whether any future changes will occur and, if so, the impact of such changes, including on the U.S. federal income tax considerations relating to the purchase, ownership and disposition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to offset future taxable income may be subject to certain limitations.</w:t>
      </w:r>
    </w:p>
    <w:p>
      <w:pPr>
        <w:spacing w:after="0" w:line="170"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As of January 31, 2022, we had net operating loss (“NOL”) carryforwards for U.S. federal and state, Irish and U.K. income tax purposes of approximately $1.9 billion, $1.7 billion, $558.4 million and $44.1 million, respectively, which begin to expire in the year ending January 31, 2028 for U.S. federal purposes and January 31, 2023 for state purposes. Operating losses in the United States, for years after January 31, 2018, in Ireland and the U.K. may be carried forward indefinitely. A lack of future taxable income would adversely affect our ability to utilize these net operating losses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30"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6"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83"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6"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6" w:lineRule="exact"/>
        <w:rPr>
          <w:sz w:val="20"/>
          <w:szCs w:val="20"/>
          <w:color w:val="auto"/>
        </w:rPr>
      </w:pPr>
    </w:p>
    <w:p>
      <w:pPr>
        <w:ind w:right="200" w:firstLine="470"/>
        <w:spacing w:after="0" w:line="321" w:lineRule="auto"/>
        <w:rPr>
          <w:sz w:val="20"/>
          <w:szCs w:val="20"/>
          <w:color w:val="auto"/>
        </w:rPr>
      </w:pPr>
      <w:r>
        <w:rPr>
          <w:rFonts w:ascii="Arial" w:cs="Arial" w:eastAsia="Arial" w:hAnsi="Arial"/>
          <w:sz w:val="16"/>
          <w:szCs w:val="16"/>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83"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7" w:lineRule="exact"/>
        <w:rPr>
          <w:sz w:val="20"/>
          <w:szCs w:val="20"/>
          <w:color w:val="auto"/>
        </w:rPr>
      </w:pPr>
    </w:p>
    <w:p>
      <w:pPr>
        <w:ind w:right="260" w:firstLine="470"/>
        <w:spacing w:after="0" w:line="272" w:lineRule="auto"/>
        <w:rPr>
          <w:sz w:val="20"/>
          <w:szCs w:val="20"/>
          <w:color w:val="auto"/>
        </w:rPr>
      </w:pPr>
      <w:r>
        <w:rPr>
          <w:rFonts w:ascii="Arial" w:cs="Arial" w:eastAsia="Arial" w:hAnsi="Arial"/>
          <w:sz w:val="17"/>
          <w:szCs w:val="17"/>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agreements. Complying with export control and sanctions regulations for a particular sale may be time-consuming and may result in the delay or loss of sales opportunities.</w:t>
      </w:r>
    </w:p>
    <w:p>
      <w:pPr>
        <w:spacing w:after="0" w:line="106"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1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19"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Our business is subject to the risks of earthquakes, fire, floods and other natural catastrophic events and to interruption by man-made problems such as power disruptions, computer viruses, Security Breaches or terrorism.</w:t>
      </w:r>
    </w:p>
    <w:p>
      <w:pPr>
        <w:spacing w:after="0" w:line="106" w:lineRule="exact"/>
        <w:rPr>
          <w:sz w:val="20"/>
          <w:szCs w:val="20"/>
          <w:color w:val="auto"/>
        </w:rPr>
      </w:pPr>
    </w:p>
    <w:p>
      <w:pPr>
        <w:ind w:right="40" w:firstLine="470"/>
        <w:spacing w:after="0" w:line="277" w:lineRule="auto"/>
        <w:rPr>
          <w:sz w:val="20"/>
          <w:szCs w:val="20"/>
          <w:color w:val="auto"/>
        </w:rPr>
      </w:pPr>
      <w:r>
        <w:rPr>
          <w:rFonts w:ascii="Arial" w:cs="Arial" w:eastAsia="Arial" w:hAnsi="Arial"/>
          <w:sz w:val="16"/>
          <w:szCs w:val="16"/>
          <w:color w:val="auto"/>
        </w:rPr>
        <w:t>As of January 31, 2022, we have customers in over 100 countries and employees in over 25 countries. A significant natural disaster or man-made problem, such as an earthquake, fire, flood, an act of terrorism, the regional or global outbreak of a contagious disease, such as the ongoing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extent to which the ongoing COVID-19 pandemic may continue to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21" w:lineRule="exact"/>
        <w:rPr>
          <w:sz w:val="20"/>
          <w:szCs w:val="20"/>
          <w:color w:val="auto"/>
        </w:rPr>
      </w:pPr>
    </w:p>
    <w:p>
      <w:pPr>
        <w:ind w:right="300" w:firstLine="470"/>
        <w:spacing w:after="0" w:line="267" w:lineRule="auto"/>
        <w:rPr>
          <w:sz w:val="20"/>
          <w:szCs w:val="20"/>
          <w:color w:val="auto"/>
        </w:rPr>
      </w:pPr>
      <w:r>
        <w:rPr>
          <w:rFonts w:ascii="Arial" w:cs="Arial" w:eastAsia="Arial" w:hAnsi="Arial"/>
          <w:sz w:val="17"/>
          <w:szCs w:val="17"/>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common stock has been and is likely to continue to be volatile, which could cause the value of our common stock to decline.</w:t>
      </w:r>
    </w:p>
    <w:p>
      <w:pPr>
        <w:spacing w:after="0" w:line="193" w:lineRule="exact"/>
        <w:rPr>
          <w:sz w:val="20"/>
          <w:szCs w:val="20"/>
          <w:color w:val="auto"/>
        </w:rPr>
      </w:pPr>
    </w:p>
    <w:p>
      <w:pPr>
        <w:ind w:right="480" w:firstLine="470"/>
        <w:spacing w:after="0" w:line="288" w:lineRule="auto"/>
        <w:rPr>
          <w:sz w:val="20"/>
          <w:szCs w:val="20"/>
          <w:color w:val="auto"/>
        </w:rPr>
      </w:pPr>
      <w:r>
        <w:rPr>
          <w:rFonts w:ascii="Arial" w:cs="Arial" w:eastAsia="Arial" w:hAnsi="Arial"/>
          <w:sz w:val="17"/>
          <w:szCs w:val="17"/>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6" w:lineRule="exact"/>
        <w:rPr>
          <w:sz w:val="20"/>
          <w:szCs w:val="20"/>
          <w:color w:val="auto"/>
        </w:rPr>
      </w:pPr>
    </w:p>
    <w:p>
      <w:pPr>
        <w:ind w:left="940" w:hanging="46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new products or technologies, commercial relationships, acquisitions or other events by us or our competitors;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how customers perceive the benefits of our product and future product offerings and releases;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departures of key personnel;</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large blocks of our common stock;</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changes or fluctuations in our results of operations;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our results of operations meet the expectations of securities analysts or investors;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actual or future expectations of investors or securities analysts;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 data breach involving our software;</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litigation involving us, our industry, or both;</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developments in the United States, foreign countries or both;</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economic conditions and trends;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major catastrophic events in our domestic and foreign markets; and</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“flash crashes,” “freeze flashes” or other glitches that disrupt trading on the securities exchange on which we are listed.</w:t>
      </w:r>
    </w:p>
    <w:p>
      <w:pPr>
        <w:spacing w:after="0" w:line="170" w:lineRule="exact"/>
        <w:rPr>
          <w:sz w:val="20"/>
          <w:szCs w:val="20"/>
          <w:color w:val="auto"/>
        </w:rPr>
      </w:pPr>
    </w:p>
    <w:p>
      <w:pPr>
        <w:ind w:right="120" w:firstLine="470"/>
        <w:spacing w:after="0" w:line="282"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and future operating results, which would cause our stock price to decline.</w:t>
      </w:r>
    </w:p>
    <w:p>
      <w:pPr>
        <w:spacing w:after="0" w:line="106"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One of those key assumptions relates to the impact of the ongoing COVID-19 pandemic and the associated economic uncertainty on our business, which is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and which could adversely affect our business and future operating results. There are no comparable recent events that provide insights as to the probable effect of the ongoing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24"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and the variations may be material. In light of the foregoing, investors are urged not to rely upon our guidance in making an investment decision regarding our common stock.</w:t>
      </w:r>
    </w:p>
    <w:p>
      <w:pPr>
        <w:spacing w:after="0" w:line="106" w:lineRule="exact"/>
        <w:rPr>
          <w:sz w:val="20"/>
          <w:szCs w:val="20"/>
          <w:color w:val="auto"/>
        </w:rPr>
      </w:pPr>
    </w:p>
    <w:p>
      <w:pPr>
        <w:ind w:right="480" w:firstLine="470"/>
        <w:spacing w:after="0" w:line="358" w:lineRule="auto"/>
        <w:rPr>
          <w:sz w:val="20"/>
          <w:szCs w:val="20"/>
          <w:color w:val="auto"/>
        </w:rPr>
      </w:pPr>
      <w:r>
        <w:rPr>
          <w:rFonts w:ascii="Arial" w:cs="Arial" w:eastAsia="Arial" w:hAnsi="Arial"/>
          <w:sz w:val="15"/>
          <w:szCs w:val="15"/>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60"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equity incentive plans or otherwise will dilute all other stockholders.</w:t>
      </w:r>
    </w:p>
    <w:p>
      <w:pPr>
        <w:spacing w:after="0" w:line="106"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for the foreseeable future.</w:t>
      </w:r>
    </w:p>
    <w:p>
      <w:pPr>
        <w:spacing w:after="0" w:line="170"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20"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6"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0" w:lineRule="exact"/>
        <w:rPr>
          <w:sz w:val="20"/>
          <w:szCs w:val="20"/>
          <w:color w:val="auto"/>
        </w:rPr>
      </w:pPr>
    </w:p>
    <w:p>
      <w:pPr>
        <w:ind w:right="100" w:firstLine="470"/>
        <w:spacing w:after="0" w:line="297" w:lineRule="auto"/>
        <w:rPr>
          <w:sz w:val="20"/>
          <w:szCs w:val="20"/>
          <w:color w:val="auto"/>
        </w:rPr>
      </w:pPr>
      <w:r>
        <w:rPr>
          <w:rFonts w:ascii="Arial" w:cs="Arial" w:eastAsia="Arial" w:hAnsi="Arial"/>
          <w:sz w:val="16"/>
          <w:szCs w:val="16"/>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01"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10" w:lineRule="exact"/>
        <w:rPr>
          <w:sz w:val="20"/>
          <w:szCs w:val="20"/>
          <w:color w:val="auto"/>
        </w:rPr>
      </w:pPr>
    </w:p>
    <w:p>
      <w:pPr>
        <w:jc w:val="both"/>
        <w:ind w:right="320"/>
        <w:spacing w:after="0" w:line="297"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1" w:lineRule="exact"/>
        <w:rPr>
          <w:sz w:val="20"/>
          <w:szCs w:val="20"/>
          <w:color w:val="auto"/>
        </w:rPr>
      </w:pPr>
    </w:p>
    <w:p>
      <w:pPr>
        <w:ind w:right="660" w:firstLine="470"/>
        <w:spacing w:after="0" w:line="288"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6" w:lineRule="exact"/>
        <w:rPr>
          <w:sz w:val="20"/>
          <w:szCs w:val="20"/>
          <w:color w:val="auto"/>
        </w:rPr>
      </w:pPr>
    </w:p>
    <w:p>
      <w:pPr>
        <w:ind w:left="940" w:hanging="465"/>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118" w:lineRule="exact"/>
        <w:rPr>
          <w:rFonts w:ascii="Arial" w:cs="Arial" w:eastAsia="Arial" w:hAnsi="Arial"/>
          <w:sz w:val="17"/>
          <w:szCs w:val="17"/>
          <w:color w:val="auto"/>
        </w:rPr>
      </w:pPr>
    </w:p>
    <w:p>
      <w:pPr>
        <w:ind w:left="940" w:right="40" w:hanging="465"/>
        <w:spacing w:after="0" w:line="28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170"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Delaware law and our corporate charter and bylaws contain anti-takeover provisions that could delay or discourage takeover attempts that stockholders may consider favorable.</w:t>
      </w:r>
    </w:p>
    <w:p>
      <w:pPr>
        <w:spacing w:after="0" w:line="106" w:lineRule="exact"/>
        <w:rPr>
          <w:sz w:val="20"/>
          <w:szCs w:val="20"/>
          <w:color w:val="auto"/>
        </w:rPr>
      </w:pPr>
    </w:p>
    <w:p>
      <w:pPr>
        <w:jc w:val="both"/>
        <w:ind w:right="20" w:firstLine="470"/>
        <w:spacing w:after="0" w:line="297"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01" w:lineRule="exact"/>
        <w:rPr>
          <w:sz w:val="20"/>
          <w:szCs w:val="20"/>
          <w:color w:val="auto"/>
        </w:rPr>
      </w:pPr>
    </w:p>
    <w:p>
      <w:pPr>
        <w:ind w:left="940" w:right="50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could delay the ability of stockholders to change the membership of a majority of our Board of Directors;</w:t>
      </w:r>
    </w:p>
    <w:p>
      <w:pPr>
        <w:spacing w:after="0" w:line="53" w:lineRule="exact"/>
        <w:rPr>
          <w:rFonts w:ascii="Arial" w:cs="Arial" w:eastAsia="Arial" w:hAnsi="Arial"/>
          <w:sz w:val="17"/>
          <w:szCs w:val="17"/>
          <w:color w:val="auto"/>
        </w:rPr>
      </w:pPr>
    </w:p>
    <w:p>
      <w:pPr>
        <w:jc w:val="both"/>
        <w:ind w:left="940" w:right="560" w:hanging="465"/>
        <w:spacing w:after="0" w:line="358" w:lineRule="auto"/>
        <w:tabs>
          <w:tab w:leader="none" w:pos="93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8" w:lineRule="exact"/>
        <w:rPr>
          <w:rFonts w:ascii="Arial" w:cs="Arial" w:eastAsia="Arial" w:hAnsi="Arial"/>
          <w:sz w:val="15"/>
          <w:szCs w:val="15"/>
          <w:color w:val="auto"/>
        </w:rPr>
      </w:pPr>
    </w:p>
    <w:p>
      <w:pPr>
        <w:ind w:left="940" w:right="740" w:hanging="465"/>
        <w:spacing w:after="0" w:line="321" w:lineRule="auto"/>
        <w:tabs>
          <w:tab w:leader="none" w:pos="9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0" w:lineRule="exact"/>
        <w:rPr>
          <w:rFonts w:ascii="Arial" w:cs="Arial" w:eastAsia="Arial" w:hAnsi="Arial"/>
          <w:sz w:val="16"/>
          <w:szCs w:val="16"/>
          <w:color w:val="auto"/>
        </w:rPr>
      </w:pPr>
    </w:p>
    <w:p>
      <w:pPr>
        <w:ind w:left="940" w:right="72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53" w:lineRule="exact"/>
        <w:rPr>
          <w:rFonts w:ascii="Arial" w:cs="Arial" w:eastAsia="Arial" w:hAnsi="Arial"/>
          <w:sz w:val="17"/>
          <w:szCs w:val="17"/>
          <w:color w:val="auto"/>
        </w:rPr>
      </w:pPr>
    </w:p>
    <w:p>
      <w:pPr>
        <w:ind w:left="940" w:right="140" w:hanging="465"/>
        <w:spacing w:after="0" w:line="272"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Arial" w:cs="Arial" w:eastAsia="Arial" w:hAnsi="Arial"/>
          <w:sz w:val="17"/>
          <w:szCs w:val="17"/>
          <w:color w:val="auto"/>
        </w:rPr>
      </w:pPr>
    </w:p>
    <w:p>
      <w:pPr>
        <w:ind w:left="940" w:right="80" w:hanging="465"/>
        <w:spacing w:after="0" w:line="267"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1" w:lineRule="exact"/>
        <w:rPr>
          <w:rFonts w:ascii="Arial" w:cs="Arial" w:eastAsia="Arial" w:hAnsi="Arial"/>
          <w:sz w:val="17"/>
          <w:szCs w:val="17"/>
          <w:color w:val="auto"/>
        </w:rPr>
      </w:pPr>
    </w:p>
    <w:p>
      <w:pPr>
        <w:ind w:left="940" w:right="600" w:hanging="465"/>
        <w:spacing w:after="0" w:line="321" w:lineRule="auto"/>
        <w:tabs>
          <w:tab w:leader="none" w:pos="9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30" w:lineRule="exact"/>
        <w:rPr>
          <w:rFonts w:ascii="Arial" w:cs="Arial" w:eastAsia="Arial" w:hAnsi="Arial"/>
          <w:sz w:val="16"/>
          <w:szCs w:val="16"/>
          <w:color w:val="auto"/>
        </w:rPr>
      </w:pPr>
    </w:p>
    <w:p>
      <w:pPr>
        <w:ind w:left="940" w:right="380" w:hanging="465"/>
        <w:spacing w:after="0" w:line="28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right="20"/>
        <w:spacing w:after="0" w:line="288" w:lineRule="auto"/>
        <w:rPr>
          <w:sz w:val="20"/>
          <w:szCs w:val="20"/>
          <w:color w:val="auto"/>
        </w:rPr>
      </w:pPr>
      <w:r>
        <w:rPr>
          <w:rFonts w:ascii="Arial" w:cs="Arial" w:eastAsia="Arial" w:hAnsi="Arial"/>
          <w:sz w:val="17"/>
          <w:szCs w:val="17"/>
          <w:color w:val="auto"/>
        </w:rPr>
        <w:t>potential acquirer from conducting a solicitation of proxies to elect the acquirer’s own slate of directors or otherwise attempting to obtain control of us.</w:t>
      </w:r>
    </w:p>
    <w:p>
      <w:pPr>
        <w:spacing w:after="0" w:line="106"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Outstanding Notes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93"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3" w:lineRule="exact"/>
        <w:rPr>
          <w:sz w:val="20"/>
          <w:szCs w:val="20"/>
          <w:color w:val="auto"/>
        </w:rPr>
      </w:pPr>
    </w:p>
    <w:p>
      <w:pPr>
        <w:ind w:right="80" w:firstLine="470"/>
        <w:spacing w:after="0" w:line="278" w:lineRule="auto"/>
        <w:rPr>
          <w:sz w:val="20"/>
          <w:szCs w:val="20"/>
          <w:color w:val="auto"/>
        </w:rPr>
      </w:pPr>
      <w:r>
        <w:rPr>
          <w:rFonts w:ascii="Arial" w:cs="Arial" w:eastAsia="Arial" w:hAnsi="Arial"/>
          <w:sz w:val="16"/>
          <w:szCs w:val="16"/>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17"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170"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26" w:lineRule="exact"/>
        <w:rPr>
          <w:sz w:val="20"/>
          <w:szCs w:val="20"/>
          <w:color w:val="auto"/>
        </w:rPr>
      </w:pPr>
    </w:p>
    <w:p>
      <w:pPr>
        <w:ind w:right="40" w:firstLine="470"/>
        <w:spacing w:after="0" w:line="284" w:lineRule="auto"/>
        <w:rPr>
          <w:sz w:val="20"/>
          <w:szCs w:val="20"/>
          <w:color w:val="auto"/>
        </w:rPr>
      </w:pPr>
      <w:r>
        <w:rPr>
          <w:rFonts w:ascii="Arial" w:cs="Arial" w:eastAsia="Arial" w:hAnsi="Arial"/>
          <w:sz w:val="16"/>
          <w:szCs w:val="16"/>
          <w:color w:val="auto"/>
        </w:rPr>
        <w:t>The conditional conversion feature of the 2026 Notes was triggered during the three months ended January 31, 2022, as the last reported sale price of our common stock was more than or equal to 130% of the applicable conversion price for each series of Notes for at least 20 trading days in the period of 30 consecutive trading days ending on October 31, 2021 (the last trading day of the fiscal quarter). Therefore, the 2026 Notes are currently convertible at the option of the holders thereof, in whole or in part, from February 1, 2021 through April 30, 2021. Whether the 2026 Notes will be convertible following such fiscal quarter will depend on the continued satisfaction of this condition or another conversion condition in the future.</w:t>
      </w:r>
    </w:p>
    <w:p>
      <w:pPr>
        <w:spacing w:after="0" w:line="25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Upon conversion of the 2026 Notes, unless we elect to deliver solely shares of our common stock to settle such conversion (other than paying cash in lieu of delivering any fractional share), we will be required to make cash payments in respect of the 2026 Notes being converted, which could adversely affect our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capped call transactions may affect the value of the 2026 Notes and our common stock.</w:t>
      </w:r>
    </w:p>
    <w:p>
      <w:pPr>
        <w:spacing w:after="0" w:line="170" w:lineRule="exact"/>
        <w:rPr>
          <w:sz w:val="20"/>
          <w:szCs w:val="20"/>
          <w:color w:val="auto"/>
        </w:rPr>
      </w:pPr>
    </w:p>
    <w:p>
      <w:pPr>
        <w:ind w:right="220" w:firstLine="470"/>
        <w:spacing w:after="0" w:line="284" w:lineRule="auto"/>
        <w:rPr>
          <w:sz w:val="20"/>
          <w:szCs w:val="20"/>
          <w:color w:val="auto"/>
        </w:rPr>
      </w:pPr>
      <w:r>
        <w:rPr>
          <w:rFonts w:ascii="Arial" w:cs="Arial" w:eastAsia="Arial" w:hAnsi="Arial"/>
          <w:sz w:val="16"/>
          <w:szCs w:val="16"/>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6"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Our current principal executive office is located in New York, New York and, as of January 31, 2022, consists of approximately 106,230 square feet of space under a lease that expires in December 2029.</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lease 36 other offices around the world for our employees, including in Dublin, Palo Alto, Sydney, Gurgaon and Austin.</w:t>
      </w:r>
    </w:p>
    <w:p>
      <w:pPr>
        <w:spacing w:after="0" w:line="170" w:lineRule="exact"/>
        <w:rPr>
          <w:sz w:val="20"/>
          <w:szCs w:val="20"/>
          <w:color w:val="auto"/>
        </w:rPr>
      </w:pPr>
    </w:p>
    <w:p>
      <w:pPr>
        <w:jc w:val="both"/>
        <w:ind w:right="160" w:firstLine="470"/>
        <w:spacing w:after="0" w:line="272" w:lineRule="auto"/>
        <w:rPr>
          <w:sz w:val="20"/>
          <w:szCs w:val="20"/>
          <w:color w:val="auto"/>
        </w:rPr>
      </w:pPr>
      <w:r>
        <w:rPr>
          <w:rFonts w:ascii="Arial" w:cs="Arial" w:eastAsia="Arial" w:hAnsi="Arial"/>
          <w:sz w:val="17"/>
          <w:szCs w:val="17"/>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6"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 xml:space="preserve">The information required to be set forth under this Item 3 is incorporated by reference to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Consolidated Financial Statements included in this Annual Report on Form 10-K.</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ind w:right="2240"/>
        <w:spacing w:after="0" w:line="452"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 xml:space="preserve">Our Class A common stock is traded on The Nasdaq Global Market (the “Nasdaq”) under the symbol “MDB.” Prior to June 11, 2020, we had two classes of common stock, Class A and Class B. Our Class B Common Stock was not listed or traded on any exchange, but each share of Class B common stock was convertible at any time at the option of the holder into one share of Class A common stock. On June 11, 2020, all outstanding shares of our Class B common stock, par value $0.001 per share, automatically converted into the same number of shares of Class A common stock, par value $0.001 per share, pursuant to the terms of our Amended and Restated Certificate of Incorporation. No additional shares of Class B common stock will be issued following such conversion. Refer to Note 9, </w:t>
      </w:r>
      <w:r>
        <w:rPr>
          <w:rFonts w:ascii="Arial" w:cs="Arial" w:eastAsia="Arial" w:hAnsi="Arial"/>
          <w:sz w:val="17"/>
          <w:szCs w:val="17"/>
          <w:i w:val="1"/>
          <w:iCs w:val="1"/>
          <w:color w:val="auto"/>
        </w:rPr>
        <w:t>Stockholders’ Equity (Deficit)</w:t>
      </w:r>
      <w:r>
        <w:rPr>
          <w:rFonts w:ascii="Arial" w:cs="Arial" w:eastAsia="Arial" w:hAnsi="Arial"/>
          <w:sz w:val="17"/>
          <w:szCs w:val="17"/>
          <w:color w:val="auto"/>
        </w:rPr>
        <w:t>, in the Notes to Consolidated Financial Statements included in Part II, Item 8, Financial Statements, of this Form 10-K for a discussion of our conversion of Class B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76" w:lineRule="exact"/>
        <w:rPr>
          <w:sz w:val="20"/>
          <w:szCs w:val="20"/>
          <w:color w:val="auto"/>
        </w:rPr>
      </w:pPr>
    </w:p>
    <w:p>
      <w:pPr>
        <w:jc w:val="both"/>
        <w:ind w:right="440" w:firstLine="470"/>
        <w:spacing w:after="0" w:line="272" w:lineRule="auto"/>
        <w:rPr>
          <w:sz w:val="20"/>
          <w:szCs w:val="20"/>
          <w:color w:val="auto"/>
        </w:rPr>
      </w:pPr>
      <w:r>
        <w:rPr>
          <w:rFonts w:ascii="Arial" w:cs="Arial" w:eastAsia="Arial" w:hAnsi="Arial"/>
          <w:sz w:val="17"/>
          <w:szCs w:val="17"/>
          <w:color w:val="auto"/>
        </w:rPr>
        <w:t>As of March 15, 2022, there were 71 stockholders of record of our Class A common stock and the closing price of our Class A common stock was $298.26 per share as reported on the Nasdaq. Because many of our shares of Class A common stock are held by brokers and other institutions on behalf of stockholders, we are unable to estimate the total number of stockholders represented by these record 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6"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repurchases of shares of our Class A common stock during the three months ended January 31,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76"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The graph below shows a comparison, from October 19, 2017 (the date our Class A common stock commenced trading on the Nasdaq) through January 31, 2022, of the cumulative total return to stockholders of our Class A common stock relative to the Nasdaq Composite Index (“Nasdaq Composite”) and the Nasdaq Computer Index (“Nasdaq Computer”).</w:t>
      </w:r>
    </w:p>
    <w:p>
      <w:pPr>
        <w:spacing w:after="0" w:line="119"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graph assumes that $100 was invested in each of our Class A common stock, the Nasdaq Composite and the Nasdaq Computer at their respective closing prices on October 19, 2017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5576570" cy="3136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6570" cy="313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firstLine="627"/>
        <w:spacing w:after="0" w:line="272" w:lineRule="auto"/>
        <w:rPr>
          <w:sz w:val="20"/>
          <w:szCs w:val="20"/>
          <w:color w:val="auto"/>
        </w:rPr>
      </w:pPr>
      <w:r>
        <w:rPr>
          <w:rFonts w:ascii="Arial" w:cs="Arial" w:eastAsia="Arial" w:hAnsi="Arial"/>
          <w:sz w:val="17"/>
          <w:szCs w:val="17"/>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6" w:lineRule="exact"/>
        <w:rPr>
          <w:sz w:val="20"/>
          <w:szCs w:val="20"/>
          <w:color w:val="auto"/>
        </w:rPr>
      </w:pPr>
    </w:p>
    <w:p>
      <w:pPr>
        <w:jc w:val="both"/>
        <w:ind w:right="100" w:firstLine="470"/>
        <w:spacing w:after="0" w:line="324" w:lineRule="auto"/>
        <w:rPr>
          <w:sz w:val="20"/>
          <w:szCs w:val="20"/>
          <w:color w:val="auto"/>
        </w:rPr>
      </w:pPr>
      <w:r>
        <w:rPr>
          <w:rFonts w:ascii="Arial" w:cs="Arial" w:eastAsia="Arial" w:hAnsi="Arial"/>
          <w:sz w:val="15"/>
          <w:szCs w:val="15"/>
          <w:color w:val="auto"/>
        </w:rPr>
        <w:t xml:space="preserve">The following discussion should be read in conjunction with the consolidated financial statements and notes thereto included in Part II,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Statements and Supplementary Data, </w:t>
      </w:r>
      <w:r>
        <w:rPr>
          <w:rFonts w:ascii="Arial" w:cs="Arial" w:eastAsia="Arial" w:hAnsi="Arial"/>
          <w:sz w:val="15"/>
          <w:szCs w:val="15"/>
          <w:color w:val="auto"/>
        </w:rPr>
        <w:t>of this Form 10-K. All information presented herein is based on our fiscal calendar. Unless otherwise stated, references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particular years, quarters, months or periods refer to our fiscal years ended January 31 and the associated quarters, months and periods of those fiscal years.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80" w:firstLine="470"/>
        <w:spacing w:after="0" w:line="300" w:lineRule="auto"/>
        <w:rPr>
          <w:sz w:val="20"/>
          <w:szCs w:val="20"/>
          <w:color w:val="auto"/>
        </w:rPr>
      </w:pPr>
      <w:r>
        <w:rPr>
          <w:rFonts w:ascii="Arial" w:cs="Arial" w:eastAsia="Arial" w:hAnsi="Arial"/>
          <w:sz w:val="15"/>
          <w:szCs w:val="15"/>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continue to redefine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83"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color w:val="auto"/>
        </w:rPr>
        <w:t>We generate revenue primarily from sales of subscriptions, which accounted for 96%, 96% and 95% of our total revenue for the years ended January 31, 2022, 2021 and 2020, respectively.</w:t>
      </w:r>
    </w:p>
    <w:p>
      <w:pPr>
        <w:spacing w:after="0" w:line="106" w:lineRule="exact"/>
        <w:rPr>
          <w:sz w:val="20"/>
          <w:szCs w:val="20"/>
          <w:color w:val="auto"/>
        </w:rPr>
      </w:pPr>
    </w:p>
    <w:p>
      <w:pPr>
        <w:ind w:right="120" w:firstLine="470"/>
        <w:spacing w:after="0" w:line="307" w:lineRule="auto"/>
        <w:rPr>
          <w:sz w:val="20"/>
          <w:szCs w:val="20"/>
          <w:color w:val="auto"/>
        </w:rPr>
      </w:pPr>
      <w:r>
        <w:rPr>
          <w:rFonts w:ascii="Arial" w:cs="Arial" w:eastAsia="Arial" w:hAnsi="Arial"/>
          <w:sz w:val="15"/>
          <w:szCs w:val="15"/>
          <w:color w:val="auto"/>
        </w:rPr>
        <w:t>MongoDB Atlas is our hosted multi-cloud database-as-a-service (“DBaaS”) offering that includes comprehensive infrastructure and management, which we run and manage in the cloud. During the year ended January 31, 2022, MongoDB Atlas revenue represented 56% of our total revenue, as compared to 46% in the prior year, reflecting the continued growth of MongoDB Atlas since its introduction in June 2016.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99"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MongoDB Enterprise Advanced is our proprietary commercial database server offering for enterprise customers that can run in the cloud, on-premise or in a hybrid environment. MongoDB Enterprise Advanced revenue represented 35%, 44% and 50% of our subscription revenue for the years ended January 31, 2022, 2021 and 2020, respectively. 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127"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240 million times since February 2009 and over 85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19" w:lineRule="exact"/>
        <w:rPr>
          <w:sz w:val="20"/>
          <w:szCs w:val="20"/>
          <w:color w:val="auto"/>
        </w:rPr>
      </w:pPr>
    </w:p>
    <w:p>
      <w:pPr>
        <w:ind w:right="320" w:firstLine="470"/>
        <w:spacing w:after="0" w:line="267" w:lineRule="auto"/>
        <w:rPr>
          <w:sz w:val="20"/>
          <w:szCs w:val="20"/>
          <w:color w:val="auto"/>
        </w:rPr>
      </w:pPr>
      <w:r>
        <w:rPr>
          <w:rFonts w:ascii="Arial" w:cs="Arial" w:eastAsia="Arial" w:hAnsi="Arial"/>
          <w:sz w:val="17"/>
          <w:szCs w:val="17"/>
          <w:color w:val="auto"/>
        </w:rPr>
        <w:t>We also generate revenue from services, which consist primarily of fees associated with consulting and training services. Revenue from services accounted for 4%, 4% and 5% of our total revenue for the years ended January 31, 2022, 2021 and 2020,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23"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We believe the market for our offerings is large and growing. We have experienced rapid growth and have made substantial investments in developing our platform and expanding our sales and marketing footprint. We intend to continue to</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40"/>
        <w:spacing w:after="0" w:line="449" w:lineRule="auto"/>
        <w:rPr>
          <w:sz w:val="20"/>
          <w:szCs w:val="20"/>
          <w:color w:val="auto"/>
        </w:rPr>
      </w:pPr>
      <w:r>
        <w:rPr>
          <w:rFonts w:ascii="Arial" w:cs="Arial" w:eastAsia="Arial" w:hAnsi="Arial"/>
          <w:sz w:val="17"/>
          <w:szCs w:val="17"/>
          <w:color w:val="auto"/>
        </w:rPr>
        <w:t xml:space="preserve">invest heavily to grow our business to take advantage of our market opportunity rather than optimizing for profitability or cash flow in the near term. </w:t>
      </w:r>
      <w:r>
        <w:rPr>
          <w:rFonts w:ascii="Arial" w:cs="Arial" w:eastAsia="Arial" w:hAnsi="Arial"/>
          <w:sz w:val="17"/>
          <w:szCs w:val="17"/>
          <w:b w:val="1"/>
          <w:bCs w:val="1"/>
          <w:color w:val="auto"/>
        </w:rPr>
        <w:t>Impact of the Ongoing COVID-19 Pandemic</w:t>
      </w:r>
    </w:p>
    <w:p>
      <w:pPr>
        <w:ind w:right="40" w:firstLine="470"/>
        <w:spacing w:after="0" w:line="263" w:lineRule="auto"/>
        <w:rPr>
          <w:sz w:val="20"/>
          <w:szCs w:val="20"/>
          <w:color w:val="auto"/>
        </w:rPr>
      </w:pPr>
      <w:r>
        <w:rPr>
          <w:rFonts w:ascii="Arial" w:cs="Arial" w:eastAsia="Arial" w:hAnsi="Arial"/>
          <w:sz w:val="17"/>
          <w:szCs w:val="17"/>
          <w:color w:val="auto"/>
        </w:rPr>
        <w:t>The ongoing COVID-19 pandemic has continued to impact the United States and the world. The full extent of the impact of the ongoing COVID-19 pandemic on our future operational and financial performance will depend on certain developments, including the duration and spread of the outbreak and the impact of new variants of the virus that causes COVID-19; the public health measures taken by authorities and other entities to contain and treat COVID-19; the actions taken to effect a widespread, global roll-out of the available vaccines and the efficacy and durability of such vaccines; and the impact of the COVID-19 pandemic on the global economy and on our current and prospective customers, employees, vendors and other parties with whom we do business, all of which are uncertain and cannot be predicted.</w:t>
      </w:r>
    </w:p>
    <w:p>
      <w:pPr>
        <w:spacing w:after="0" w:line="12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In 2020, we adopted several measures in response to the COVID-19 pandemic, including temporarily requiring employees to work remotely, suspending non-essential travel by our employees, and replacing in-person marketing events (including our annual developer conference) with virtual events. During 2021, we began to re-open our offices in the United States and certain other locations globally for employees to voluntarily return, subject to certain restrictions and government regulations, and we have taken recommended measures to protect the health and safety of employees who return to the office, including occupancy limitations, masking requirements and other safety measures. We have informed our employees that they may continue to elect to work remotely until conditions improve, even if their office reopens. While certain travel bans and other restrictions that were implemented at the beginning of the pandemic were relaxed earlier in the year, due to the identification of the Omicron variant of the SARS-CoV-2 virus, among other developments, some of these restrictions were re-imposed, and new restrictions may be implemented. Business travel on a voluntary basis resumed during 2021 and we started to hold some in-person marketing events. Although our travel costs for the year ended January 31, 2022, were below pre-pandemic levels, we expect travel behavior to return to pre-pandemic levels. We are actively monitoring the situation related to the COVID-19 pandemic, and we may adjust our policies as may be required or recommended by federal, foreign, state or local authorities.</w:t>
      </w:r>
    </w:p>
    <w:p>
      <w:pPr>
        <w:spacing w:after="0" w:line="121"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We will continue to evaluate the nature and extent of the impact of COVID-19 on our business. For further discussion of the potential impacts of the ongoing COVID-19 pandemic on our business, operating results, and financial condition, see the section titled “Risk Factors” included in Part I, Item 1A of this Form 10-K. Other factors affecting our performance are discussed below, although we caution you that the ongoing COVID-19 pandemic may also further impact these factors.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Extending Product Leadership and Maintaining Developer Mindshare</w:t>
      </w:r>
    </w:p>
    <w:p>
      <w:pPr>
        <w:spacing w:after="0" w:line="170"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during 2020, we released MongoDB 4.4, which included significant updates to the query language to enhance analytics capabilities and to provide increased flexibility of data distribution in order to further improve resiliency and performance. In addition, we introduced a number of additional features and products within MongoDB Atlas including the general availability of MongoDB Atlas Search, which integrates full-text search capabilities with our operational database, reducing implementation complexity for developers and eliminating the need to maintain multiple technologies. We also announced the general availability of MongoDB Atlas Data Lake and MongoDB Atlas Online Archive, which allow customers to store data more cost effectively on our platform and make that data readily available to their applications running on MongoDB Atlas. Finally, we fully integrated Tightdb, Inc. (“Realm”), the leading mobile application database we acquired in 2019, with MongoDB Atlas allowing developers to build highly performant mobile applications with seamless data synchronization. During 2021, with the release of MongoDB 5.0, we improved the ease of use of our platform, by introducing innovation that facilitates data partitioning as well as simplifying the process of upgrading to the latest version of our software. We also expanded the breadth of functionality of our platform by introducing native time series support across our platform. Finally, we announced a series of improvements to our newer products, including adding critical e-commerce capabilities to Atlas Search. In 2021, we also moved to a quarterly product release schedule, starting with MongoDB 5.1, to bring new features and capabilities more quickly to our customers. Our latest releases included enhancements to time series collections, richer and more flexible analytics, improvements to query functionality, new capabilities that allow teams to execute more sophisticated analytic queries directly against their live operational and</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transactional data, and enhancements to our security features. We also made it possible for developers to easily access their MongoDB Atlas through a standard interface.</w:t>
      </w:r>
    </w:p>
    <w:p>
      <w:pPr>
        <w:spacing w:after="0" w:line="106"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We intend to continue to invest in our engineering capabilities and marketing activities to maintain our strong position in the developer community. We have spent $983.0 million on research and development since our inception. Our results of operations may fluctuate as we make these investments to drive increased customer adoption and usage.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Growing Our Customer Base and Expanding Our Global Reach</w:t>
      </w:r>
    </w:p>
    <w:p>
      <w:pPr>
        <w:spacing w:after="0" w:line="170"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We are intensely focused on continuing to grow our customer base. We have invested, and expect to continue to invest, heavily in our sales and marketing efforts and developer community outreach, which are critical to driving customer acquisition. As of January 31, 2022, we had over 33,000 customers across a wide range of industries and in over 100 countries, compared to over 24,800 customers and over 17,000 customers as of January 31, 2021 and 2020, respectively. All affiliated entities are counted as a single customer.</w:t>
      </w:r>
    </w:p>
    <w:p>
      <w:pPr>
        <w:spacing w:after="0" w:line="123" w:lineRule="exact"/>
        <w:rPr>
          <w:sz w:val="20"/>
          <w:szCs w:val="20"/>
          <w:color w:val="auto"/>
        </w:rPr>
      </w:pPr>
    </w:p>
    <w:p>
      <w:pPr>
        <w:ind w:right="20" w:firstLine="470"/>
        <w:spacing w:after="0" w:line="297" w:lineRule="auto"/>
        <w:rPr>
          <w:sz w:val="20"/>
          <w:szCs w:val="20"/>
          <w:color w:val="auto"/>
        </w:rPr>
      </w:pPr>
      <w:r>
        <w:rPr>
          <w:rFonts w:ascii="Arial" w:cs="Arial" w:eastAsia="Arial" w:hAnsi="Arial"/>
          <w:sz w:val="16"/>
          <w:szCs w:val="16"/>
          <w:color w:val="auto"/>
        </w:rPr>
        <w:t>Our customer count as of January 31, 2022 includes customers acquired from ObjectLabs Corporation (“mLab”) and Realm. Our definition of “customer” excludes (1) users of our free offerings, (2) mLab users who spend $20 or less per month with us and (3) self-serve users acquired from Realm. The excluded mLab and Realm users collectively represent an immaterial portion of the revenue associated with users acquired from those acquisitions.</w:t>
      </w:r>
    </w:p>
    <w:p>
      <w:pPr>
        <w:spacing w:after="0" w:line="101"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As of January 31, 2022, we had over 4,400 customers that were sold through our direct sales force and channel partners, as compared to over 3,000 and over 2,000 such customers as of January 31, 2021 and 2020, respectively. These customers, which we refer to as our Direct Sales Customers, accounted for 85%, 82% and 78% of our subscription revenue for the years ended January 31, 2022, 2021 and 2020, respectively. The percentage of our subscription revenue from Direct 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After launching in June 2016, we had over 31,500 MongoDB Atlas customers as of January 31, 2022. The growth in MongoDB Atlas customers included customers from mLab and Realm, as described above, as well as new customers to MongoDB and existing MongoDB Enterprise Advanced customers adding incremental MongoDB Atlas workloads.</w:t>
      </w:r>
    </w:p>
    <w:p>
      <w:pPr>
        <w:spacing w:after="0" w:line="119"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In an effort to expand our global reach, in October 2019, we announced a partnership with Alibaba Cloud to offer an authorized MongoDB-as-a-service solution allowing customers of Alibaba Cloud to use this managed offering from their data centers globally. We expanded our reach in China in February 2021 when we announced the launch of a global partnership with Tencent Cloud that allows customers to easily adopt and use MongoDB-as-a-Service across Tencent’s global cloud infrastructure.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Increasing Adoption of MongoDB Atlas</w:t>
      </w:r>
    </w:p>
    <w:p>
      <w:pPr>
        <w:spacing w:after="0" w:line="170" w:lineRule="exact"/>
        <w:rPr>
          <w:sz w:val="20"/>
          <w:szCs w:val="20"/>
          <w:color w:val="auto"/>
        </w:rPr>
      </w:pPr>
    </w:p>
    <w:p>
      <w:pPr>
        <w:ind w:right="160" w:firstLine="470"/>
        <w:spacing w:after="0" w:line="278" w:lineRule="auto"/>
        <w:rPr>
          <w:sz w:val="20"/>
          <w:szCs w:val="20"/>
          <w:color w:val="auto"/>
        </w:rPr>
      </w:pPr>
      <w:r>
        <w:rPr>
          <w:rFonts w:ascii="Arial" w:cs="Arial" w:eastAsia="Arial" w:hAnsi="Arial"/>
          <w:sz w:val="16"/>
          <w:szCs w:val="16"/>
          <w:color w:val="auto"/>
        </w:rPr>
        <w:t>MongoDB Atlas, our hosted multi-cloud offering, is an important part of our run-anywhere strategy.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now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Our business partnership with GCP provides deeper product integration and unified billing for GCP customers who are also MongoDB Atlas customers and offers GCP customers a seamless integration between MongoDB Atlas and GCP. The availability of MongoDB Atlas on the Microsoft Azure Marketplace offers unified billing for joint customers of MongoDB Atlas and Microsoft and makes it easier for established Azure customers to purchase and use MongoDB Atlas.</w:t>
      </w:r>
    </w:p>
    <w:p>
      <w:pPr>
        <w:spacing w:after="0" w:line="121"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adoption of MongoDB Atlas is a key component of our growth strategy.</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Retaining and Expanding Revenue from Existing Customers</w:t>
      </w:r>
    </w:p>
    <w:p>
      <w:pPr>
        <w:spacing w:after="0" w:line="170" w:lineRule="exact"/>
        <w:rPr>
          <w:sz w:val="20"/>
          <w:szCs w:val="20"/>
          <w:color w:val="auto"/>
        </w:rPr>
      </w:pPr>
    </w:p>
    <w:p>
      <w:pPr>
        <w:ind w:right="120" w:firstLine="470"/>
        <w:spacing w:after="0" w:line="261" w:lineRule="auto"/>
        <w:rPr>
          <w:sz w:val="20"/>
          <w:szCs w:val="20"/>
          <w:color w:val="auto"/>
        </w:rPr>
      </w:pPr>
      <w:r>
        <w:rPr>
          <w:rFonts w:ascii="Arial" w:cs="Arial" w:eastAsia="Arial" w:hAnsi="Arial"/>
          <w:sz w:val="17"/>
          <w:szCs w:val="17"/>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Over time, the subscription amount for our typical Direct Sales Customer has increased.</w:t>
      </w:r>
    </w:p>
    <w:p>
      <w:pPr>
        <w:spacing w:after="0" w:line="129" w:lineRule="exact"/>
        <w:rPr>
          <w:sz w:val="20"/>
          <w:szCs w:val="20"/>
          <w:color w:val="auto"/>
        </w:rPr>
      </w:pPr>
    </w:p>
    <w:p>
      <w:pPr>
        <w:ind w:right="100" w:firstLine="470"/>
        <w:spacing w:after="0" w:line="279" w:lineRule="auto"/>
        <w:rPr>
          <w:sz w:val="20"/>
          <w:szCs w:val="20"/>
          <w:color w:val="auto"/>
        </w:rPr>
      </w:pPr>
      <w:r>
        <w:rPr>
          <w:rFonts w:ascii="Arial" w:cs="Arial" w:eastAsia="Arial" w:hAnsi="Arial"/>
          <w:sz w:val="16"/>
          <w:szCs w:val="16"/>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The number of customers with $100,000 or greater in ARR and annualized MRR was 1,307, 975 and 751 as of January 31, 2022, 2021 and 2020,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1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126"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Investing in Growth and Scaling Our Business</w:t>
      </w:r>
    </w:p>
    <w:p>
      <w:pPr>
        <w:spacing w:after="0" w:line="170"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1,713 employees as of January 31, 2022 from 1,171 employees and 789 employees as of January 31, 2021 and 2020,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Revenue</w:t>
      </w:r>
    </w:p>
    <w:p>
      <w:pPr>
        <w:spacing w:after="0" w:line="170" w:lineRule="exact"/>
        <w:rPr>
          <w:sz w:val="20"/>
          <w:szCs w:val="20"/>
          <w:color w:val="auto"/>
        </w:rPr>
      </w:pPr>
    </w:p>
    <w:p>
      <w:pPr>
        <w:ind w:right="260" w:firstLine="470"/>
        <w:spacing w:after="0" w:line="263" w:lineRule="auto"/>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subscription revenue is comprised of term licenses and hosted as-a-service solutions. Subscriptions to term licenses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Revenue from our hosted as-a-service solutions is primarily generated on a usage basis and is billed either in arrears or paid up front. The majority of our subscription contracts are one year in duration. When we enter into multi-year subscriptions, we typically invoice the customer on an annual basis. Our subscription contracts are generally non-cancelable and non-refundable.</w:t>
      </w: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is comprised of consulting and training services and is recognized over the period of delivery 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We recognize revenue from services agreements as services are delivered.</w:t>
      </w:r>
    </w:p>
    <w:p>
      <w:pPr>
        <w:spacing w:after="0" w:line="106" w:lineRule="exact"/>
        <w:rPr>
          <w:sz w:val="20"/>
          <w:szCs w:val="20"/>
          <w:color w:val="auto"/>
        </w:rPr>
      </w:pPr>
    </w:p>
    <w:p>
      <w:pPr>
        <w:jc w:val="both"/>
        <w:ind w:right="320" w:firstLine="470"/>
        <w:spacing w:after="0" w:line="272"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the proportion of term license contracts that commence within the period, the rate of customer renewals and expansions, delivery of professional services, the impact of significant transactions and seasonality of or fluctuations in usage for our consumption-based customers.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 of Revenue</w:t>
      </w:r>
    </w:p>
    <w:p>
      <w:pPr>
        <w:spacing w:after="0" w:line="170"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 xml:space="preserve">Cost of Subscription Revenue. </w:t>
      </w:r>
      <w:r>
        <w:rPr>
          <w:rFonts w:ascii="Arial" w:cs="Arial" w:eastAsia="Arial" w:hAnsi="Arial"/>
          <w:sz w:val="17"/>
          <w:szCs w:val="17"/>
          <w:color w:val="auto"/>
        </w:rPr>
        <w:t>Cost of subscription revenue primarily includes third-party cloud infrastructure expenses for our hosted as-a-service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27" w:lineRule="exact"/>
        <w:rPr>
          <w:sz w:val="20"/>
          <w:szCs w:val="20"/>
          <w:color w:val="auto"/>
        </w:rPr>
      </w:pPr>
    </w:p>
    <w:p>
      <w:pPr>
        <w:ind w:right="740" w:firstLine="470"/>
        <w:spacing w:after="0" w:line="297" w:lineRule="auto"/>
        <w:rPr>
          <w:sz w:val="20"/>
          <w:szCs w:val="20"/>
          <w:color w:val="auto"/>
        </w:rPr>
      </w:pPr>
      <w:r>
        <w:rPr>
          <w:rFonts w:ascii="Arial" w:cs="Arial" w:eastAsia="Arial" w:hAnsi="Arial"/>
          <w:sz w:val="16"/>
          <w:szCs w:val="16"/>
          <w:i w:val="1"/>
          <w:iCs w:val="1"/>
          <w:color w:val="auto"/>
        </w:rPr>
        <w:t xml:space="preserve">Cost of Services Revenue. </w:t>
      </w:r>
      <w:r>
        <w:rPr>
          <w:rFonts w:ascii="Arial" w:cs="Arial" w:eastAsia="Arial" w:hAnsi="Arial"/>
          <w:sz w:val="16"/>
          <w:szCs w:val="16"/>
          <w:color w:val="auto"/>
        </w:rPr>
        <w:t>Cost of services revenue primarily includes personnel costs, including salaries, bonuses and benefits,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Gross Profit and Gross Margin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represents revenue less cost of revenue.</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Operating Expenses</w:t>
      </w:r>
    </w:p>
    <w:p>
      <w:pPr>
        <w:spacing w:after="0" w:line="170"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19"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salaries, sales commission and benefits, bonuses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27" w:lineRule="exact"/>
        <w:rPr>
          <w:sz w:val="20"/>
          <w:szCs w:val="20"/>
          <w:color w:val="auto"/>
        </w:rPr>
      </w:pPr>
    </w:p>
    <w:p>
      <w:pPr>
        <w:ind w:right="40" w:firstLine="470"/>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01"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Other Income (Expense),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income (expense), net consists primarily of interest income, interest expense and gains and losses from foreign currency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Provision for (Benefit from) Income Taxes</w:t>
      </w:r>
    </w:p>
    <w:p>
      <w:pPr>
        <w:spacing w:after="0" w:line="170" w:lineRule="exact"/>
        <w:rPr>
          <w:sz w:val="20"/>
          <w:szCs w:val="20"/>
          <w:color w:val="auto"/>
        </w:rPr>
      </w:pPr>
    </w:p>
    <w:p>
      <w:pPr>
        <w:ind w:right="60" w:firstLine="470"/>
        <w:spacing w:after="0" w:line="277"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As of January 31, 2022, we had net operating loss (“NOL”) carryforwards for U.S. federal and state, Irish and U.K. income tax purposes of approximately $1.9 billion, $1.7 billion, $558.4 million and $44.1 million, respectively, which begin to expire in the year ending January 31, 2028 for U.S. federal purposes and January 31, 2023 for state purposes. Operating losses in the United States, for years after January 31, 2018, in Ireland and the U.K. may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We also have U.S. federal and state research credit carryforwards of $70.6 million and $6.6 million, respectively, which begin to expire in the year ending January 31, 2029 for federal purposes and January 31, 2025 for state purposes. Utilization of the federal NOL carryforwards and credits may be subject to a substantial annual limitation due to the ownership change limitations provided by the Code, as amended and similar state provisions. The annual limitation, should we undergo an ownership change, may result in the expiration of U.S. federal or state net operating losses and credits before utilization; however we do not expect any such limitation to be material.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Highlights for the Years Ended January 31, 2022, 2021 and 2020</w:t>
      </w:r>
    </w:p>
    <w:p>
      <w:pPr>
        <w:spacing w:after="0" w:line="17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For the years ended January 31, 2022, 2021 and 2020, our total revenue was $873.8 million, $590.4 million and $421.7 million, respectively. The increase in total revenue was primarily driven by an increase in subscription revenue from our Direct Sales Customers. Our net loss was $306.9 million, $266.9 million and $175.5 million for the years ended January 31, 2022, 2021 and 2020, respectively, driven primarily by higher sales and marketing spend and research and development costs. Our operating cash flow was $7.0 million, $(42.7) million and $(29.5) million for the years ended January 31, 2022, 2021 and 2020, respectively.</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set forth our results of operations for the periods presented in U.S. dollars (in thousands) and as a percentage of our total revenue.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Percentage of revenue figures are rounded and therefore may not subtotal exactly.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Years Ended January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4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03"/>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b w:val="1"/>
                <w:bCs w:val="1"/>
                <w:color w:val="auto"/>
              </w:rPr>
              <w:t>Consolidated Statements of Operations Data:</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Revenue: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2"/>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399,826</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Services</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21,894</w:t>
            </w:r>
          </w:p>
        </w:tc>
      </w:tr>
      <w:tr>
        <w:trPr>
          <w:trHeight w:val="242"/>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421,720</w:t>
            </w:r>
          </w:p>
        </w:tc>
      </w:tr>
      <w:tr>
        <w:trPr>
          <w:trHeight w:val="215"/>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Cost of revenue: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Subscription</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101,691</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Services</w:t>
            </w:r>
            <w:r>
              <w:rPr>
                <w:rFonts w:ascii="Arial" w:cs="Arial" w:eastAsia="Arial" w:hAnsi="Arial"/>
                <w:sz w:val="22"/>
                <w:szCs w:val="22"/>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41,591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31,796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23,665</w:t>
            </w:r>
          </w:p>
        </w:tc>
      </w:tr>
      <w:tr>
        <w:trPr>
          <w:trHeight w:val="254"/>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259,492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177,076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125,356</w:t>
            </w:r>
          </w:p>
        </w:tc>
      </w:tr>
      <w:tr>
        <w:trPr>
          <w:trHeight w:val="241"/>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614,290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413,304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296,364</w:t>
            </w:r>
          </w:p>
        </w:tc>
      </w:tr>
      <w:tr>
        <w:trPr>
          <w:trHeight w:val="222"/>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6360" w:type="dxa"/>
            <w:vAlign w:val="bottom"/>
            <w:gridSpan w:val="3"/>
          </w:tcPr>
          <w:p>
            <w:pPr>
              <w:ind w:left="2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471,890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325,100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223,893</w:t>
            </w:r>
          </w:p>
        </w:tc>
      </w:tr>
      <w:tr>
        <w:trPr>
          <w:trHeight w:val="261"/>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205,161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149,033</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122,944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92,347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71,304</w:t>
            </w:r>
          </w:p>
        </w:tc>
      </w:tr>
      <w:tr>
        <w:trPr>
          <w:trHeight w:val="254"/>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903,654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622,608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444,230</w:t>
            </w:r>
          </w:p>
        </w:tc>
      </w:tr>
      <w:tr>
        <w:trPr>
          <w:trHeight w:val="241"/>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Loss from operations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(289,364)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(209,304)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(147,866)</w:t>
            </w:r>
          </w:p>
        </w:tc>
      </w:tr>
      <w:tr>
        <w:trPr>
          <w:trHeight w:val="275"/>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Other expense, net</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(53,389)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(28,312)</w:t>
            </w:r>
          </w:p>
        </w:tc>
      </w:tr>
      <w:tr>
        <w:trPr>
          <w:trHeight w:val="241"/>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Loss before provision for (benefit from) income taxes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(302,889)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(262,693)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(176,178)</w:t>
            </w:r>
          </w:p>
        </w:tc>
      </w:tr>
      <w:tr>
        <w:trPr>
          <w:trHeight w:val="275"/>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Provision for (benefit from)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54"/>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(306,866)</w:t>
            </w:r>
          </w:p>
        </w:tc>
        <w:tc>
          <w:tcPr>
            <w:tcW w:w="10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(266,944)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(175,522)</w:t>
            </w:r>
          </w:p>
        </w:tc>
      </w:tr>
      <w:tr>
        <w:trPr>
          <w:trHeight w:val="20"/>
        </w:trPr>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2"/>
        </w:trPr>
        <w:tc>
          <w:tcPr>
            <w:tcW w:w="480" w:type="dxa"/>
            <w:vAlign w:val="bottom"/>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75"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Years Ended January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63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2020</w:t>
            </w:r>
          </w:p>
        </w:tc>
      </w:tr>
      <w:tr>
        <w:trPr>
          <w:trHeight w:val="190"/>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Cost of revenue—subscription</w:t>
            </w:r>
          </w:p>
        </w:tc>
        <w:tc>
          <w:tcPr>
            <w:tcW w:w="98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r>
      <w:tr>
        <w:trPr>
          <w:trHeight w:val="204"/>
        </w:trPr>
        <w:tc>
          <w:tcPr>
            <w:tcW w:w="6320" w:type="dxa"/>
            <w:vAlign w:val="bottom"/>
          </w:tcPr>
          <w:p>
            <w:pPr>
              <w:ind w:left="60"/>
              <w:spacing w:after="0"/>
              <w:rPr>
                <w:sz w:val="20"/>
                <w:szCs w:val="20"/>
                <w:color w:val="auto"/>
              </w:rPr>
            </w:pPr>
            <w:r>
              <w:rPr>
                <w:rFonts w:ascii="Arial" w:cs="Arial" w:eastAsia="Arial" w:hAnsi="Arial"/>
                <w:sz w:val="14"/>
                <w:szCs w:val="14"/>
                <w:color w:val="auto"/>
              </w:rPr>
              <w:t>Cost of revenue—services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3,047</w:t>
            </w:r>
          </w:p>
        </w:tc>
      </w:tr>
      <w:tr>
        <w:trPr>
          <w:trHeight w:val="214"/>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Sales and marketing</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26,640</w:t>
            </w:r>
          </w:p>
        </w:tc>
      </w:tr>
      <w:tr>
        <w:trPr>
          <w:trHeight w:val="204"/>
        </w:trPr>
        <w:tc>
          <w:tcPr>
            <w:tcW w:w="6320" w:type="dxa"/>
            <w:vAlign w:val="bottom"/>
          </w:tcPr>
          <w:p>
            <w:pPr>
              <w:ind w:left="6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104,335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57,611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26,686</w:t>
            </w:r>
          </w:p>
        </w:tc>
      </w:tr>
      <w:tr>
        <w:trPr>
          <w:trHeight w:val="227"/>
        </w:trPr>
        <w:tc>
          <w:tcPr>
            <w:tcW w:w="6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14,407</w:t>
            </w:r>
          </w:p>
        </w:tc>
      </w:tr>
      <w:tr>
        <w:trPr>
          <w:trHeight w:val="197"/>
        </w:trPr>
        <w:tc>
          <w:tcPr>
            <w:tcW w:w="6320" w:type="dxa"/>
            <w:vAlign w:val="bottom"/>
          </w:tcPr>
          <w:p>
            <w:pPr>
              <w:ind w:left="260"/>
              <w:spacing w:after="0"/>
              <w:rPr>
                <w:sz w:val="20"/>
                <w:szCs w:val="20"/>
                <w:color w:val="auto"/>
              </w:rPr>
            </w:pPr>
            <w:r>
              <w:rPr>
                <w:rFonts w:ascii="Arial" w:cs="Arial" w:eastAsia="Arial" w:hAnsi="Arial"/>
                <w:sz w:val="14"/>
                <w:szCs w:val="14"/>
                <w:color w:val="auto"/>
              </w:rPr>
              <w:t>Total stock-based compensation expense</w:t>
            </w:r>
          </w:p>
        </w:tc>
        <w:tc>
          <w:tcPr>
            <w:tcW w:w="98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251,069</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75,776</w:t>
            </w:r>
          </w:p>
        </w:tc>
      </w:tr>
      <w:tr>
        <w:trPr>
          <w:trHeight w:val="24"/>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January 31,</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Percentage of Revenue Data:</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0"/>
              <w:spacing w:after="0"/>
              <w:rPr>
                <w:sz w:val="20"/>
                <w:szCs w:val="20"/>
                <w:color w:val="auto"/>
              </w:rPr>
            </w:pPr>
            <w:r>
              <w:rPr>
                <w:rFonts w:ascii="Arial" w:cs="Arial" w:eastAsia="Arial" w:hAnsi="Arial"/>
                <w:sz w:val="17"/>
                <w:szCs w:val="17"/>
                <w:color w:val="auto"/>
              </w:rPr>
              <w:t>Revenue:</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0"/>
              <w:spacing w:after="0"/>
              <w:rPr>
                <w:sz w:val="20"/>
                <w:szCs w:val="20"/>
                <w:color w:val="auto"/>
              </w:rPr>
            </w:pPr>
            <w:r>
              <w:rPr>
                <w:rFonts w:ascii="Arial" w:cs="Arial" w:eastAsia="Arial" w:hAnsi="Arial"/>
                <w:sz w:val="17"/>
                <w:szCs w:val="17"/>
                <w:color w:val="auto"/>
              </w:rPr>
              <w:t>Cost of revenue:</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6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60"/>
              <w:spacing w:after="0"/>
              <w:rPr>
                <w:sz w:val="20"/>
                <w:szCs w:val="20"/>
                <w:color w:val="auto"/>
              </w:rPr>
            </w:pPr>
            <w:r>
              <w:rPr>
                <w:rFonts w:ascii="Arial" w:cs="Arial" w:eastAsia="Arial" w:hAnsi="Arial"/>
                <w:sz w:val="17"/>
                <w:szCs w:val="17"/>
                <w:color w:val="auto"/>
              </w:rPr>
              <w:t>Loss from operations</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60"/>
              <w:spacing w:after="0"/>
              <w:rPr>
                <w:sz w:val="20"/>
                <w:szCs w:val="20"/>
                <w:color w:val="auto"/>
              </w:rPr>
            </w:pPr>
            <w:r>
              <w:rPr>
                <w:rFonts w:ascii="Arial" w:cs="Arial" w:eastAsia="Arial" w:hAnsi="Arial"/>
                <w:sz w:val="17"/>
                <w:szCs w:val="17"/>
                <w:color w:val="auto"/>
              </w:rPr>
              <w:t>Loss before provision for (benefit from) income taxes</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Provision for (benefit from) income taxes</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040" w:type="dxa"/>
            <w:vAlign w:val="bottom"/>
          </w:tcPr>
          <w:p>
            <w:pPr>
              <w:ind w:left="60"/>
              <w:spacing w:after="0"/>
              <w:rPr>
                <w:sz w:val="20"/>
                <w:szCs w:val="20"/>
                <w:color w:val="auto"/>
              </w:rPr>
            </w:pPr>
            <w:r>
              <w:rPr>
                <w:rFonts w:ascii="Arial" w:cs="Arial" w:eastAsia="Arial" w:hAnsi="Arial"/>
                <w:sz w:val="17"/>
                <w:szCs w:val="17"/>
                <w:color w:val="auto"/>
              </w:rPr>
              <w:t>Net loss</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b w:val="1"/>
                <w:bCs w:val="1"/>
                <w:color w:val="auto"/>
              </w:rPr>
              <w:t>Comparison of the Years Ended January 31, 2022 and 2021</w:t>
            </w: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04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Years Ended January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842,047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565,349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276,698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31,735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25,031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6,704</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8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873,782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283,402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20" w:firstLine="470"/>
        <w:spacing w:after="0" w:line="297"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$276.7 million primarily due to an increase of $253.6 million from our Direct Sales Customers, inclusive of the impact from Direct Sales Customers who were self-serve customers of MongoDB Atlas in the prior-year period. The growth in services revenue was driven primarily by the increased delivery of consulting services.</w:t>
      </w:r>
    </w:p>
    <w:p>
      <w:pPr>
        <w:spacing w:after="0" w:line="24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 Gross Profit and Gross Margin Percentage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January 31,</w:t>
            </w:r>
          </w:p>
        </w:tc>
        <w:tc>
          <w:tcPr>
            <w:tcW w:w="760" w:type="dxa"/>
            <w:vAlign w:val="bottom"/>
          </w:tcPr>
          <w:p>
            <w:pPr>
              <w:spacing w:after="0"/>
              <w:rPr>
                <w:sz w:val="15"/>
                <w:szCs w:val="15"/>
                <w:color w:val="auto"/>
              </w:rPr>
            </w:pPr>
          </w:p>
        </w:tc>
        <w:tc>
          <w:tcPr>
            <w:tcW w:w="122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7"/>
        </w:trPr>
        <w:tc>
          <w:tcPr>
            <w:tcW w:w="4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Subscription cost of revenue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217,901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145,280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72,621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74"/>
        </w:trPr>
        <w:tc>
          <w:tcPr>
            <w:tcW w:w="48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Services cost of revenue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41,591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31,796</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9,795</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42"/>
        </w:trPr>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259,492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177,076</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82,416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54"/>
        </w:trPr>
        <w:tc>
          <w:tcPr>
            <w:tcW w:w="4880" w:type="dxa"/>
            <w:vAlign w:val="bottom"/>
          </w:tcPr>
          <w:p>
            <w:pPr>
              <w:ind w:left="6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614,290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413,304</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200,986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36765" cy="165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3560" w:type="dxa"/>
            <w:vAlign w:val="bottom"/>
          </w:tcPr>
          <w:p>
            <w:pPr>
              <w:ind w:left="60"/>
              <w:spacing w:after="0"/>
              <w:rPr>
                <w:sz w:val="20"/>
                <w:szCs w:val="20"/>
                <w:color w:val="auto"/>
              </w:rPr>
            </w:pPr>
            <w:r>
              <w:rPr>
                <w:rFonts w:ascii="Arial" w:cs="Arial" w:eastAsia="Arial" w:hAnsi="Arial"/>
                <w:sz w:val="17"/>
                <w:szCs w:val="17"/>
                <w:color w:val="auto"/>
              </w:rPr>
              <w:t>Gross margin</w:t>
            </w:r>
          </w:p>
        </w:tc>
        <w:tc>
          <w:tcPr>
            <w:tcW w:w="3460" w:type="dxa"/>
            <w:vAlign w:val="bottom"/>
          </w:tcPr>
          <w:p>
            <w:pPr>
              <w:jc w:val="right"/>
              <w:ind w:right="513"/>
              <w:spacing w:after="0"/>
              <w:rPr>
                <w:sz w:val="20"/>
                <w:szCs w:val="20"/>
                <w:color w:val="auto"/>
              </w:rPr>
            </w:pPr>
            <w:r>
              <w:rPr>
                <w:rFonts w:ascii="Arial" w:cs="Arial" w:eastAsia="Arial" w:hAnsi="Arial"/>
                <w:sz w:val="17"/>
                <w:szCs w:val="17"/>
                <w:color w:val="auto"/>
              </w:rPr>
              <w:t>70 %</w:t>
            </w:r>
          </w:p>
        </w:tc>
        <w:tc>
          <w:tcPr>
            <w:tcW w:w="4220" w:type="dxa"/>
            <w:vAlign w:val="bottom"/>
          </w:tcPr>
          <w:p>
            <w:pPr>
              <w:jc w:val="right"/>
              <w:ind w:right="3073"/>
              <w:spacing w:after="0"/>
              <w:rPr>
                <w:sz w:val="20"/>
                <w:szCs w:val="20"/>
                <w:color w:val="auto"/>
              </w:rPr>
            </w:pPr>
            <w:r>
              <w:rPr>
                <w:rFonts w:ascii="Arial" w:cs="Arial" w:eastAsia="Arial" w:hAnsi="Arial"/>
                <w:sz w:val="17"/>
                <w:szCs w:val="17"/>
                <w:color w:val="auto"/>
              </w:rPr>
              <w:t>70 %</w:t>
            </w:r>
          </w:p>
        </w:tc>
      </w:tr>
      <w:tr>
        <w:trPr>
          <w:trHeight w:val="262"/>
        </w:trPr>
        <w:tc>
          <w:tcPr>
            <w:tcW w:w="356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60" w:type="dxa"/>
            <w:vAlign w:val="bottom"/>
          </w:tcPr>
          <w:p>
            <w:pPr>
              <w:jc w:val="right"/>
              <w:ind w:right="513"/>
              <w:spacing w:after="0"/>
              <w:rPr>
                <w:sz w:val="20"/>
                <w:szCs w:val="20"/>
                <w:color w:val="auto"/>
              </w:rPr>
            </w:pPr>
            <w:r>
              <w:rPr>
                <w:rFonts w:ascii="Arial" w:cs="Arial" w:eastAsia="Arial" w:hAnsi="Arial"/>
                <w:sz w:val="17"/>
                <w:szCs w:val="17"/>
                <w:color w:val="auto"/>
              </w:rPr>
              <w:t>74 %</w:t>
            </w:r>
          </w:p>
        </w:tc>
        <w:tc>
          <w:tcPr>
            <w:tcW w:w="4220" w:type="dxa"/>
            <w:vAlign w:val="bottom"/>
          </w:tcPr>
          <w:p>
            <w:pPr>
              <w:jc w:val="right"/>
              <w:ind w:right="3073"/>
              <w:spacing w:after="0"/>
              <w:rPr>
                <w:sz w:val="20"/>
                <w:szCs w:val="20"/>
                <w:color w:val="auto"/>
              </w:rPr>
            </w:pPr>
            <w:r>
              <w:rPr>
                <w:rFonts w:ascii="Arial" w:cs="Arial" w:eastAsia="Arial" w:hAnsi="Arial"/>
                <w:sz w:val="17"/>
                <w:szCs w:val="17"/>
                <w:color w:val="auto"/>
              </w:rPr>
              <w:t>74 %</w:t>
            </w:r>
          </w:p>
        </w:tc>
      </w:tr>
      <w:tr>
        <w:trPr>
          <w:trHeight w:val="262"/>
        </w:trPr>
        <w:tc>
          <w:tcPr>
            <w:tcW w:w="35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6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(31)%</w:t>
            </w:r>
          </w:p>
        </w:tc>
        <w:tc>
          <w:tcPr>
            <w:tcW w:w="4220" w:type="dxa"/>
            <w:vAlign w:val="bottom"/>
            <w:shd w:val="clear" w:color="auto" w:fill="CCEEFF"/>
          </w:tcPr>
          <w:p>
            <w:pPr>
              <w:jc w:val="right"/>
              <w:ind w:right="3073"/>
              <w:spacing w:after="0"/>
              <w:rPr>
                <w:sz w:val="20"/>
                <w:szCs w:val="20"/>
                <w:color w:val="auto"/>
              </w:rPr>
            </w:pPr>
            <w:r>
              <w:rPr>
                <w:rFonts w:ascii="Arial" w:cs="Arial" w:eastAsia="Arial" w:hAnsi="Arial"/>
                <w:sz w:val="17"/>
                <w:szCs w:val="17"/>
                <w:color w:val="auto"/>
              </w:rPr>
              <w:t>(27)%</w:t>
            </w:r>
          </w:p>
        </w:tc>
      </w:tr>
    </w:tbl>
    <w:p>
      <w:pPr>
        <w:spacing w:after="0" w:line="236" w:lineRule="exact"/>
        <w:rPr>
          <w:sz w:val="20"/>
          <w:szCs w:val="20"/>
          <w:color w:val="auto"/>
        </w:rPr>
      </w:pPr>
    </w:p>
    <w:p>
      <w:pPr>
        <w:ind w:right="320" w:firstLine="470"/>
        <w:spacing w:after="0" w:line="211" w:lineRule="exact"/>
        <w:rPr>
          <w:sz w:val="20"/>
          <w:szCs w:val="20"/>
          <w:color w:val="auto"/>
        </w:rPr>
      </w:pPr>
      <w:r>
        <w:rPr>
          <w:rFonts w:ascii="Arial" w:cs="Arial" w:eastAsia="Arial" w:hAnsi="Arial"/>
          <w:sz w:val="16"/>
          <w:szCs w:val="16"/>
          <w:color w:val="auto"/>
        </w:rPr>
        <w:t>The increase in subscription cost of revenue was primarily due to a $58.3 million increase in third</w:t>
      </w:r>
      <w:r>
        <w:rPr>
          <w:rFonts w:ascii="MS PGothic" w:cs="MS PGothic" w:eastAsia="MS PGothic" w:hAnsi="MS PGothic"/>
          <w:sz w:val="16"/>
          <w:szCs w:val="16"/>
          <w:color w:val="auto"/>
        </w:rPr>
        <w:t>‑</w:t>
      </w:r>
      <w:r>
        <w:rPr>
          <w:rFonts w:ascii="Arial" w:cs="Arial" w:eastAsia="Arial" w:hAnsi="Arial"/>
          <w:sz w:val="16"/>
          <w:szCs w:val="16"/>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$10.9 million increase in personnel costs and stock-based compensation associated with increased headcount in our support organization. The increase in services cost of revenue was primarily due to a $5.7 million increase in personnel costs and stock-based compensation associated with increased headcount in our services organization. Total headcount in our support and services organizations increased 33% from January 31, 2021 to January 31, 2022.</w:t>
      </w:r>
    </w:p>
    <w:p>
      <w:pPr>
        <w:spacing w:after="0" w:line="146"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Our overall gross margin, as well as our subscription gross margin, remained flat. Our subscription gross margin is negatively impacted by the increasing percentage of revenue from MongoDB Atlas, offset by efficiencies realized in managing our third-party cloud infrastructure costs. The impact of higher services personnel costs and stock-based compensation resulted in negative services gross margin.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Sales and Marketing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5"/>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Sales and marketing</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471,890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325,100</w:t>
            </w:r>
          </w:p>
        </w:tc>
        <w:tc>
          <w:tcPr>
            <w:tcW w:w="9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1"/>
              </w:rPr>
              <w:t>146,790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80" w:firstLine="627"/>
        <w:spacing w:after="0" w:line="282" w:lineRule="auto"/>
        <w:rPr>
          <w:sz w:val="20"/>
          <w:szCs w:val="20"/>
          <w:color w:val="auto"/>
        </w:rPr>
      </w:pPr>
      <w:r>
        <w:rPr>
          <w:rFonts w:ascii="Arial" w:cs="Arial" w:eastAsia="Arial" w:hAnsi="Arial"/>
          <w:sz w:val="16"/>
          <w:szCs w:val="16"/>
          <w:color w:val="auto"/>
        </w:rPr>
        <w:t>The increase in sales and marketing expense included $100.7 million from higher personnel costs and stock-based compensation, driven by an increase in our sales and marketing headcount to 1,713 as of January 31, 2022 from 1,171 as of January 31, 2021, which includes non-quota-carrying hires in sales operations, customer success and marketing. A portion of the increased personnel costs was due to higher payroll taxes related to the vesting of restricted stock units and stock option exercises, which was impacted by our higher average stock price as compared to the prior year. Sales and marketing expense also increased $30.0 million from costs associated with our higher headcount, including higher commissions expense and higher travel costs related to in-person events. In addition, sales and marketing expenses increased by $4.8 million due to increased spending on marketing programs.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5"/>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Research and development</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308,820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205,161</w:t>
            </w:r>
          </w:p>
        </w:tc>
        <w:tc>
          <w:tcPr>
            <w:tcW w:w="9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1"/>
              </w:rPr>
              <w:t>103,659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The increase in research and development expense was primarily driven by a $92.0 million increase in personnel costs and stock-based compensation as we increased our research and development headcount by 35% to 863 as of January 31, 2022 from 638 as of January 31, 2021. A portion of the increased personnel costs was due to higher payroll taxes related to the vesting of restricted stock units and stock option exercises, which was impacted by our higher average stock price as compared to the prior year.</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General and Administrative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Years Ended January 31,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5"/>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122,944</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92,347</w:t>
            </w:r>
          </w:p>
        </w:tc>
        <w:tc>
          <w:tcPr>
            <w:tcW w:w="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9"/>
              </w:rPr>
              <w:t>30,597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470"/>
        <w:spacing w:after="0" w:line="288" w:lineRule="auto"/>
        <w:rPr>
          <w:sz w:val="20"/>
          <w:szCs w:val="20"/>
          <w:color w:val="auto"/>
        </w:rPr>
      </w:pPr>
      <w:r>
        <w:rPr>
          <w:rFonts w:ascii="Arial" w:cs="Arial" w:eastAsia="Arial" w:hAnsi="Arial"/>
          <w:sz w:val="16"/>
          <w:szCs w:val="16"/>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$28.8 million higher personnel costs and stock-based compensation. A portion of the increased personnel costs was due to higher payroll taxes related to the vesting of restricted stock units and stock option exercises, which was impacted by our higher average stock price as compared to the prior year.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5"/>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(53,389)</w:t>
            </w:r>
          </w:p>
        </w:tc>
        <w:tc>
          <w:tcPr>
            <w:tcW w:w="9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9"/>
              </w:rPr>
              <w:t>39,864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300" w:firstLine="470"/>
        <w:spacing w:after="0" w:line="272" w:lineRule="auto"/>
        <w:rPr>
          <w:sz w:val="20"/>
          <w:szCs w:val="20"/>
          <w:color w:val="auto"/>
        </w:rPr>
      </w:pPr>
      <w:r>
        <w:rPr>
          <w:rFonts w:ascii="Arial" w:cs="Arial" w:eastAsia="Arial" w:hAnsi="Arial"/>
          <w:sz w:val="17"/>
          <w:szCs w:val="17"/>
          <w:color w:val="auto"/>
        </w:rPr>
        <w:t>Other expense, net for the year ended January 31, 2022 decreased primarily due to the adoption of the new accounting standard for convertible senior notes, which eliminated the amortization of the debt discount previously associated with our 0.75% convertible senior notes due 2024 and 0.25% convertible senior notes due 2026.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46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Years Ended January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vMerge w:val="continue"/>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5"/>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Provision for income taxes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3,977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4,251</w:t>
            </w:r>
          </w:p>
        </w:tc>
        <w:tc>
          <w:tcPr>
            <w:tcW w:w="100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The provision for income taxes during the year ended January 31, 2022 and January 31, 2021 was primarily due to foreign taxes as we continued our global expansion. The overall provision for income taxes decreased for the year ended January 31, 2022, due to a reduction in the valuation allowance as a result of goodwill from an immaterial business combination and the impact from the adoption of ASU 2020-06, partly offset by higher foreign taxes.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January 31, 2021 and 2020</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For a discussion of our results of operations for the year ended January 31, 2021 as compared to the year ended January 31, 2020, refer to Part II, Item 7,</w:t>
      </w:r>
    </w:p>
    <w:p>
      <w:pPr>
        <w:spacing w:after="0" w:line="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of our Annual Report on Form 10-K filed with the SEC on March 22,</w:t>
      </w:r>
      <w:r>
        <w:rPr>
          <w:rFonts w:ascii="Arial" w:cs="Arial" w:eastAsia="Arial" w:hAnsi="Arial"/>
          <w:sz w:val="17"/>
          <w:szCs w:val="17"/>
          <w:i w:val="1"/>
          <w:iCs w:val="1"/>
          <w:color w:val="auto"/>
        </w:rPr>
        <w:t xml:space="preserve"> </w:t>
      </w:r>
      <w:r>
        <w:rPr>
          <w:rFonts w:ascii="Arial" w:cs="Arial" w:eastAsia="Arial" w:hAnsi="Arial"/>
          <w:sz w:val="17"/>
          <w:szCs w:val="17"/>
          <w:color w:val="auto"/>
        </w:rPr>
        <w:t>2021.</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As of January 31, 2022, our principal sources of liquidity were cash, cash equivalents, short-term investments and restricted cash totaling $1.8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10" w:lineRule="exact"/>
        <w:rPr>
          <w:sz w:val="20"/>
          <w:szCs w:val="20"/>
          <w:color w:val="auto"/>
        </w:rPr>
      </w:pPr>
    </w:p>
    <w:p>
      <w:pPr>
        <w:ind w:right="60" w:firstLine="470"/>
        <w:spacing w:after="0" w:line="254" w:lineRule="auto"/>
        <w:rPr>
          <w:sz w:val="20"/>
          <w:szCs w:val="20"/>
          <w:color w:val="auto"/>
        </w:rPr>
      </w:pPr>
      <w:r>
        <w:rPr>
          <w:rFonts w:ascii="Arial" w:cs="Arial" w:eastAsia="Arial" w:hAnsi="Arial"/>
          <w:sz w:val="16"/>
          <w:szCs w:val="16"/>
          <w:color w:val="auto"/>
        </w:rPr>
        <w:t>On June 29, 2021, we entered into an underwriting agreement with Morgan Stanley &amp; Co. LLC and Goldman Sachs &amp; Co. LLC, as representatives of the several underwriters named therein, pursuant to which we agreed to issue and sell 2,500,000 shares of our Class A common stock, par value $0.001 per share, at an offering price of $365.00 per share. We received net proceeds of $889.2 million, after deducting underwriting discounts and commissions of $22.7 million and offering expenses of $0.6 million. Offering expenses included legal, accounting and other fees.</w:t>
      </w:r>
    </w:p>
    <w:p>
      <w:pPr>
        <w:spacing w:after="0" w:line="123" w:lineRule="exact"/>
        <w:rPr>
          <w:sz w:val="20"/>
          <w:szCs w:val="20"/>
          <w:color w:val="auto"/>
        </w:rPr>
      </w:pPr>
    </w:p>
    <w:p>
      <w:pPr>
        <w:ind w:right="400" w:firstLine="470"/>
        <w:spacing w:after="0" w:line="288" w:lineRule="auto"/>
        <w:rPr>
          <w:sz w:val="20"/>
          <w:szCs w:val="20"/>
          <w:color w:val="auto"/>
        </w:rPr>
      </w:pPr>
      <w:r>
        <w:rPr>
          <w:rFonts w:ascii="Arial" w:cs="Arial" w:eastAsia="Arial" w:hAnsi="Arial"/>
          <w:sz w:val="16"/>
          <w:szCs w:val="16"/>
          <w:color w:val="auto"/>
        </w:rPr>
        <w:t>In January 2020, we issued $1.15 billion aggregate principal amount of 0.25% convertible senior notes due 2026 in a private placement (the “2026 Notes”). In June 2018, we issued $250.0 million aggregate principal amount of 0.75% convertible senior notes due 2024 in a private placement and, in July 2018, we issued an additional $50.0 million aggregate principal amount of convertible senior notes pursuant to the exercise in full of the initial purchasers’ option to purchase additional convertible senior notes (collectively, the “2024 Notes”). The total net proceeds from the issuance of the 2026</w:t>
      </w:r>
    </w:p>
    <w:p>
      <w:pPr>
        <w:spacing w:after="0" w:line="25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Notes and 2024 Notes, after deducting initial purchase discounts and estimated debt issuance costs, were approximately $1.13 billion and $291.1 million, respectively. In connection with the pricing of the 2026 Notes and 2024 Notes, we entered into privately negotiated capped call transactions with certain counterparties (the “Capped Calls”). The Capped Calls are expected to partially offset the potential dilution to our Class A common stock upon any conversion of the 2026 Notes and 2024 Notes, with such offset subject to a cap based on the cap price. We used $92.9 million of the proceeds from the 2026 Notes and $37.1 million of the proceeds from the 2024 Notes to purchase the Capped Calls, which was recorded as a reduction to additional paid-in capital.</w:t>
      </w:r>
    </w:p>
    <w:p>
      <w:pPr>
        <w:spacing w:after="0" w:line="99" w:lineRule="exact"/>
        <w:rPr>
          <w:sz w:val="20"/>
          <w:szCs w:val="20"/>
          <w:color w:val="auto"/>
        </w:rPr>
      </w:pPr>
    </w:p>
    <w:p>
      <w:pPr>
        <w:ind w:right="240" w:firstLine="470"/>
        <w:spacing w:after="0" w:line="267" w:lineRule="auto"/>
        <w:rPr>
          <w:sz w:val="20"/>
          <w:szCs w:val="20"/>
          <w:color w:val="auto"/>
        </w:rPr>
      </w:pPr>
      <w:r>
        <w:rPr>
          <w:rFonts w:ascii="Arial" w:cs="Arial" w:eastAsia="Arial" w:hAnsi="Arial"/>
          <w:sz w:val="17"/>
          <w:szCs w:val="17"/>
          <w:color w:val="auto"/>
        </w:rPr>
        <w:t>On January 14, 2020, in connection with the issuance of the 2026 Notes, we used a portion of the net proceeds to repurchase $210.0 million aggregate principal amount of the 2024 Notes (“2024 Notes Partial Repurchase”) leaving $90.0 million aggregate principal outstanding on the 2024 Notes as of January 31, 2020. The 2024 Notes Partial Repurchase were not pursuant to a redemption notice and were individually privately negotiated transactions for aggregate cash consideration of $479.2 million.</w:t>
      </w:r>
    </w:p>
    <w:p>
      <w:pPr>
        <w:spacing w:after="0" w:line="123"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 xml:space="preserve">On October 1, 2021, we issued a notice of redemption (the “Redemption Notice”) for the aggregate principal amount outstanding of its 2024 Notes. We satisfied our conversion obligations with respect to conversions occurring after the date of the Redemption Notice and prior to December 3, 2021 (the “Redemption Date”) by delivering shares of Class A common stock, plus cash in lieu of any resulting fractional shares (physical settlement). Pursuant to the Redemption Notice, on the Redemption Date, we redeemed the outstanding principal of the 2024 Notes that were not converted prior to such date at a redemption price in cash equal to 100% of the principal amount of the 2024 Notes, plus accrued and unpaid interest. Approximately $1.9 million aggregate principal amount outstanding as of October 31, 2021 were converted to 27,377 shares of the Company’s Class A common stock with the remaining balance settled in cash. The extinguishment of the 2024 Notes on December 3, 2021 was immaterial to our financial statements. For further discussion on the 2024 Notes and 2026 Notes, please refer to Note 6,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in Part II, Item 8, Financial Statements and Supplementary Data, of this Form 10-K.</w:t>
      </w:r>
    </w:p>
    <w:p>
      <w:pPr>
        <w:spacing w:after="0" w:line="119" w:lineRule="exact"/>
        <w:rPr>
          <w:sz w:val="20"/>
          <w:szCs w:val="20"/>
          <w:color w:val="auto"/>
        </w:rPr>
      </w:pPr>
    </w:p>
    <w:p>
      <w:pPr>
        <w:ind w:right="20" w:firstLine="470"/>
        <w:spacing w:after="0" w:line="277"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historical consolidated statements of cash flows. As of January 31, 2022, we had an accumulated deficit of $1.2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the timing and extent of spending to support development efforts, the expansion of sales and marketing and international operation activities, the timing and size of new subscription introductions, the continuing market acceptance of our subscriptions and services and the impact of the ongoing COVID-19 pandemic on the global economy and our business, financial condition and results of operations. As the impact of the ongoing COVID-19 pandemic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cash flows for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5"/>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42"/>
        </w:trPr>
        <w:tc>
          <w:tcPr>
            <w:tcW w:w="6680" w:type="dxa"/>
            <w:vAlign w:val="bottom"/>
          </w:tcPr>
          <w:p>
            <w:pPr>
              <w:ind w:left="100"/>
              <w:spacing w:after="0"/>
              <w:rPr>
                <w:sz w:val="20"/>
                <w:szCs w:val="20"/>
                <w:color w:val="auto"/>
              </w:rPr>
            </w:pPr>
            <w:r>
              <w:rPr>
                <w:rFonts w:ascii="Arial" w:cs="Arial" w:eastAsia="Arial" w:hAnsi="Arial"/>
                <w:sz w:val="17"/>
                <w:szCs w:val="17"/>
                <w:color w:val="auto"/>
              </w:rPr>
              <w:t>Net cash provided by (used in) operating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6,980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(42,673)</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(29,540)</w:t>
            </w:r>
          </w:p>
        </w:tc>
      </w:tr>
      <w:tr>
        <w:trPr>
          <w:trHeight w:val="262"/>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(852,142)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r>
      <w:tr>
        <w:trPr>
          <w:trHeight w:val="261"/>
        </w:trPr>
        <w:tc>
          <w:tcPr>
            <w:tcW w:w="6680" w:type="dxa"/>
            <w:vAlign w:val="bottom"/>
          </w:tcPr>
          <w:p>
            <w:pPr>
              <w:ind w:left="10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890,892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27,581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589,238</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Operating Activities</w:t>
      </w:r>
    </w:p>
    <w:p>
      <w:pPr>
        <w:spacing w:after="0" w:line="157" w:lineRule="exact"/>
        <w:rPr>
          <w:sz w:val="20"/>
          <w:szCs w:val="20"/>
          <w:color w:val="auto"/>
        </w:rPr>
      </w:pPr>
    </w:p>
    <w:p>
      <w:pPr>
        <w:ind w:right="80" w:firstLine="470"/>
        <w:spacing w:after="0" w:line="191" w:lineRule="exact"/>
        <w:rPr>
          <w:sz w:val="20"/>
          <w:szCs w:val="20"/>
          <w:color w:val="auto"/>
        </w:rPr>
      </w:pPr>
      <w:r>
        <w:rPr>
          <w:rFonts w:ascii="Arial" w:cs="Arial" w:eastAsia="Arial" w:hAnsi="Arial"/>
          <w:sz w:val="16"/>
          <w:szCs w:val="16"/>
          <w:color w:val="auto"/>
        </w:rPr>
        <w:t>Cash provided by operating activities during the year ended January 31, 2022 was $7.0 million. Our net loss of $306.9 million included non</w:t>
      </w:r>
      <w:r>
        <w:rPr>
          <w:rFonts w:ascii="MS PGothic" w:cs="MS PGothic" w:eastAsia="MS PGothic" w:hAnsi="MS PGothic"/>
          <w:sz w:val="16"/>
          <w:szCs w:val="16"/>
          <w:color w:val="auto"/>
        </w:rPr>
        <w:t>‑</w:t>
      </w:r>
      <w:r>
        <w:rPr>
          <w:rFonts w:ascii="Arial" w:cs="Arial" w:eastAsia="Arial" w:hAnsi="Arial"/>
          <w:sz w:val="16"/>
          <w:szCs w:val="16"/>
          <w:color w:val="auto"/>
        </w:rPr>
        <w:t>cash charges of $251.1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$13.7 million for depreciation and amortization, $10.8 million for lease-related charges, $7.5 million for accretion of discount on our short-term investments and $4.0 million for debt issuance costs. In addition, our accrued and other non-current liabilities increased to $63.0 million, driven mainly by increased bonuses and related payroll taxes and higher commissions. The continuing growth of our sales and our expanding customer base led to an increase in deferred revenue of $137.2 million, offset by an increase in deferred</w:t>
      </w:r>
    </w:p>
    <w:p>
      <w:pPr>
        <w:spacing w:after="0" w:line="27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commissions of $84.7 million and an increase in accounts receivable of $62.3 million. Cash provided by operating activities was negatively impacted by higher prepaid and other current assets of $19.9 million.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Cash used in operating activities during the year ended January 31, 2021 was $42.7 million primarily driven by our net loss of $266.9 million, which was</w:t>
      </w:r>
    </w:p>
    <w:p>
      <w:pPr>
        <w:spacing w:after="0" w:line="3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$149.3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$49.1 million for the amortization of our debt discount and issuance costs,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$14.2 million for depreciation and amortization and $10.4 million for lease-related non-cash charges. In addition, our accrued and other liabilities increased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$41.6 million, primarily from commissions, bonuses and related payroll taxes accrued as of January 31, 2021. The overall growth of our sales and our expanding</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customer base led to an increase in deferred revenue by $48.2 million, offset by an increase in accounts receivable of $47.6 million and an increase of $41.6</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million in deferred commissions.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Investing Activities</w:t>
      </w:r>
    </w:p>
    <w:p>
      <w:pPr>
        <w:spacing w:after="0" w:line="170"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Cash used in investing activities during the year ended January 31, 2022 was $852.1 million, primarily due to cash used to purchase marketable securities, net of maturities, of $835.3 million, as a result of the increased cash balance following our June 2021 equity offering, $4.5 million of net cash used for an immaterial acquisition and $4.3 million of cash to purchase non-marketable securities. In addition, we used $8.1 million of cash to purchase property and equipment.</w:t>
      </w:r>
    </w:p>
    <w:p>
      <w:pPr>
        <w:spacing w:after="0" w:line="123" w:lineRule="exact"/>
        <w:rPr>
          <w:sz w:val="20"/>
          <w:szCs w:val="20"/>
          <w:color w:val="auto"/>
        </w:rPr>
      </w:pPr>
    </w:p>
    <w:p>
      <w:pPr>
        <w:ind w:right="360" w:firstLine="470"/>
        <w:spacing w:after="0" w:line="321" w:lineRule="auto"/>
        <w:rPr>
          <w:sz w:val="20"/>
          <w:szCs w:val="20"/>
          <w:color w:val="auto"/>
        </w:rPr>
      </w:pPr>
      <w:r>
        <w:rPr>
          <w:rFonts w:ascii="Arial" w:cs="Arial" w:eastAsia="Arial" w:hAnsi="Arial"/>
          <w:sz w:val="16"/>
          <w:szCs w:val="16"/>
          <w:color w:val="auto"/>
        </w:rPr>
        <w:t>Cash used in investing activities during the year ended January 31, 2021 of $262.7 million resulted from the purchase of marketable securities, net of maturities, $11.8 million used to purchase property and equipment and $0.5 million of net cash used to purchase non-marketable securities.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Financing Activities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Cash provided by financing activities during the year ended January 31, 2022 was $890.9 million, primarily due to $889.2 million net proceeds from our June 2021 equity offering, $25.2 million of proceeds from the issuance of common stock under the Employee Stock Purchase Plan and $9.7 million of proceeds from the exercises of stock options, partially offset by $5.6 million principal repayments of finance leases, as well as $27.6 million used to repay a portion of our 2024 convertible notes upon redemption.</w:t>
      </w:r>
    </w:p>
    <w:p>
      <w:pPr>
        <w:spacing w:after="0" w:line="123"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Cash provided by financing activities during the year ended January 31, 2021 was $27.6 million, primarily due to $18.5 million of proceeds from the issuance of common stock under the Employee Stock Purchase Plan and $17.0 million of proceeds from the exercises of stock options, partially offset by $4.6 million principal repayments of finance leases, as well as $4.2 million used for payments of issuance costs related to our January 2020 offering of 0.25% convertible senior notes due 2026 that had been accrued as of January 31, 2020.</w:t>
      </w: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contractual obligations as of January 31, 2022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Payments Due by Period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1"/>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Less Than 1 Year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1 to 3 Years</w:t>
            </w:r>
          </w:p>
        </w:tc>
        <w:tc>
          <w:tcPr>
            <w:tcW w:w="20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 Years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More Than 5 Years</w:t>
            </w: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0.25% convertible senior notes due 2026</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1,152,863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160" w:type="dxa"/>
            <w:vAlign w:val="bottom"/>
          </w:tcPr>
          <w:p>
            <w:pPr>
              <w:ind w:left="20"/>
              <w:spacing w:after="0"/>
              <w:rPr>
                <w:sz w:val="20"/>
                <w:szCs w:val="20"/>
                <w:color w:val="auto"/>
              </w:rPr>
            </w:pPr>
            <w:r>
              <w:rPr>
                <w:rFonts w:ascii="Arial" w:cs="Arial" w:eastAsia="Arial" w:hAnsi="Arial"/>
                <w:sz w:val="17"/>
                <w:szCs w:val="17"/>
                <w:color w:val="auto"/>
              </w:rPr>
              <w:t>Finance lease obligations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66,749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17,422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25,408</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17,274</w:t>
            </w:r>
          </w:p>
        </w:tc>
      </w:tr>
      <w:tr>
        <w:trPr>
          <w:trHeight w:val="22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obligations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440,243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215,000</w:t>
            </w: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2,545,808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1,621,304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257,682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60" w:firstLine="470"/>
        <w:spacing w:after="0" w:line="288" w:lineRule="auto"/>
        <w:rPr>
          <w:sz w:val="20"/>
          <w:szCs w:val="20"/>
          <w:color w:val="auto"/>
        </w:rPr>
      </w:pPr>
      <w:r>
        <w:rPr>
          <w:rFonts w:ascii="Arial" w:cs="Arial" w:eastAsia="Arial" w:hAnsi="Arial"/>
          <w:sz w:val="17"/>
          <w:szCs w:val="17"/>
          <w:color w:val="auto"/>
        </w:rPr>
        <w:t>At January 31, 2022, our material short-term and long-term cash requirements for various contractual obligations and commitments consisted of the following:</w:t>
      </w:r>
    </w:p>
    <w:p>
      <w:pPr>
        <w:spacing w:after="0" w:line="14" w:lineRule="exact"/>
        <w:rPr>
          <w:sz w:val="20"/>
          <w:szCs w:val="20"/>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principal and future interest payments related to our 2026 Notes;</w:t>
      </w:r>
    </w:p>
    <w:p>
      <w:pPr>
        <w:spacing w:after="0" w:line="78" w:lineRule="exact"/>
        <w:rPr>
          <w:rFonts w:ascii="Arial" w:cs="Arial" w:eastAsia="Arial" w:hAnsi="Arial"/>
          <w:sz w:val="17"/>
          <w:szCs w:val="17"/>
          <w:color w:val="auto"/>
        </w:rPr>
      </w:pPr>
    </w:p>
    <w:p>
      <w:pPr>
        <w:jc w:val="both"/>
        <w:ind w:left="640" w:right="140" w:hanging="322"/>
        <w:spacing w:after="0" w:line="272"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purchase obligations under non-cancelable agreements for cloud infrastructure capacity commitments and subscription and marketing services. In January 2022, we expanded our enterprise partnership arrangement with a cloud infrastructure provider that includes a non-cancelable commitment of $1.1 billion over the next six years, which commenced during February 2022;</w:t>
      </w:r>
    </w:p>
    <w:p>
      <w:pPr>
        <w:spacing w:after="0" w:line="41"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finance and operating lease obligations under non-cancelable leases for office space expiring through 2032; and</w:t>
      </w:r>
    </w:p>
    <w:p>
      <w:pPr>
        <w:spacing w:after="0" w:line="78"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accounts payable and accrued liabilities on our consolidated balance sheet (primarily short-term in nature).</w:t>
      </w:r>
    </w:p>
    <w:p>
      <w:pPr>
        <w:spacing w:after="0" w:line="314"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 xml:space="preserve">For further details of our contractual obligations and lease agreements, refer to our Notes to Consolidated Financial Statements, within Part II, Item 8, </w:t>
      </w:r>
      <w:r>
        <w:rPr>
          <w:rFonts w:ascii="Arial" w:cs="Arial" w:eastAsia="Arial" w:hAnsi="Arial"/>
          <w:sz w:val="17"/>
          <w:szCs w:val="17"/>
          <w:i w:val="1"/>
          <w:iCs w:val="1"/>
          <w:color w:val="auto"/>
        </w:rPr>
        <w:t xml:space="preserve">Financial Statements and Supplementary Data </w:t>
      </w:r>
      <w:r>
        <w:rPr>
          <w:rFonts w:ascii="Arial" w:cs="Arial" w:eastAsia="Arial" w:hAnsi="Arial"/>
          <w:sz w:val="17"/>
          <w:szCs w:val="17"/>
          <w:color w:val="auto"/>
        </w:rPr>
        <w:t>of this Form 10-K, specifically Note 6,</w:t>
      </w:r>
      <w:r>
        <w:rPr>
          <w:rFonts w:ascii="Arial" w:cs="Arial" w:eastAsia="Arial" w:hAnsi="Arial"/>
          <w:sz w:val="17"/>
          <w:szCs w:val="17"/>
          <w:i w:val="1"/>
          <w:iCs w:val="1"/>
          <w:color w:val="auto"/>
        </w:rPr>
        <w:t xml:space="preserve"> Convertible Senior Notes</w:t>
      </w:r>
      <w:r>
        <w:rPr>
          <w:rFonts w:ascii="Arial" w:cs="Arial" w:eastAsia="Arial" w:hAnsi="Arial"/>
          <w:sz w:val="17"/>
          <w:szCs w:val="17"/>
          <w:color w:val="auto"/>
        </w:rPr>
        <w:t>, Note 7,</w:t>
      </w:r>
      <w:r>
        <w:rPr>
          <w:rFonts w:ascii="Arial" w:cs="Arial" w:eastAsia="Arial" w:hAnsi="Arial"/>
          <w:sz w:val="17"/>
          <w:szCs w:val="17"/>
          <w:i w:val="1"/>
          <w:iCs w:val="1"/>
          <w:color w:val="auto"/>
        </w:rPr>
        <w:t xml:space="preserve"> Leases </w:t>
      </w:r>
      <w:r>
        <w:rPr>
          <w:rFonts w:ascii="Arial" w:cs="Arial" w:eastAsia="Arial" w:hAnsi="Arial"/>
          <w:sz w:val="17"/>
          <w:szCs w:val="17"/>
          <w:color w:val="auto"/>
        </w:rPr>
        <w:t>and Note 8,</w:t>
      </w:r>
      <w:r>
        <w:rPr>
          <w:rFonts w:ascii="Arial" w:cs="Arial" w:eastAsia="Arial" w:hAnsi="Arial"/>
          <w:sz w:val="17"/>
          <w:szCs w:val="17"/>
          <w:i w:val="1"/>
          <w:iCs w:val="1"/>
          <w:color w:val="auto"/>
        </w:rPr>
        <w:t xml:space="preserve">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3"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The critical accounting estimates, assumptions and judgments that we believe have the most significant impact on our consolidated financial statements are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70" w:lineRule="exact"/>
        <w:rPr>
          <w:sz w:val="20"/>
          <w:szCs w:val="20"/>
          <w:color w:val="auto"/>
        </w:rPr>
      </w:pPr>
    </w:p>
    <w:p>
      <w:pPr>
        <w:ind w:right="40" w:firstLine="470"/>
        <w:spacing w:after="0" w:line="313" w:lineRule="auto"/>
        <w:rPr>
          <w:sz w:val="20"/>
          <w:szCs w:val="20"/>
          <w:color w:val="auto"/>
        </w:rPr>
      </w:pPr>
      <w:r>
        <w:rPr>
          <w:rFonts w:ascii="Arial" w:cs="Arial" w:eastAsia="Arial" w:hAnsi="Arial"/>
          <w:sz w:val="15"/>
          <w:szCs w:val="15"/>
          <w:color w:val="auto"/>
        </w:rPr>
        <w:t>We derive our revenue from two sources: (1) sales of subscriptions, including term license and post-contract customer support (“PCS”) and consumption-based database-as-a-service offerings;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87" w:lineRule="exact"/>
        <w:rPr>
          <w:sz w:val="20"/>
          <w:szCs w:val="20"/>
          <w:color w:val="auto"/>
        </w:rPr>
      </w:pPr>
    </w:p>
    <w:p>
      <w:pPr>
        <w:ind w:left="640" w:right="40" w:hanging="322"/>
        <w:spacing w:after="0" w:line="280" w:lineRule="auto"/>
        <w:tabs>
          <w:tab w:leader="none" w:pos="627"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the contract, or contracts, with a customer. </w:t>
      </w:r>
      <w:r>
        <w:rPr>
          <w:rFonts w:ascii="Arial" w:cs="Arial" w:eastAsia="Arial" w:hAnsi="Arial"/>
          <w:sz w:val="16"/>
          <w:szCs w:val="16"/>
          <w:color w:val="auto"/>
        </w:rPr>
        <w:t>We contract with our customers through order forms, which are governed by master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spacing w:after="0" w:line="112" w:lineRule="exact"/>
        <w:rPr>
          <w:rFonts w:ascii="Arial" w:cs="Arial" w:eastAsia="Arial" w:hAnsi="Arial"/>
          <w:sz w:val="16"/>
          <w:szCs w:val="16"/>
          <w:color w:val="auto"/>
        </w:rPr>
      </w:pPr>
    </w:p>
    <w:p>
      <w:pPr>
        <w:ind w:left="640" w:right="40" w:hanging="322"/>
        <w:spacing w:after="0" w:line="263" w:lineRule="auto"/>
        <w:tabs>
          <w:tab w:leader="none" w:pos="637"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performance obligations in the contract. </w:t>
      </w:r>
      <w:r>
        <w:rPr>
          <w:rFonts w:ascii="Arial" w:cs="Arial" w:eastAsia="Arial" w:hAnsi="Arial"/>
          <w:sz w:val="17"/>
          <w:szCs w:val="17"/>
          <w:color w:val="auto"/>
        </w:rPr>
        <w:t>Performance obligations promised in a contract are identified based on the services or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1" w:lineRule="exact"/>
        <w:rPr>
          <w:rFonts w:ascii="Arial" w:cs="Arial" w:eastAsia="Arial" w:hAnsi="Arial"/>
          <w:sz w:val="17"/>
          <w:szCs w:val="17"/>
          <w:color w:val="auto"/>
        </w:rPr>
      </w:pPr>
    </w:p>
    <w:p>
      <w:pPr>
        <w:jc w:val="both"/>
        <w:ind w:left="640" w:right="20" w:hanging="322"/>
        <w:spacing w:after="0" w:line="329" w:lineRule="auto"/>
        <w:tabs>
          <w:tab w:leader="none" w:pos="633"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Determination of the transaction price. </w:t>
      </w:r>
      <w:r>
        <w:rPr>
          <w:rFonts w:ascii="Arial" w:cs="Arial" w:eastAsia="Arial" w:hAnsi="Arial"/>
          <w:sz w:val="15"/>
          <w:szCs w:val="15"/>
          <w:color w:val="auto"/>
        </w:rPr>
        <w:t>The transaction price is determined based on the consideration to which we expect to be entitled in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74" w:lineRule="exact"/>
        <w:rPr>
          <w:rFonts w:ascii="Arial" w:cs="Arial" w:eastAsia="Arial" w:hAnsi="Arial"/>
          <w:sz w:val="15"/>
          <w:szCs w:val="15"/>
          <w:color w:val="auto"/>
        </w:rPr>
      </w:pPr>
    </w:p>
    <w:p>
      <w:pPr>
        <w:ind w:left="640" w:hanging="322"/>
        <w:spacing w:after="0" w:line="280" w:lineRule="auto"/>
        <w:tabs>
          <w:tab w:leader="none" w:pos="625"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Allocation of the transaction price to the performance obligations in the contract. </w:t>
      </w:r>
      <w:r>
        <w:rPr>
          <w:rFonts w:ascii="Arial" w:cs="Arial" w:eastAsia="Arial" w:hAnsi="Arial"/>
          <w:sz w:val="16"/>
          <w:szCs w:val="16"/>
          <w:color w:val="auto"/>
        </w:rPr>
        <w:t>If the contract contains a single performance obligation,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we utilize all observable data points including competitor pricing for a similar or identical product, market and industry data points and our pricing practices to establish the SSP.</w:t>
      </w:r>
    </w:p>
    <w:p>
      <w:pPr>
        <w:spacing w:after="0" w:line="112" w:lineRule="exact"/>
        <w:rPr>
          <w:rFonts w:ascii="Arial" w:cs="Arial" w:eastAsia="Arial" w:hAnsi="Arial"/>
          <w:sz w:val="16"/>
          <w:szCs w:val="16"/>
          <w:color w:val="auto"/>
        </w:rPr>
      </w:pPr>
    </w:p>
    <w:p>
      <w:pPr>
        <w:ind w:left="640" w:right="260" w:hanging="322"/>
        <w:spacing w:after="0" w:line="295" w:lineRule="auto"/>
        <w:tabs>
          <w:tab w:leader="none" w:pos="62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revenue when, or as, we satisfy a performance obligation. </w:t>
      </w:r>
      <w:r>
        <w:rPr>
          <w:rFonts w:ascii="Arial" w:cs="Arial" w:eastAsia="Arial" w:hAnsi="Arial"/>
          <w:sz w:val="17"/>
          <w:szCs w:val="17"/>
          <w:color w:val="auto"/>
        </w:rPr>
        <w:t>We recognize revenue at the time the related performance obligation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satisfied when control of the services or products are transferred to the customers,</w:t>
      </w:r>
    </w:p>
    <w:p>
      <w:pPr>
        <w:spacing w:after="0" w:line="24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340"/>
        <w:spacing w:after="0" w:line="288" w:lineRule="auto"/>
        <w:rPr>
          <w:sz w:val="20"/>
          <w:szCs w:val="20"/>
          <w:color w:val="auto"/>
        </w:rPr>
      </w:pPr>
      <w:r>
        <w:rPr>
          <w:rFonts w:ascii="Arial" w:cs="Arial" w:eastAsia="Arial" w:hAnsi="Arial"/>
          <w:sz w:val="17"/>
          <w:szCs w:val="17"/>
          <w:color w:val="auto"/>
        </w:rPr>
        <w:t>in an amount that reflects the consideration we expect to be entitled to in exchange for those services or products. We record our revenue net of any value added or sales tax.</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2C2C2C"/>
        </w:rPr>
        <w:t>Business Combinations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use our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 Acquisition-related expenses are recognized separately from the business combination and are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6" w:lineRule="exact"/>
        <w:rPr>
          <w:sz w:val="20"/>
          <w:szCs w:val="20"/>
          <w:color w:val="auto"/>
        </w:rPr>
      </w:pPr>
    </w:p>
    <w:p>
      <w:pPr>
        <w:ind w:right="460" w:firstLine="470"/>
        <w:spacing w:after="0" w:line="272" w:lineRule="auto"/>
        <w:rPr>
          <w:sz w:val="20"/>
          <w:szCs w:val="20"/>
          <w:color w:val="auto"/>
        </w:rPr>
      </w:pPr>
      <w:r>
        <w:rPr>
          <w:rFonts w:ascii="Arial" w:cs="Arial" w:eastAsia="Arial" w:hAnsi="Arial"/>
          <w:sz w:val="17"/>
          <w:szCs w:val="17"/>
          <w:color w:val="auto"/>
        </w:rPr>
        <w:t>We have operations both within the United States and internationally and we are exposed to market risk in the ordinary course of business. The uncertainty that exists with respect to the global economic impact of the ongoing COVID-19 pandemic has introduced significant volatility in the financial markets.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Interest Rate Risk</w:t>
      </w:r>
    </w:p>
    <w:p>
      <w:pPr>
        <w:spacing w:after="0" w:line="170"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Our cash and cash equivalents primarily consist of bank deposits and money market funds and our short-term investments consist of U.S. government treasury securities. As of January 31, 2022 and 2021, we had cash, cash equivalents, restricted cash and short-term investments of $1.8 billion and $958.3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2022 and 2021.</w:t>
      </w:r>
    </w:p>
    <w:p>
      <w:pPr>
        <w:spacing w:after="0" w:line="118" w:lineRule="exact"/>
        <w:rPr>
          <w:sz w:val="20"/>
          <w:szCs w:val="20"/>
          <w:color w:val="auto"/>
        </w:rPr>
      </w:pPr>
    </w:p>
    <w:p>
      <w:pPr>
        <w:ind w:right="80" w:firstLine="470"/>
        <w:spacing w:after="0" w:line="277" w:lineRule="auto"/>
        <w:rPr>
          <w:sz w:val="20"/>
          <w:szCs w:val="20"/>
          <w:color w:val="auto"/>
        </w:rPr>
      </w:pPr>
      <w:r>
        <w:rPr>
          <w:rFonts w:ascii="Arial" w:cs="Arial" w:eastAsia="Arial" w:hAnsi="Arial"/>
          <w:sz w:val="16"/>
          <w:szCs w:val="16"/>
          <w:color w:val="auto"/>
        </w:rPr>
        <w:t>In June 2018, we issued $250.0 million aggregate principal amount of 0.75% convertible senior notes due 2024 in a private placement and, in July 2018, we issued an additional $50.0 million aggregate principal amount of 0.75% convertible senior notes pursuant to the exercise in full of the initial purchasers’ option to purchase additional convertible senior notes (collectively, the “2024 Notes”). In January 2020, we issued $1.15 billion aggregate principal amount of 0.25% convertible senior notes due 2026 in a private placement (the “2026 Notes”). Concurrently with the issuance of the 2026 Notes, we repurchased $210.0 million aggregate principal amount of the 2024 Notes leaving $90.0 million aggregate principal outstanding on the 2024 Notes immediately after the exchange. On December 3, 2021, we redeemed the remaining outstanding principal balance of the 2024 Notes such that we no longer had a liability with respect to the 2024 Notes as of this date. The fair value of the 2026 Notes are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Foreign Currency Risk</w:t>
      </w:r>
    </w:p>
    <w:p>
      <w:pPr>
        <w:spacing w:after="0" w:line="170"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2022 and 2021. Given the impact of foreign currency exchange rates has not been material to our historical operating results, we have not entered into derivative or hedging transactions, but we may do so in the future if our exposure to foreign currency should</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become more significant. As our international operations grow, we will continue to reassess our approach to manage our risk relating to fluctuations in currency rates.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Market Risk</w:t>
      </w:r>
    </w:p>
    <w:p>
      <w:pPr>
        <w:spacing w:after="0" w:line="170" w:lineRule="exact"/>
        <w:rPr>
          <w:sz w:val="20"/>
          <w:szCs w:val="20"/>
          <w:color w:val="auto"/>
        </w:rPr>
      </w:pPr>
    </w:p>
    <w:p>
      <w:pPr>
        <w:ind w:right="200" w:firstLine="470"/>
        <w:spacing w:after="0" w:line="288" w:lineRule="auto"/>
        <w:rPr>
          <w:sz w:val="20"/>
          <w:szCs w:val="20"/>
          <w:color w:val="auto"/>
        </w:rPr>
      </w:pPr>
      <w:r>
        <w:rPr>
          <w:rFonts w:ascii="Arial" w:cs="Arial" w:eastAsia="Arial" w:hAnsi="Arial"/>
          <w:sz w:val="16"/>
          <w:szCs w:val="16"/>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January 31, 2022 and 2021, the total amount of non-marketable securities included in other assets on our balance sheet was $4.8 million and $0.5 million, respectively.</w:t>
      </w:r>
    </w:p>
    <w:p>
      <w:pPr>
        <w:spacing w:after="0" w:line="25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January 31, 2022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680" w:type="dxa"/>
            <w:vAlign w:val="bottom"/>
            <w:gridSpan w:val="9"/>
          </w:tcPr>
          <w:p>
            <w:pPr>
              <w:spacing w:after="0" w:line="183" w:lineRule="exact"/>
              <w:rPr>
                <w:rFonts w:ascii="Arial" w:cs="Arial" w:eastAsia="Arial" w:hAnsi="Arial"/>
                <w:sz w:val="17"/>
                <w:szCs w:val="17"/>
                <w:color w:val="0000FF"/>
              </w:rPr>
            </w:pPr>
            <w:hyperlink w:anchor="page65">
              <w:r>
                <w:rPr>
                  <w:rFonts w:ascii="Arial" w:cs="Arial" w:eastAsia="Arial" w:hAnsi="Arial"/>
                  <w:sz w:val="17"/>
                  <w:szCs w:val="17"/>
                  <w:color w:val="0000FF"/>
                </w:rPr>
                <w:t xml:space="preserve">Report of Independent Registered Public Accounting Firm (PCAOB ID </w:t>
              </w:r>
            </w:hyperlink>
            <w:r>
              <w:rPr>
                <w:rFonts w:ascii="Arial" w:cs="Arial" w:eastAsia="Arial" w:hAnsi="Arial"/>
                <w:sz w:val="17"/>
                <w:szCs w:val="17"/>
                <w:color w:val="000000"/>
              </w:rPr>
              <w:t>238)</w:t>
            </w:r>
          </w:p>
        </w:tc>
        <w:tc>
          <w:tcPr>
            <w:tcW w:w="540" w:type="dxa"/>
            <w:vAlign w:val="bottom"/>
            <w:gridSpan w:val="3"/>
          </w:tcPr>
          <w:p>
            <w:pPr>
              <w:jc w:val="right"/>
              <w:ind w:right="20"/>
              <w:spacing w:after="0" w:line="183" w:lineRule="exact"/>
              <w:rPr>
                <w:rFonts w:ascii="Arial" w:cs="Arial" w:eastAsia="Arial" w:hAnsi="Arial"/>
                <w:sz w:val="17"/>
                <w:szCs w:val="17"/>
                <w:color w:val="0000FF"/>
              </w:rPr>
            </w:pPr>
            <w:hyperlink w:anchor="page65">
              <w:r>
                <w:rPr>
                  <w:rFonts w:ascii="Arial" w:cs="Arial" w:eastAsia="Arial" w:hAnsi="Arial"/>
                  <w:sz w:val="17"/>
                  <w:szCs w:val="17"/>
                  <w:color w:val="0000FF"/>
                </w:rPr>
                <w:t>63</w:t>
              </w:r>
            </w:hyperlink>
          </w:p>
        </w:tc>
      </w:tr>
      <w:tr>
        <w:trPr>
          <w:trHeight w:val="241"/>
        </w:trPr>
        <w:tc>
          <w:tcPr>
            <w:tcW w:w="20" w:type="dxa"/>
            <w:vAlign w:val="bottom"/>
          </w:tcPr>
          <w:p>
            <w:pPr>
              <w:spacing w:after="0"/>
              <w:rPr>
                <w:sz w:val="20"/>
                <w:szCs w:val="20"/>
                <w:color w:val="auto"/>
              </w:rPr>
            </w:pPr>
          </w:p>
        </w:tc>
        <w:tc>
          <w:tcPr>
            <w:tcW w:w="50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Financial Statements:</w:t>
            </w:r>
          </w:p>
        </w:tc>
        <w:tc>
          <w:tcPr>
            <w:tcW w:w="568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80" w:type="dxa"/>
            <w:vAlign w:val="bottom"/>
            <w:gridSpan w:val="8"/>
          </w:tcPr>
          <w:p>
            <w:pPr>
              <w:spacing w:after="0" w:line="183" w:lineRule="exact"/>
              <w:rPr>
                <w:rFonts w:ascii="Arial" w:cs="Arial" w:eastAsia="Arial" w:hAnsi="Arial"/>
                <w:sz w:val="17"/>
                <w:szCs w:val="17"/>
                <w:color w:val="0000FF"/>
              </w:rPr>
            </w:pPr>
            <w:hyperlink w:anchor="page67">
              <w:r>
                <w:rPr>
                  <w:rFonts w:ascii="Arial" w:cs="Arial" w:eastAsia="Arial" w:hAnsi="Arial"/>
                  <w:sz w:val="17"/>
                  <w:szCs w:val="17"/>
                  <w:color w:val="0000FF"/>
                </w:rPr>
                <w:t>Consolidated Balance Sheets as of January 31, 2022 and 2021</w:t>
              </w:r>
            </w:hyperlink>
          </w:p>
        </w:tc>
        <w:tc>
          <w:tcPr>
            <w:tcW w:w="540" w:type="dxa"/>
            <w:vAlign w:val="bottom"/>
            <w:gridSpan w:val="3"/>
          </w:tcPr>
          <w:p>
            <w:pPr>
              <w:jc w:val="right"/>
              <w:ind w:right="20"/>
              <w:spacing w:after="0" w:line="183" w:lineRule="exact"/>
              <w:rPr>
                <w:rFonts w:ascii="Arial" w:cs="Arial" w:eastAsia="Arial" w:hAnsi="Arial"/>
                <w:sz w:val="17"/>
                <w:szCs w:val="17"/>
                <w:color w:val="0000FF"/>
              </w:rPr>
            </w:pPr>
            <w:hyperlink w:anchor="page67">
              <w:r>
                <w:rPr>
                  <w:rFonts w:ascii="Arial" w:cs="Arial" w:eastAsia="Arial" w:hAnsi="Arial"/>
                  <w:sz w:val="17"/>
                  <w:szCs w:val="17"/>
                  <w:color w:val="0000FF"/>
                </w:rPr>
                <w:t>65</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rFonts w:ascii="Arial" w:cs="Arial" w:eastAsia="Arial" w:hAnsi="Arial"/>
                <w:sz w:val="17"/>
                <w:szCs w:val="17"/>
                <w:color w:val="0000FF"/>
                <w:w w:val="91"/>
              </w:rPr>
            </w:pPr>
            <w:hyperlink w:anchor="page68">
              <w:r>
                <w:rPr>
                  <w:rFonts w:ascii="Arial" w:cs="Arial" w:eastAsia="Arial" w:hAnsi="Arial"/>
                  <w:sz w:val="17"/>
                  <w:szCs w:val="17"/>
                  <w:color w:val="0000FF"/>
                  <w:w w:val="91"/>
                </w:rPr>
                <w:t>Consolidated Statements of Operations for the years ended January 31, 2022, 2021 and 2020</w:t>
              </w:r>
            </w:hyperlink>
          </w:p>
        </w:tc>
        <w:tc>
          <w:tcPr>
            <w:tcW w:w="4020" w:type="dxa"/>
            <w:vAlign w:val="bottom"/>
            <w:gridSpan w:val="3"/>
          </w:tcPr>
          <w:p>
            <w:pPr>
              <w:spacing w:after="0"/>
              <w:rPr>
                <w:sz w:val="17"/>
                <w:szCs w:val="17"/>
                <w:color w:val="auto"/>
              </w:rPr>
            </w:pPr>
          </w:p>
        </w:tc>
        <w:tc>
          <w:tcPr>
            <w:tcW w:w="540" w:type="dxa"/>
            <w:vAlign w:val="bottom"/>
            <w:gridSpan w:val="3"/>
          </w:tcPr>
          <w:p>
            <w:pPr>
              <w:jc w:val="right"/>
              <w:ind w:right="20"/>
              <w:spacing w:after="0"/>
              <w:rPr>
                <w:rFonts w:ascii="Arial" w:cs="Arial" w:eastAsia="Arial" w:hAnsi="Arial"/>
                <w:sz w:val="17"/>
                <w:szCs w:val="17"/>
                <w:color w:val="0000FF"/>
              </w:rPr>
            </w:pPr>
            <w:hyperlink w:anchor="page68">
              <w:r>
                <w:rPr>
                  <w:rFonts w:ascii="Arial" w:cs="Arial" w:eastAsia="Arial" w:hAnsi="Arial"/>
                  <w:sz w:val="17"/>
                  <w:szCs w:val="17"/>
                  <w:color w:val="0000FF"/>
                </w:rPr>
                <w:t>66</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rFonts w:ascii="Arial" w:cs="Arial" w:eastAsia="Arial" w:hAnsi="Arial"/>
                <w:sz w:val="17"/>
                <w:szCs w:val="17"/>
                <w:color w:val="0000FF"/>
                <w:w w:val="91"/>
              </w:rPr>
            </w:pPr>
            <w:hyperlink w:anchor="page69">
              <w:r>
                <w:rPr>
                  <w:rFonts w:ascii="Arial" w:cs="Arial" w:eastAsia="Arial" w:hAnsi="Arial"/>
                  <w:sz w:val="17"/>
                  <w:szCs w:val="17"/>
                  <w:color w:val="0000FF"/>
                  <w:w w:val="91"/>
                </w:rPr>
                <w:t>Consolidated Statements of Comprehensive Loss for the years ended January 31, 2022, 2021 and 2020</w:t>
              </w:r>
            </w:hyperlink>
          </w:p>
        </w:tc>
        <w:tc>
          <w:tcPr>
            <w:tcW w:w="3320" w:type="dxa"/>
            <w:vAlign w:val="bottom"/>
            <w:gridSpan w:val="2"/>
          </w:tcPr>
          <w:p>
            <w:pPr>
              <w:spacing w:after="0"/>
              <w:rPr>
                <w:sz w:val="17"/>
                <w:szCs w:val="17"/>
                <w:color w:val="auto"/>
              </w:rPr>
            </w:pPr>
          </w:p>
        </w:tc>
        <w:tc>
          <w:tcPr>
            <w:tcW w:w="540" w:type="dxa"/>
            <w:vAlign w:val="bottom"/>
            <w:gridSpan w:val="3"/>
          </w:tcPr>
          <w:p>
            <w:pPr>
              <w:jc w:val="right"/>
              <w:ind w:right="20"/>
              <w:spacing w:after="0"/>
              <w:rPr>
                <w:rFonts w:ascii="Arial" w:cs="Arial" w:eastAsia="Arial" w:hAnsi="Arial"/>
                <w:sz w:val="17"/>
                <w:szCs w:val="17"/>
                <w:color w:val="0000FF"/>
              </w:rPr>
            </w:pPr>
            <w:hyperlink w:anchor="page69">
              <w:r>
                <w:rPr>
                  <w:rFonts w:ascii="Arial" w:cs="Arial" w:eastAsia="Arial" w:hAnsi="Arial"/>
                  <w:sz w:val="17"/>
                  <w:szCs w:val="17"/>
                  <w:color w:val="0000FF"/>
                </w:rPr>
                <w:t>67</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8"/>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Consolidated Statements of Stockholders’ Equity (Deficit) for the years ended January 31, 2022, 2021 and 2020</w:t>
              </w:r>
            </w:hyperlink>
          </w:p>
        </w:tc>
        <w:tc>
          <w:tcPr>
            <w:tcW w:w="540" w:type="dxa"/>
            <w:vAlign w:val="bottom"/>
            <w:gridSpan w:val="3"/>
          </w:tcPr>
          <w:p>
            <w:pPr>
              <w:jc w:val="right"/>
              <w:ind w:right="20"/>
              <w:spacing w:after="0"/>
              <w:rPr>
                <w:rFonts w:ascii="Arial" w:cs="Arial" w:eastAsia="Arial" w:hAnsi="Arial"/>
                <w:sz w:val="17"/>
                <w:szCs w:val="17"/>
                <w:color w:val="0000FF"/>
              </w:rPr>
            </w:pPr>
            <w:hyperlink w:anchor="page70">
              <w:r>
                <w:rPr>
                  <w:rFonts w:ascii="Arial" w:cs="Arial" w:eastAsia="Arial" w:hAnsi="Arial"/>
                  <w:sz w:val="17"/>
                  <w:szCs w:val="17"/>
                  <w:color w:val="0000FF"/>
                </w:rPr>
                <w:t>68</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rFonts w:ascii="Arial" w:cs="Arial" w:eastAsia="Arial" w:hAnsi="Arial"/>
                <w:sz w:val="17"/>
                <w:szCs w:val="17"/>
                <w:color w:val="0000FF"/>
                <w:w w:val="91"/>
              </w:rPr>
            </w:pPr>
            <w:hyperlink w:anchor="page71">
              <w:r>
                <w:rPr>
                  <w:rFonts w:ascii="Arial" w:cs="Arial" w:eastAsia="Arial" w:hAnsi="Arial"/>
                  <w:sz w:val="17"/>
                  <w:szCs w:val="17"/>
                  <w:color w:val="0000FF"/>
                  <w:w w:val="91"/>
                </w:rPr>
                <w:t>Consolidated Statements of Cash Flows for years ended January 31, 2022, 2021 and 2020</w:t>
              </w:r>
            </w:hyperlink>
          </w:p>
        </w:tc>
        <w:tc>
          <w:tcPr>
            <w:tcW w:w="1540" w:type="dxa"/>
            <w:vAlign w:val="bottom"/>
            <w:gridSpan w:val="3"/>
          </w:tcPr>
          <w:p>
            <w:pPr>
              <w:spacing w:after="0"/>
              <w:rPr>
                <w:sz w:val="17"/>
                <w:szCs w:val="17"/>
                <w:color w:val="auto"/>
              </w:rPr>
            </w:pPr>
          </w:p>
        </w:tc>
        <w:tc>
          <w:tcPr>
            <w:tcW w:w="2680" w:type="dxa"/>
            <w:vAlign w:val="bottom"/>
          </w:tcPr>
          <w:p>
            <w:pPr>
              <w:spacing w:after="0"/>
              <w:rPr>
                <w:sz w:val="17"/>
                <w:szCs w:val="17"/>
                <w:color w:val="auto"/>
              </w:rPr>
            </w:pPr>
          </w:p>
        </w:tc>
        <w:tc>
          <w:tcPr>
            <w:tcW w:w="540" w:type="dxa"/>
            <w:vAlign w:val="bottom"/>
            <w:gridSpan w:val="3"/>
          </w:tcPr>
          <w:p>
            <w:pPr>
              <w:jc w:val="right"/>
              <w:ind w:right="20"/>
              <w:spacing w:after="0"/>
              <w:rPr>
                <w:rFonts w:ascii="Arial" w:cs="Arial" w:eastAsia="Arial" w:hAnsi="Arial"/>
                <w:sz w:val="17"/>
                <w:szCs w:val="17"/>
                <w:color w:val="0000FF"/>
              </w:rPr>
            </w:pPr>
            <w:hyperlink w:anchor="page71">
              <w:r>
                <w:rPr>
                  <w:rFonts w:ascii="Arial" w:cs="Arial" w:eastAsia="Arial" w:hAnsi="Arial"/>
                  <w:sz w:val="17"/>
                  <w:szCs w:val="17"/>
                  <w:color w:val="0000FF"/>
                </w:rPr>
                <w:t>69</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rFonts w:ascii="Arial" w:cs="Arial" w:eastAsia="Arial" w:hAnsi="Arial"/>
                <w:sz w:val="17"/>
                <w:szCs w:val="17"/>
                <w:color w:val="0000FF"/>
              </w:rPr>
            </w:pPr>
            <w:hyperlink w:anchor="page73">
              <w:r>
                <w:rPr>
                  <w:rFonts w:ascii="Arial" w:cs="Arial" w:eastAsia="Arial" w:hAnsi="Arial"/>
                  <w:sz w:val="17"/>
                  <w:szCs w:val="17"/>
                  <w:color w:val="0000FF"/>
                </w:rPr>
                <w:t>Notes to Consolidated Financial Statements</w:t>
              </w:r>
            </w:hyperlink>
          </w:p>
        </w:tc>
        <w:tc>
          <w:tcPr>
            <w:tcW w:w="4220" w:type="dxa"/>
            <w:vAlign w:val="bottom"/>
            <w:gridSpan w:val="4"/>
          </w:tcPr>
          <w:p>
            <w:pPr>
              <w:spacing w:after="0"/>
              <w:rPr>
                <w:sz w:val="17"/>
                <w:szCs w:val="17"/>
                <w:color w:val="auto"/>
              </w:rPr>
            </w:pPr>
          </w:p>
        </w:tc>
        <w:tc>
          <w:tcPr>
            <w:tcW w:w="540" w:type="dxa"/>
            <w:vAlign w:val="bottom"/>
            <w:gridSpan w:val="3"/>
          </w:tcPr>
          <w:p>
            <w:pPr>
              <w:jc w:val="right"/>
              <w:ind w:right="20"/>
              <w:spacing w:after="0"/>
              <w:rPr>
                <w:rFonts w:ascii="Arial" w:cs="Arial" w:eastAsia="Arial" w:hAnsi="Arial"/>
                <w:sz w:val="17"/>
                <w:szCs w:val="17"/>
                <w:color w:val="0000FF"/>
              </w:rPr>
            </w:pPr>
            <w:hyperlink w:anchor="page73">
              <w:r>
                <w:rPr>
                  <w:rFonts w:ascii="Arial" w:cs="Arial" w:eastAsia="Arial" w:hAnsi="Arial"/>
                  <w:sz w:val="17"/>
                  <w:szCs w:val="17"/>
                  <w:color w:val="0000FF"/>
                </w:rPr>
                <w:t>71</w:t>
              </w:r>
            </w:hyperlink>
          </w:p>
        </w:tc>
      </w:tr>
      <w:tr>
        <w:trPr>
          <w:trHeight w:val="855"/>
        </w:trPr>
        <w:tc>
          <w:tcPr>
            <w:tcW w:w="220" w:type="dxa"/>
            <w:vAlign w:val="bottom"/>
            <w:gridSpan w:val="2"/>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3220" w:type="dxa"/>
            <w:vAlign w:val="bottom"/>
            <w:gridSpan w:val="3"/>
          </w:tcPr>
          <w:p>
            <w:pPr>
              <w:jc w:val="right"/>
              <w:ind w:right="540"/>
              <w:spacing w:after="0"/>
              <w:rPr>
                <w:sz w:val="20"/>
                <w:szCs w:val="20"/>
                <w:color w:val="auto"/>
              </w:rPr>
            </w:pPr>
            <w:r>
              <w:rPr>
                <w:rFonts w:ascii="Arial" w:cs="Arial" w:eastAsia="Arial" w:hAnsi="Arial"/>
                <w:sz w:val="17"/>
                <w:szCs w:val="17"/>
                <w:color w:val="auto"/>
              </w:rPr>
              <w:t>62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699"/>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MongoDB, Inc.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We have audited the accompanying consolidated balance sheets of MongoDB, Inc. and its subsidiaries (the “Company”) as of January 31, 2022 and 2021, and the related consolidated statements of operations, of comprehensive loss, of stockholders' equity (deficit) and of cash flows for each of the three years in the period ended January 31, 2022, including the related notes and schedule of valuation and qualifying accounts for each of the three years in the period ended January 31, 2022 appearing under Item 15(a)(2) (collectively referred to as the “consolidated financial statements”). We also have audited the Company's internal control over financial reporting as of January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2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 Also in our opinion, the Company maintained, in all material respects, effective internal control over financial reporting as of January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As discussed in Notes 2 and 7 to the consolidated financial statements, the Company changed the manner in which it accounts for convertible senior notes as of February 1, 2021 and the manner in which it accounts for leases as of February 1, 2019.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9"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25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7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 w:lineRule="exact"/>
        <w:rPr>
          <w:sz w:val="20"/>
          <w:szCs w:val="20"/>
          <w:color w:val="auto"/>
        </w:rPr>
      </w:pPr>
    </w:p>
    <w:p>
      <w:pPr>
        <w:ind w:right="60" w:firstLine="5"/>
        <w:spacing w:after="0" w:line="265" w:lineRule="auto"/>
        <w:tabs>
          <w:tab w:leader="none" w:pos="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 Allocation of Transaction Price in Revenue Arrangements with Multiple Performance Obligations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described in Notes 2 and 10 to the consolidated financial statements, other subscription revenue was $349.8 million for the year ended January 31, 2022. Certain of the Company’s contracts with customers contain multiple performance obligations, such as the license portion of time-based software licenses, post-contract customer support, and services. For these contracts that contain multiple performance obligations, management allocates the transaction price to each performance obligation based on a relative standalone selling price. Management determines each standalone selling price based on multiple factors, including past history of selling such performance obligations as standalone products. Management estimates standalone selling price for performance obligations with no observable evidence using adjusted market, cost plus and residual methods to establish the standalone selling prices. In cases where directly observable standalone sales are not available, management utilizes all observable data points including competitor pricing for a similar or identical product, market and industry data points, and the Company’s pricing practices.</w:t>
      </w:r>
    </w:p>
    <w:p>
      <w:pPr>
        <w:spacing w:after="0" w:line="11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 allocation of transaction price in revenue arrangements with multiple performance obligations is a critical audit matter are (i) the significant judgment by management in estimating the standalone selling price for certain of the Company’s performance obligations and allocating the transaction price based on a relative allocation of standalone selling price to those individual performance obligations, which in turn led to (ii) significant auditor judgment, subjectivity and effort in performing procedures and evaluating management’s estimates of standalone selling price and the allocation of transaction price to the individual performance obligations.</w:t>
      </w:r>
    </w:p>
    <w:p>
      <w:pPr>
        <w:spacing w:after="0" w:line="114"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estimation of the standalone selling price and the allocation of transaction price to the individual performance obligations. These procedures also included testing management’s process for estimating the standalone selling prices, which involved (i) evaluating the appropriateness of the methodologies used by management in establishing the standalone selling prices; (ii) assessing the reasonableness of the significant assumptions developed by management; and (iii) testing the source data utilized in management’s estimate calculations. These procedures also included testing the relative allocation of transaction price to individual performance obligations based on a sample of contracts.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18, 2022</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2013.</w:t>
      </w:r>
    </w:p>
    <w:p>
      <w:pPr>
        <w:spacing w:after="0" w:line="1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174"/>
        </w:trPr>
        <w:tc>
          <w:tcPr>
            <w:tcW w:w="870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70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473,904</w:t>
            </w:r>
          </w:p>
        </w:tc>
        <w:tc>
          <w:tcPr>
            <w:tcW w:w="100" w:type="dxa"/>
            <w:vAlign w:val="bottom"/>
          </w:tcPr>
          <w:p>
            <w:pPr>
              <w:spacing w:after="0"/>
              <w:rPr>
                <w:sz w:val="18"/>
                <w:szCs w:val="18"/>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429,697</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Short-term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1,352,019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528,045</w:t>
            </w:r>
          </w:p>
        </w:tc>
        <w:tc>
          <w:tcPr>
            <w:tcW w:w="0" w:type="dxa"/>
            <w:vAlign w:val="bottom"/>
          </w:tcPr>
          <w:p>
            <w:pPr>
              <w:spacing w:after="0"/>
              <w:rPr>
                <w:sz w:val="1"/>
                <w:szCs w:val="1"/>
                <w:color w:val="auto"/>
              </w:rPr>
            </w:pPr>
          </w:p>
        </w:tc>
      </w:tr>
      <w:tr>
        <w:trPr>
          <w:trHeight w:val="218"/>
        </w:trPr>
        <w:tc>
          <w:tcPr>
            <w:tcW w:w="8700" w:type="dxa"/>
            <w:vAlign w:val="bottom"/>
          </w:tcPr>
          <w:p>
            <w:pPr>
              <w:ind w:left="280"/>
              <w:spacing w:after="0"/>
              <w:rPr>
                <w:sz w:val="20"/>
                <w:szCs w:val="20"/>
                <w:color w:val="auto"/>
              </w:rPr>
            </w:pPr>
            <w:r>
              <w:rPr>
                <w:rFonts w:ascii="Arial" w:cs="Arial" w:eastAsia="Arial" w:hAnsi="Arial"/>
                <w:sz w:val="15"/>
                <w:szCs w:val="15"/>
                <w:color w:val="auto"/>
                <w:w w:val="98"/>
              </w:rPr>
              <w:t>Accounts receivable, net of allowance for doubtful accounts of $4,966 and $6,024 as of January 31, 2022 and 2021, respectively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195,383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135,176</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commissions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36,619</w:t>
            </w: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32,573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12,350</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2,117,402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1,141,887</w:t>
            </w:r>
          </w:p>
        </w:tc>
        <w:tc>
          <w:tcPr>
            <w:tcW w:w="0" w:type="dxa"/>
            <w:vAlign w:val="bottom"/>
          </w:tcPr>
          <w:p>
            <w:pPr>
              <w:spacing w:after="0"/>
              <w:rPr>
                <w:sz w:val="1"/>
                <w:szCs w:val="1"/>
                <w:color w:val="auto"/>
              </w:rPr>
            </w:pPr>
          </w:p>
        </w:tc>
      </w:tr>
      <w:tr>
        <w:trPr>
          <w:trHeight w:val="218"/>
        </w:trPr>
        <w:tc>
          <w:tcPr>
            <w:tcW w:w="8700" w:type="dxa"/>
            <w:vAlign w:val="bottom"/>
          </w:tcPr>
          <w:p>
            <w:pPr>
              <w:ind w:left="6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62,625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62,364</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34,587</w:t>
            </w:r>
          </w:p>
        </w:tc>
        <w:tc>
          <w:tcPr>
            <w:tcW w:w="0" w:type="dxa"/>
            <w:vAlign w:val="bottom"/>
          </w:tcPr>
          <w:p>
            <w:pPr>
              <w:spacing w:after="0"/>
              <w:rPr>
                <w:sz w:val="1"/>
                <w:szCs w:val="1"/>
                <w:color w:val="auto"/>
              </w:rPr>
            </w:pPr>
          </w:p>
        </w:tc>
      </w:tr>
      <w:tr>
        <w:trPr>
          <w:trHeight w:val="218"/>
        </w:trPr>
        <w:tc>
          <w:tcPr>
            <w:tcW w:w="8700" w:type="dxa"/>
            <w:vAlign w:val="bottom"/>
          </w:tcPr>
          <w:p>
            <w:pPr>
              <w:ind w:left="6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57,775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55,830</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Acquired intangible assets,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26,275</w:t>
            </w:r>
          </w:p>
        </w:tc>
        <w:tc>
          <w:tcPr>
            <w:tcW w:w="0" w:type="dxa"/>
            <w:vAlign w:val="bottom"/>
          </w:tcPr>
          <w:p>
            <w:pPr>
              <w:spacing w:after="0"/>
              <w:rPr>
                <w:sz w:val="1"/>
                <w:szCs w:val="1"/>
                <w:color w:val="auto"/>
              </w:rPr>
            </w:pPr>
          </w:p>
        </w:tc>
      </w:tr>
      <w:tr>
        <w:trPr>
          <w:trHeight w:val="218"/>
        </w:trPr>
        <w:tc>
          <w:tcPr>
            <w:tcW w:w="8700" w:type="dxa"/>
            <w:vAlign w:val="bottom"/>
          </w:tcPr>
          <w:p>
            <w:pPr>
              <w:ind w:left="60"/>
              <w:spacing w:after="0"/>
              <w:rPr>
                <w:sz w:val="20"/>
                <w:szCs w:val="20"/>
                <w:color w:val="auto"/>
              </w:rPr>
            </w:pPr>
            <w:r>
              <w:rPr>
                <w:rFonts w:ascii="Arial" w:cs="Arial" w:eastAsia="Arial" w:hAnsi="Arial"/>
                <w:sz w:val="15"/>
                <w:szCs w:val="15"/>
                <w:color w:val="auto"/>
              </w:rPr>
              <w:t>Deferred tax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997</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147,494</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85,555</w:t>
            </w:r>
          </w:p>
        </w:tc>
        <w:tc>
          <w:tcPr>
            <w:tcW w:w="0" w:type="dxa"/>
            <w:vAlign w:val="bottom"/>
          </w:tcPr>
          <w:p>
            <w:pPr>
              <w:spacing w:after="0"/>
              <w:rPr>
                <w:sz w:val="1"/>
                <w:szCs w:val="1"/>
                <w:color w:val="auto"/>
              </w:rPr>
            </w:pPr>
          </w:p>
        </w:tc>
      </w:tr>
      <w:tr>
        <w:trPr>
          <w:trHeight w:val="211"/>
        </w:trPr>
        <w:tc>
          <w:tcPr>
            <w:tcW w:w="8700" w:type="dxa"/>
            <w:vAlign w:val="bottom"/>
          </w:tcPr>
          <w:p>
            <w:pPr>
              <w:ind w:left="6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2,449,588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1,407,495</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shd w:val="clear" w:color="auto" w:fill="CCEEFF"/>
          </w:tcPr>
          <w:p>
            <w:pPr>
              <w:ind w:left="60"/>
              <w:spacing w:after="0" w:line="167" w:lineRule="exact"/>
              <w:rPr>
                <w:sz w:val="20"/>
                <w:szCs w:val="20"/>
                <w:color w:val="auto"/>
              </w:rPr>
            </w:pPr>
            <w:r>
              <w:rPr>
                <w:rFonts w:ascii="Arial" w:cs="Arial" w:eastAsia="Arial" w:hAnsi="Arial"/>
                <w:sz w:val="15"/>
                <w:szCs w:val="15"/>
                <w:b w:val="1"/>
                <w:bCs w:val="1"/>
                <w:color w:val="auto"/>
              </w:rPr>
              <w:t>Liabilities and Stockholders’ Equity (Deficit)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6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4,144</w:t>
            </w:r>
          </w:p>
        </w:tc>
        <w:tc>
          <w:tcPr>
            <w:tcW w:w="0" w:type="dxa"/>
            <w:vAlign w:val="bottom"/>
          </w:tcPr>
          <w:p>
            <w:pPr>
              <w:spacing w:after="0"/>
              <w:rPr>
                <w:sz w:val="1"/>
                <w:szCs w:val="1"/>
                <w:color w:val="auto"/>
              </w:rPr>
            </w:pPr>
          </w:p>
        </w:tc>
      </w:tr>
      <w:tr>
        <w:trPr>
          <w:trHeight w:val="218"/>
        </w:trPr>
        <w:tc>
          <w:tcPr>
            <w:tcW w:w="870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112,568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70,210</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0" w:type="dxa"/>
            <w:vAlign w:val="bottom"/>
          </w:tcPr>
          <w:p>
            <w:pPr>
              <w:spacing w:after="0"/>
              <w:rPr>
                <w:sz w:val="1"/>
                <w:szCs w:val="1"/>
                <w:color w:val="auto"/>
              </w:rPr>
            </w:pPr>
          </w:p>
        </w:tc>
      </w:tr>
      <w:tr>
        <w:trPr>
          <w:trHeight w:val="218"/>
        </w:trPr>
        <w:tc>
          <w:tcPr>
            <w:tcW w:w="8700" w:type="dxa"/>
            <w:vAlign w:val="bottom"/>
          </w:tcPr>
          <w:p>
            <w:pPr>
              <w:ind w:left="260"/>
              <w:spacing w:after="0"/>
              <w:rPr>
                <w:sz w:val="20"/>
                <w:szCs w:val="20"/>
                <w:color w:val="auto"/>
              </w:rPr>
            </w:pPr>
            <w:r>
              <w:rPr>
                <w:rFonts w:ascii="Arial" w:cs="Arial" w:eastAsia="Arial" w:hAnsi="Arial"/>
                <w:sz w:val="15"/>
                <w:szCs w:val="15"/>
                <w:color w:val="auto"/>
              </w:rPr>
              <w:t>Other accrued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48,848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56,440</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revenue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352,001</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221,404</w:t>
            </w:r>
          </w:p>
        </w:tc>
        <w:tc>
          <w:tcPr>
            <w:tcW w:w="0" w:type="dxa"/>
            <w:vAlign w:val="bottom"/>
          </w:tcPr>
          <w:p>
            <w:pPr>
              <w:spacing w:after="0"/>
              <w:rPr>
                <w:sz w:val="1"/>
                <w:szCs w:val="1"/>
                <w:color w:val="auto"/>
              </w:rPr>
            </w:pPr>
          </w:p>
        </w:tc>
      </w:tr>
      <w:tr>
        <w:trPr>
          <w:trHeight w:val="198"/>
        </w:trPr>
        <w:tc>
          <w:tcPr>
            <w:tcW w:w="870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526,735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354,541</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tax liability, non-current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w:t>
            </w:r>
          </w:p>
        </w:tc>
        <w:tc>
          <w:tcPr>
            <w:tcW w:w="0" w:type="dxa"/>
            <w:vAlign w:val="bottom"/>
          </w:tcPr>
          <w:p>
            <w:pPr>
              <w:spacing w:after="0"/>
              <w:rPr>
                <w:sz w:val="1"/>
                <w:szCs w:val="1"/>
                <w:color w:val="auto"/>
              </w:rPr>
            </w:pPr>
          </w:p>
        </w:tc>
      </w:tr>
      <w:tr>
        <w:trPr>
          <w:trHeight w:val="231"/>
        </w:trPr>
        <w:tc>
          <w:tcPr>
            <w:tcW w:w="8700" w:type="dxa"/>
            <w:vAlign w:val="bottom"/>
          </w:tcPr>
          <w:p>
            <w:pPr>
              <w:ind w:left="60"/>
              <w:spacing w:after="0"/>
              <w:rPr>
                <w:sz w:val="20"/>
                <w:szCs w:val="20"/>
                <w:color w:val="auto"/>
              </w:rPr>
            </w:pPr>
            <w:r>
              <w:rPr>
                <w:rFonts w:ascii="Arial" w:cs="Arial" w:eastAsia="Arial" w:hAnsi="Arial"/>
                <w:sz w:val="15"/>
                <w:szCs w:val="15"/>
                <w:color w:val="auto"/>
              </w:rPr>
              <w:t>Operating lease liabilities, non-current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38,707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39,095</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revenue, non-current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16,547</w:t>
            </w:r>
          </w:p>
        </w:tc>
        <w:tc>
          <w:tcPr>
            <w:tcW w:w="0" w:type="dxa"/>
            <w:vAlign w:val="bottom"/>
          </w:tcPr>
          <w:p>
            <w:pPr>
              <w:spacing w:after="0"/>
              <w:rPr>
                <w:sz w:val="1"/>
                <w:szCs w:val="1"/>
                <w:color w:val="auto"/>
              </w:rPr>
            </w:pPr>
          </w:p>
        </w:tc>
      </w:tr>
      <w:tr>
        <w:trPr>
          <w:trHeight w:val="231"/>
        </w:trPr>
        <w:tc>
          <w:tcPr>
            <w:tcW w:w="8700" w:type="dxa"/>
            <w:vAlign w:val="bottom"/>
          </w:tcPr>
          <w:p>
            <w:pPr>
              <w:ind w:left="60"/>
              <w:spacing w:after="0"/>
              <w:rPr>
                <w:sz w:val="20"/>
                <w:szCs w:val="20"/>
                <w:color w:val="auto"/>
              </w:rPr>
            </w:pPr>
            <w:r>
              <w:rPr>
                <w:rFonts w:ascii="Arial" w:cs="Arial" w:eastAsia="Arial" w:hAnsi="Arial"/>
                <w:sz w:val="15"/>
                <w:szCs w:val="15"/>
                <w:color w:val="auto"/>
              </w:rPr>
              <w:t>Convertible senior notes,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1,136,521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937,729</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liabilities, non-current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57,665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59,129</w:t>
            </w:r>
          </w:p>
        </w:tc>
        <w:tc>
          <w:tcPr>
            <w:tcW w:w="0" w:type="dxa"/>
            <w:vAlign w:val="bottom"/>
          </w:tcPr>
          <w:p>
            <w:pPr>
              <w:spacing w:after="0"/>
              <w:rPr>
                <w:sz w:val="1"/>
                <w:szCs w:val="1"/>
                <w:color w:val="auto"/>
              </w:rPr>
            </w:pPr>
          </w:p>
        </w:tc>
      </w:tr>
      <w:tr>
        <w:trPr>
          <w:trHeight w:val="211"/>
        </w:trPr>
        <w:tc>
          <w:tcPr>
            <w:tcW w:w="870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1,782,888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1,407,814</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Commitments and contingencies (Note 8)</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60"/>
              <w:spacing w:after="0"/>
              <w:rPr>
                <w:sz w:val="20"/>
                <w:szCs w:val="20"/>
                <w:color w:val="auto"/>
              </w:rPr>
            </w:pPr>
            <w:r>
              <w:rPr>
                <w:rFonts w:ascii="Arial" w:cs="Arial" w:eastAsia="Arial" w:hAnsi="Arial"/>
                <w:sz w:val="15"/>
                <w:szCs w:val="15"/>
                <w:color w:val="auto"/>
              </w:rPr>
              <w:t>Temporary equity, convertible senior notes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4,714</w:t>
            </w: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Stockholders’ equity (deficit):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700" w:type="dxa"/>
            <w:vAlign w:val="bottom"/>
          </w:tcPr>
          <w:p>
            <w:pPr>
              <w:ind w:left="300"/>
              <w:spacing w:after="0"/>
              <w:rPr>
                <w:sz w:val="20"/>
                <w:szCs w:val="20"/>
                <w:color w:val="auto"/>
              </w:rPr>
            </w:pPr>
            <w:r>
              <w:rPr>
                <w:rFonts w:ascii="Arial" w:cs="Arial" w:eastAsia="Arial" w:hAnsi="Arial"/>
                <w:sz w:val="15"/>
                <w:szCs w:val="15"/>
                <w:color w:val="auto"/>
                <w:w w:val="89"/>
              </w:rPr>
              <w:t>Class A common stock, par value of $0.001 per share; 1,000,000,000 shares authorized as of January 31, 2022 and 2021; 67,543,731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700" w:type="dxa"/>
            <w:vAlign w:val="bottom"/>
          </w:tcPr>
          <w:p>
            <w:pPr>
              <w:ind w:left="380"/>
              <w:spacing w:after="0" w:line="170" w:lineRule="exact"/>
              <w:rPr>
                <w:sz w:val="20"/>
                <w:szCs w:val="20"/>
                <w:color w:val="auto"/>
              </w:rPr>
            </w:pPr>
            <w:r>
              <w:rPr>
                <w:rFonts w:ascii="Arial" w:cs="Arial" w:eastAsia="Arial" w:hAnsi="Arial"/>
                <w:sz w:val="15"/>
                <w:szCs w:val="15"/>
                <w:color w:val="auto"/>
                <w:w w:val="90"/>
              </w:rPr>
              <w:t>issued and 67,444,360 shares outstanding as of January 31, 2022 and 60,997,822 shares issued and 60,898,451 shares outstanding as of</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700" w:type="dxa"/>
            <w:vAlign w:val="bottom"/>
          </w:tcPr>
          <w:p>
            <w:pPr>
              <w:ind w:left="380"/>
              <w:spacing w:after="0"/>
              <w:rPr>
                <w:sz w:val="20"/>
                <w:szCs w:val="20"/>
                <w:color w:val="auto"/>
              </w:rPr>
            </w:pPr>
            <w:r>
              <w:rPr>
                <w:rFonts w:ascii="Arial" w:cs="Arial" w:eastAsia="Arial" w:hAnsi="Arial"/>
                <w:sz w:val="15"/>
                <w:szCs w:val="15"/>
                <w:color w:val="auto"/>
              </w:rPr>
              <w:t>January 31, 2021</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1,860,514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932,332</w:t>
            </w:r>
          </w:p>
        </w:tc>
        <w:tc>
          <w:tcPr>
            <w:tcW w:w="0" w:type="dxa"/>
            <w:vAlign w:val="bottom"/>
          </w:tcPr>
          <w:p>
            <w:pPr>
              <w:spacing w:after="0"/>
              <w:rPr>
                <w:sz w:val="1"/>
                <w:szCs w:val="1"/>
                <w:color w:val="auto"/>
              </w:rPr>
            </w:pPr>
          </w:p>
        </w:tc>
      </w:tr>
      <w:tr>
        <w:trPr>
          <w:trHeight w:val="218"/>
        </w:trPr>
        <w:tc>
          <w:tcPr>
            <w:tcW w:w="8700" w:type="dxa"/>
            <w:vAlign w:val="bottom"/>
          </w:tcPr>
          <w:p>
            <w:pPr>
              <w:ind w:left="300"/>
              <w:spacing w:after="0"/>
              <w:rPr>
                <w:sz w:val="20"/>
                <w:szCs w:val="20"/>
                <w:color w:val="auto"/>
              </w:rPr>
            </w:pPr>
            <w:r>
              <w:rPr>
                <w:rFonts w:ascii="Arial" w:cs="Arial" w:eastAsia="Arial" w:hAnsi="Arial"/>
                <w:sz w:val="15"/>
                <w:szCs w:val="15"/>
                <w:color w:val="auto"/>
              </w:rPr>
              <w:t>Treasury stock, 99,371 shares (repurchased at an average of $13.27 per share) as of January 31, 2022 and 2021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226"/>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(1,189,634)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(935,403)</w:t>
            </w:r>
          </w:p>
        </w:tc>
        <w:tc>
          <w:tcPr>
            <w:tcW w:w="0" w:type="dxa"/>
            <w:vAlign w:val="bottom"/>
          </w:tcPr>
          <w:p>
            <w:pPr>
              <w:spacing w:after="0"/>
              <w:rPr>
                <w:sz w:val="1"/>
                <w:szCs w:val="1"/>
                <w:color w:val="auto"/>
              </w:rPr>
            </w:pPr>
          </w:p>
        </w:tc>
      </w:tr>
      <w:tr>
        <w:trPr>
          <w:trHeight w:val="185"/>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stockholders’ equity (deficit)</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666,700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(5,033)</w:t>
            </w:r>
          </w:p>
        </w:tc>
        <w:tc>
          <w:tcPr>
            <w:tcW w:w="0" w:type="dxa"/>
            <w:vAlign w:val="bottom"/>
          </w:tcPr>
          <w:p>
            <w:pPr>
              <w:spacing w:after="0"/>
              <w:rPr>
                <w:sz w:val="1"/>
                <w:szCs w:val="1"/>
                <w:color w:val="auto"/>
              </w:rPr>
            </w:pPr>
          </w:p>
        </w:tc>
      </w:tr>
      <w:tr>
        <w:trPr>
          <w:trHeight w:val="61"/>
        </w:trPr>
        <w:tc>
          <w:tcPr>
            <w:tcW w:w="87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8700" w:type="dxa"/>
            <w:vAlign w:val="bottom"/>
          </w:tcPr>
          <w:p>
            <w:pPr>
              <w:ind w:left="60"/>
              <w:spacing w:after="0"/>
              <w:rPr>
                <w:sz w:val="20"/>
                <w:szCs w:val="20"/>
                <w:color w:val="auto"/>
              </w:rPr>
            </w:pPr>
            <w:r>
              <w:rPr>
                <w:rFonts w:ascii="Arial" w:cs="Arial" w:eastAsia="Arial" w:hAnsi="Arial"/>
                <w:sz w:val="15"/>
                <w:szCs w:val="15"/>
                <w:color w:val="auto"/>
              </w:rPr>
              <w:t>Total liabilities, temporary equity and stockholders’ equity (deficit)</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2,449,588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1,407,495</w:t>
            </w:r>
          </w:p>
        </w:tc>
        <w:tc>
          <w:tcPr>
            <w:tcW w:w="0" w:type="dxa"/>
            <w:vAlign w:val="bottom"/>
          </w:tcPr>
          <w:p>
            <w:pPr>
              <w:spacing w:after="0"/>
              <w:rPr>
                <w:sz w:val="1"/>
                <w:szCs w:val="1"/>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842,047</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565,349</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399,826</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25,031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21,894</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873,782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590,380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421,720</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217,901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145,280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101,691</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31,796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23,665</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125,356</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614,290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413,304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296,364</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471,890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223,893</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308,820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205,161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149,033</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122,944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92,347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71,304</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903,654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622,608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444,230</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(147,866)</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8,556</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(56,107)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(20,983)</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(15,885)</w:t>
            </w:r>
          </w:p>
        </w:tc>
        <w:tc>
          <w:tcPr>
            <w:tcW w:w="0" w:type="dxa"/>
            <w:vAlign w:val="bottom"/>
          </w:tcPr>
          <w:p>
            <w:pPr>
              <w:spacing w:after="0"/>
              <w:rPr>
                <w:sz w:val="1"/>
                <w:szCs w:val="1"/>
                <w:color w:val="auto"/>
              </w:rPr>
            </w:pPr>
          </w:p>
        </w:tc>
      </w:tr>
      <w:tr>
        <w:trPr>
          <w:trHeight w:val="241"/>
        </w:trPr>
        <w:tc>
          <w:tcPr>
            <w:tcW w:w="6680" w:type="dxa"/>
            <w:vAlign w:val="bottom"/>
          </w:tcPr>
          <w:p>
            <w:pPr>
              <w:ind w:left="60"/>
              <w:spacing w:after="0"/>
              <w:rPr>
                <w:sz w:val="20"/>
                <w:szCs w:val="20"/>
                <w:color w:val="auto"/>
              </w:rPr>
            </w:pPr>
            <w:r>
              <w:rPr>
                <w:rFonts w:ascii="Arial" w:cs="Arial" w:eastAsia="Arial" w:hAnsi="Arial"/>
                <w:sz w:val="17"/>
                <w:szCs w:val="17"/>
                <w:color w:val="auto"/>
              </w:rPr>
              <w:t>Loss before provision for (benefit from)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(302,889)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(262,693)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(176,178)</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Provision for (benefit from)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54"/>
        </w:trPr>
        <w:tc>
          <w:tcPr>
            <w:tcW w:w="6680" w:type="dxa"/>
            <w:vAlign w:val="bottom"/>
          </w:tcPr>
          <w:p>
            <w:pPr>
              <w:ind w:left="6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(306,866)</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(266,944)</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(175,522)</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7"/>
                <w:szCs w:val="17"/>
                <w:color w:val="auto"/>
              </w:rPr>
              <w:t>Weighted-average shares used to compute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64,563,032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58,984,604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55,939,032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1"/>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42"/>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(306,866)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(175,522)</w:t>
            </w: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Unrealized gain (loss) on available-for-sale securities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74"/>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r>
      <w:tr>
        <w:trPr>
          <w:trHeight w:val="255"/>
        </w:trPr>
        <w:tc>
          <w:tcPr>
            <w:tcW w:w="6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r>
      <w:tr>
        <w:trPr>
          <w:trHeight w:val="254"/>
        </w:trPr>
        <w:tc>
          <w:tcPr>
            <w:tcW w:w="6680" w:type="dxa"/>
            <w:vAlign w:val="bottom"/>
          </w:tcPr>
          <w:p>
            <w:pPr>
              <w:ind w:left="60"/>
              <w:spacing w:after="0"/>
              <w:rPr>
                <w:sz w:val="20"/>
                <w:szCs w:val="20"/>
                <w:color w:val="auto"/>
              </w:rPr>
            </w:pPr>
            <w:r>
              <w:rPr>
                <w:rFonts w:ascii="Arial" w:cs="Arial" w:eastAsia="Arial" w:hAnsi="Arial"/>
                <w:sz w:val="17"/>
                <w:szCs w:val="17"/>
                <w:color w:val="auto"/>
              </w:rPr>
              <w:t>Total comprehensive loss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(309,090)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(267,873)</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(175,123)</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435610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152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Class A and Class B</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5100" w:type="dxa"/>
            <w:vAlign w:val="bottom"/>
          </w:tcPr>
          <w:p>
            <w:pPr>
              <w:spacing w:after="0"/>
              <w:rPr>
                <w:sz w:val="9"/>
                <w:szCs w:val="9"/>
                <w:color w:val="auto"/>
              </w:rPr>
            </w:pPr>
          </w:p>
        </w:tc>
        <w:tc>
          <w:tcPr>
            <w:tcW w:w="1520" w:type="dxa"/>
            <w:vAlign w:val="bottom"/>
            <w:gridSpan w:val="3"/>
          </w:tcPr>
          <w:p>
            <w:pPr>
              <w:jc w:val="right"/>
              <w:ind w:right="243"/>
              <w:spacing w:after="0" w:line="105" w:lineRule="exact"/>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60"/>
              <w:spacing w:after="0" w:line="10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5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Additional</w:t>
            </w: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4"/>
                <w:szCs w:val="4"/>
                <w:color w:val="auto"/>
              </w:rPr>
            </w:pPr>
          </w:p>
        </w:tc>
        <w:tc>
          <w:tcPr>
            <w:tcW w:w="820" w:type="dxa"/>
            <w:vAlign w:val="bottom"/>
            <w:gridSpan w:val="2"/>
          </w:tcPr>
          <w:p>
            <w:pPr>
              <w:jc w:val="center"/>
              <w:ind w:right="160"/>
              <w:spacing w:after="0" w:line="53" w:lineRule="exact"/>
              <w:rPr>
                <w:sz w:val="20"/>
                <w:szCs w:val="20"/>
                <w:color w:val="auto"/>
              </w:rPr>
            </w:pPr>
            <w:r>
              <w:rPr>
                <w:rFonts w:ascii="Arial" w:cs="Arial" w:eastAsia="Arial" w:hAnsi="Arial"/>
                <w:sz w:val="6"/>
                <w:szCs w:val="6"/>
                <w:b w:val="1"/>
                <w:bCs w:val="1"/>
                <w:color w:val="auto"/>
              </w:rPr>
              <w:t>Accumulated</w:t>
            </w:r>
          </w:p>
        </w:tc>
        <w:tc>
          <w:tcPr>
            <w:tcW w:w="60" w:type="dxa"/>
            <w:vAlign w:val="bottom"/>
          </w:tcPr>
          <w:p>
            <w:pPr>
              <w:spacing w:after="0"/>
              <w:rPr>
                <w:sz w:val="4"/>
                <w:szCs w:val="4"/>
                <w:color w:val="auto"/>
              </w:rPr>
            </w:pPr>
          </w:p>
        </w:tc>
        <w:tc>
          <w:tcPr>
            <w:tcW w:w="740" w:type="dxa"/>
            <w:vAlign w:val="bottom"/>
          </w:tcPr>
          <w:p>
            <w:pPr>
              <w:jc w:val="right"/>
              <w:ind w:right="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Treasury Stock</w:t>
            </w:r>
          </w:p>
        </w:tc>
        <w:tc>
          <w:tcPr>
            <w:tcW w:w="8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Income (Loss)</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Deficit</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8"/>
        </w:trPr>
        <w:tc>
          <w:tcPr>
            <w:tcW w:w="5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Balances as of January 31, 2019</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54,321,810</w:t>
            </w: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81"/>
              </w:rPr>
              <w:t>54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754,612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(488,607)</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264,566</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(4,103)</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option exercises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2,163,361</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16,774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16,777</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1"/>
                <w:szCs w:val="11"/>
                <w:color w:val="auto"/>
              </w:rPr>
              <w:t>(5,677)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93"/>
        </w:trPr>
        <w:tc>
          <w:tcPr>
            <w:tcW w:w="5100" w:type="dxa"/>
            <w:vAlign w:val="bottom"/>
          </w:tcPr>
          <w:p>
            <w:pPr>
              <w:ind w:left="26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748,061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75,776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75,776</w:t>
            </w:r>
          </w:p>
        </w:tc>
        <w:tc>
          <w:tcPr>
            <w:tcW w:w="0" w:type="dxa"/>
            <w:vAlign w:val="bottom"/>
          </w:tcPr>
          <w:p>
            <w:pPr>
              <w:spacing w:after="0"/>
              <w:rPr>
                <w:sz w:val="1"/>
                <w:szCs w:val="1"/>
                <w:color w:val="auto"/>
              </w:rPr>
            </w:pPr>
          </w:p>
        </w:tc>
      </w:tr>
      <w:tr>
        <w:trPr>
          <w:trHeight w:val="193"/>
        </w:trPr>
        <w:tc>
          <w:tcPr>
            <w:tcW w:w="5100" w:type="dxa"/>
            <w:vAlign w:val="bottom"/>
          </w:tcPr>
          <w:p>
            <w:pPr>
              <w:ind w:left="26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154,988</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13,420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13,420</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Equity component of the 0.25% convertible senior notes due 2026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288,998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288,998</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Purchase of capped calls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(93,820)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(93,820)</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Impact from 2024 Notes Partial Repurchase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(303,929)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(303,929)</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Unrealized gain on available-for-sale securities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308</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(175,522)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(175,522)</w:t>
            </w:r>
          </w:p>
        </w:tc>
        <w:tc>
          <w:tcPr>
            <w:tcW w:w="0" w:type="dxa"/>
            <w:vAlign w:val="bottom"/>
          </w:tcPr>
          <w:p>
            <w:pPr>
              <w:spacing w:after="0"/>
              <w:rPr>
                <w:sz w:val="1"/>
                <w:szCs w:val="1"/>
                <w:color w:val="auto"/>
              </w:rPr>
            </w:pPr>
          </w:p>
        </w:tc>
      </w:tr>
      <w:tr>
        <w:trPr>
          <w:trHeight w:val="166"/>
        </w:trPr>
        <w:tc>
          <w:tcPr>
            <w:tcW w:w="5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Balances as of January 31, 2020</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57,382,543</w:t>
            </w: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81"/>
              </w:rPr>
              <w:t>57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752,127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(668,232)</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82,858</w:t>
            </w:r>
          </w:p>
        </w:tc>
        <w:tc>
          <w:tcPr>
            <w:tcW w:w="0" w:type="dxa"/>
            <w:vAlign w:val="bottom"/>
          </w:tcPr>
          <w:p>
            <w:pPr>
              <w:spacing w:after="0"/>
              <w:rPr>
                <w:sz w:val="1"/>
                <w:szCs w:val="1"/>
                <w:color w:val="auto"/>
              </w:rPr>
            </w:pPr>
          </w:p>
        </w:tc>
      </w:tr>
      <w:tr>
        <w:trPr>
          <w:trHeight w:val="160"/>
        </w:trPr>
        <w:tc>
          <w:tcPr>
            <w:tcW w:w="5100" w:type="dxa"/>
            <w:vAlign w:val="bottom"/>
          </w:tcPr>
          <w:p>
            <w:pPr>
              <w:ind w:left="26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(227)</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option exercises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2,218,661</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16,986</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1"/>
                <w:szCs w:val="11"/>
                <w:color w:val="auto"/>
              </w:rPr>
              <w:t>(960)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1,163,259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149,313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149,313</w:t>
            </w:r>
          </w:p>
        </w:tc>
        <w:tc>
          <w:tcPr>
            <w:tcW w:w="0" w:type="dxa"/>
            <w:vAlign w:val="bottom"/>
          </w:tcPr>
          <w:p>
            <w:pPr>
              <w:spacing w:after="0"/>
              <w:rPr>
                <w:sz w:val="1"/>
                <w:szCs w:val="1"/>
                <w:color w:val="auto"/>
              </w:rPr>
            </w:pPr>
          </w:p>
        </w:tc>
      </w:tr>
      <w:tr>
        <w:trPr>
          <w:trHeight w:val="154"/>
        </w:trPr>
        <w:tc>
          <w:tcPr>
            <w:tcW w:w="5100" w:type="dxa"/>
            <w:vAlign w:val="bottom"/>
          </w:tcPr>
          <w:p>
            <w:pPr>
              <w:ind w:left="26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134,930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18,523</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Conversion of convertible senior notes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Temporary equity reclassification</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(4,714)</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(899)</w:t>
            </w:r>
          </w:p>
        </w:tc>
        <w:tc>
          <w:tcPr>
            <w:tcW w:w="0" w:type="dxa"/>
            <w:vAlign w:val="bottom"/>
          </w:tcPr>
          <w:p>
            <w:pPr>
              <w:spacing w:after="0"/>
              <w:rPr>
                <w:sz w:val="1"/>
                <w:szCs w:val="1"/>
                <w:color w:val="auto"/>
              </w:rPr>
            </w:pPr>
          </w:p>
        </w:tc>
      </w:tr>
      <w:tr>
        <w:trPr>
          <w:trHeight w:val="199"/>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(266,944)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(266,944)</w:t>
            </w: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1"/>
                <w:szCs w:val="11"/>
                <w:b w:val="1"/>
                <w:bCs w:val="1"/>
                <w:color w:val="auto"/>
              </w:rPr>
              <w:t>Balances as of January 31, 2021</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60,898,451</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61</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932,332</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(935,403)</w:t>
            </w: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(5,033)</w:t>
            </w:r>
          </w:p>
        </w:tc>
        <w:tc>
          <w:tcPr>
            <w:tcW w:w="0" w:type="dxa"/>
            <w:vAlign w:val="bottom"/>
          </w:tcPr>
          <w:p>
            <w:pPr>
              <w:spacing w:after="0"/>
              <w:rPr>
                <w:sz w:val="1"/>
                <w:szCs w:val="1"/>
                <w:color w:val="auto"/>
              </w:rPr>
            </w:pPr>
          </w:p>
        </w:tc>
      </w:tr>
      <w:tr>
        <w:trPr>
          <w:trHeight w:val="166"/>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(309,381)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52,635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(256,746)</w:t>
            </w: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Arial" w:cs="Arial" w:eastAsia="Arial" w:hAnsi="Arial"/>
                <w:sz w:val="11"/>
                <w:szCs w:val="11"/>
                <w:color w:val="auto"/>
              </w:rPr>
              <w:t>Stock option exercises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1,279,669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9,665</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1,437,133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251,982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251,982</w:t>
            </w:r>
          </w:p>
        </w:tc>
        <w:tc>
          <w:tcPr>
            <w:tcW w:w="0" w:type="dxa"/>
            <w:vAlign w:val="bottom"/>
          </w:tcPr>
          <w:p>
            <w:pPr>
              <w:spacing w:after="0"/>
              <w:rPr>
                <w:sz w:val="1"/>
                <w:szCs w:val="1"/>
                <w:color w:val="auto"/>
              </w:rPr>
            </w:pPr>
          </w:p>
        </w:tc>
      </w:tr>
      <w:tr>
        <w:trPr>
          <w:trHeight w:val="154"/>
        </w:trPr>
        <w:tc>
          <w:tcPr>
            <w:tcW w:w="5100" w:type="dxa"/>
            <w:vAlign w:val="bottom"/>
          </w:tcPr>
          <w:p>
            <w:pPr>
              <w:ind w:left="28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85,401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25,210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25,210</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Issuance of common stock, net of issuance costs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2,500,000</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889,181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889,184</w:t>
            </w:r>
          </w:p>
        </w:tc>
        <w:tc>
          <w:tcPr>
            <w:tcW w:w="0" w:type="dxa"/>
            <w:vAlign w:val="bottom"/>
          </w:tcPr>
          <w:p>
            <w:pPr>
              <w:spacing w:after="0"/>
              <w:rPr>
                <w:sz w:val="1"/>
                <w:szCs w:val="1"/>
                <w:color w:val="auto"/>
              </w:rPr>
            </w:pPr>
          </w:p>
        </w:tc>
      </w:tr>
      <w:tr>
        <w:trPr>
          <w:trHeight w:val="180"/>
        </w:trPr>
        <w:tc>
          <w:tcPr>
            <w:tcW w:w="5100" w:type="dxa"/>
            <w:vAlign w:val="bottom"/>
          </w:tcPr>
          <w:p>
            <w:pPr>
              <w:ind w:left="260"/>
              <w:spacing w:after="0"/>
              <w:rPr>
                <w:sz w:val="20"/>
                <w:szCs w:val="20"/>
                <w:color w:val="auto"/>
              </w:rPr>
            </w:pPr>
            <w:r>
              <w:rPr>
                <w:rFonts w:ascii="Arial" w:cs="Arial" w:eastAsia="Arial" w:hAnsi="Arial"/>
                <w:sz w:val="11"/>
                <w:szCs w:val="11"/>
                <w:color w:val="auto"/>
              </w:rPr>
              <w:t>Conversion of convertible senior notes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1,243,706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61,516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61,517</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w:t>
            </w: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1,240</w:t>
            </w: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(306,866)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(306,866)</w:t>
            </w:r>
          </w:p>
        </w:tc>
        <w:tc>
          <w:tcPr>
            <w:tcW w:w="0" w:type="dxa"/>
            <w:vAlign w:val="bottom"/>
          </w:tcPr>
          <w:p>
            <w:pPr>
              <w:spacing w:after="0"/>
              <w:rPr>
                <w:sz w:val="1"/>
                <w:szCs w:val="1"/>
                <w:color w:val="auto"/>
              </w:rPr>
            </w:pPr>
          </w:p>
        </w:tc>
      </w:tr>
      <w:tr>
        <w:trPr>
          <w:trHeight w:val="147"/>
        </w:trPr>
        <w:tc>
          <w:tcPr>
            <w:tcW w:w="5100" w:type="dxa"/>
            <w:vAlign w:val="bottom"/>
          </w:tcPr>
          <w:p>
            <w:pPr>
              <w:ind w:left="180"/>
              <w:spacing w:after="0"/>
              <w:rPr>
                <w:sz w:val="20"/>
                <w:szCs w:val="20"/>
                <w:color w:val="auto"/>
              </w:rPr>
            </w:pPr>
            <w:r>
              <w:rPr>
                <w:rFonts w:ascii="Arial" w:cs="Arial" w:eastAsia="Arial" w:hAnsi="Arial"/>
                <w:sz w:val="11"/>
                <w:szCs w:val="11"/>
                <w:b w:val="1"/>
                <w:bCs w:val="1"/>
                <w:color w:val="auto"/>
              </w:rPr>
              <w:t>Balances as of January 31, 2022</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67,444,360</w:t>
            </w: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67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1,860,514</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(2,928)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(1,189,634)</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666,700</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32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of U.S. dollars)</w:t>
      </w: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5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6"/>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Arial" w:cs="Arial" w:eastAsia="Arial" w:hAnsi="Arial"/>
                <w:sz w:val="12"/>
                <w:szCs w:val="12"/>
                <w:color w:val="auto"/>
              </w:rPr>
              <w:t>Net loss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(306,866)</w:t>
            </w:r>
          </w:p>
        </w:tc>
        <w:tc>
          <w:tcPr>
            <w:tcW w:w="120" w:type="dxa"/>
            <w:vAlign w:val="bottom"/>
          </w:tcPr>
          <w:p>
            <w:pPr>
              <w:spacing w:after="0"/>
              <w:rPr>
                <w:sz w:val="16"/>
                <w:szCs w:val="16"/>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(266,944)</w:t>
            </w:r>
          </w:p>
        </w:tc>
        <w:tc>
          <w:tcPr>
            <w:tcW w:w="100" w:type="dxa"/>
            <w:vAlign w:val="bottom"/>
          </w:tcPr>
          <w:p>
            <w:pPr>
              <w:spacing w:after="0"/>
              <w:rPr>
                <w:sz w:val="16"/>
                <w:szCs w:val="16"/>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(175,522)</w:t>
            </w:r>
          </w:p>
        </w:tc>
        <w:tc>
          <w:tcPr>
            <w:tcW w:w="0" w:type="dxa"/>
            <w:vAlign w:val="bottom"/>
          </w:tcPr>
          <w:p>
            <w:pPr>
              <w:spacing w:after="0"/>
              <w:rPr>
                <w:sz w:val="1"/>
                <w:szCs w:val="1"/>
                <w:color w:val="auto"/>
              </w:rPr>
            </w:pPr>
          </w:p>
        </w:tc>
      </w:tr>
      <w:tr>
        <w:trPr>
          <w:trHeight w:val="178"/>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13,671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12,783</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Stock-based compensation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75,776</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Amortization of debt discount and issuance costs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49,120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14,847</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finance right-of-use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3,976</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Amortization of operating right-of-use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3,015</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Non-cash interest on finance lease liabilities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(3,292)</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Accretion of discount on short-term investments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(4,060)</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Loss on early extinguishment of debt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14,522</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foreign exchange gain (loss)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2"/>
                <w:szCs w:val="12"/>
                <w:color w:val="auto"/>
              </w:rPr>
              <w:t>Change in operating assets and liabilities: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receivable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(12,692)</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(19,865)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(3,794)</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commissions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(28,362)</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Other long-term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payable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Accrued liabilities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59,248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34,859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20,439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Operating lease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(3,291)</w:t>
            </w:r>
          </w:p>
        </w:tc>
        <w:tc>
          <w:tcPr>
            <w:tcW w:w="0" w:type="dxa"/>
            <w:vAlign w:val="bottom"/>
          </w:tcPr>
          <w:p>
            <w:pPr>
              <w:spacing w:after="0"/>
              <w:rPr>
                <w:sz w:val="1"/>
                <w:szCs w:val="1"/>
                <w:color w:val="auto"/>
              </w:rPr>
            </w:pPr>
          </w:p>
        </w:tc>
      </w:tr>
      <w:tr>
        <w:trPr>
          <w:trHeight w:val="201"/>
        </w:trPr>
        <w:tc>
          <w:tcPr>
            <w:tcW w:w="6520" w:type="dxa"/>
            <w:vAlign w:val="bottom"/>
          </w:tcPr>
          <w:p>
            <w:pPr>
              <w:ind w:left="260"/>
              <w:spacing w:after="0"/>
              <w:rPr>
                <w:sz w:val="20"/>
                <w:szCs w:val="20"/>
                <w:color w:val="auto"/>
              </w:rPr>
            </w:pPr>
            <w:r>
              <w:rPr>
                <w:rFonts w:ascii="Arial" w:cs="Arial" w:eastAsia="Arial" w:hAnsi="Arial"/>
                <w:sz w:val="12"/>
                <w:szCs w:val="12"/>
                <w:color w:val="auto"/>
              </w:rPr>
              <w:t>Deferred revenue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137,241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48,239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53,054</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liabilities, non-current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778</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Net cash provided by (used in) operating activities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6,980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(42,673)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(29,540)</w:t>
            </w:r>
          </w:p>
        </w:tc>
        <w:tc>
          <w:tcPr>
            <w:tcW w:w="0" w:type="dxa"/>
            <w:vAlign w:val="bottom"/>
          </w:tcPr>
          <w:p>
            <w:pPr>
              <w:spacing w:after="0"/>
              <w:rPr>
                <w:sz w:val="1"/>
                <w:szCs w:val="1"/>
                <w:color w:val="auto"/>
              </w:rPr>
            </w:pPr>
          </w:p>
        </w:tc>
      </w:tr>
      <w:tr>
        <w:trPr>
          <w:trHeight w:val="157"/>
        </w:trPr>
        <w:tc>
          <w:tcPr>
            <w:tcW w:w="65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Cash flows from investing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Purchases of property and equipment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(11,773)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(3,564)</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Acquisition, net of cash acquired</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(38,629)</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Investment in non-marketable securities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(4,343)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maturities of marketable securities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470,000</w:t>
            </w: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Purchases of marketable securities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(1,385,258)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(990,383)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(429,452)</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(852,142)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(262,656)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(1,645)</w:t>
            </w:r>
          </w:p>
        </w:tc>
        <w:tc>
          <w:tcPr>
            <w:tcW w:w="0" w:type="dxa"/>
            <w:vAlign w:val="bottom"/>
          </w:tcPr>
          <w:p>
            <w:pPr>
              <w:spacing w:after="0"/>
              <w:rPr>
                <w:sz w:val="1"/>
                <w:szCs w:val="1"/>
                <w:color w:val="auto"/>
              </w:rPr>
            </w:pPr>
          </w:p>
        </w:tc>
      </w:tr>
      <w:tr>
        <w:trPr>
          <w:trHeight w:val="144"/>
        </w:trPr>
        <w:tc>
          <w:tcPr>
            <w:tcW w:w="6520" w:type="dxa"/>
            <w:vAlign w:val="bottom"/>
          </w:tcPr>
          <w:p>
            <w:pPr>
              <w:ind w:left="180"/>
              <w:spacing w:after="0"/>
              <w:rPr>
                <w:sz w:val="20"/>
                <w:szCs w:val="20"/>
                <w:color w:val="auto"/>
              </w:rPr>
            </w:pPr>
            <w:r>
              <w:rPr>
                <w:rFonts w:ascii="Arial" w:cs="Arial" w:eastAsia="Arial" w:hAnsi="Arial"/>
                <w:sz w:val="12"/>
                <w:szCs w:val="12"/>
                <w:b w:val="1"/>
                <w:bCs w:val="1"/>
                <w:color w:val="auto"/>
              </w:rPr>
              <w:t>Cash flows from financing activities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common stock, net of issuance costs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889,184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Payments of issuance costs for convertible senior notes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(4,154)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stock options, including early exercised stock options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16,775</w:t>
            </w:r>
          </w:p>
        </w:tc>
        <w:tc>
          <w:tcPr>
            <w:tcW w:w="0" w:type="dxa"/>
            <w:vAlign w:val="bottom"/>
          </w:tcPr>
          <w:p>
            <w:pPr>
              <w:spacing w:after="0"/>
              <w:rPr>
                <w:sz w:val="1"/>
                <w:szCs w:val="1"/>
                <w:color w:val="auto"/>
              </w:rPr>
            </w:pPr>
          </w:p>
        </w:tc>
      </w:tr>
      <w:tr>
        <w:trPr>
          <w:trHeight w:val="188"/>
        </w:trPr>
        <w:tc>
          <w:tcPr>
            <w:tcW w:w="6520" w:type="dxa"/>
            <w:vAlign w:val="bottom"/>
          </w:tcPr>
          <w:p>
            <w:pPr>
              <w:ind w:left="260"/>
              <w:spacing w:after="0"/>
              <w:rPr>
                <w:sz w:val="20"/>
                <w:szCs w:val="20"/>
                <w:color w:val="auto"/>
              </w:rPr>
            </w:pPr>
            <w:r>
              <w:rPr>
                <w:rFonts w:ascii="Arial" w:cs="Arial" w:eastAsia="Arial" w:hAnsi="Arial"/>
                <w:sz w:val="12"/>
                <w:szCs w:val="12"/>
                <w:color w:val="auto"/>
              </w:rPr>
              <w:t>Proceeds from the issuance of common stock under the Employee Stock Purchase Plan</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25,209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13,420</w:t>
            </w:r>
          </w:p>
        </w:tc>
        <w:tc>
          <w:tcPr>
            <w:tcW w:w="0" w:type="dxa"/>
            <w:vAlign w:val="bottom"/>
          </w:tcPr>
          <w:p>
            <w:pPr>
              <w:spacing w:after="0"/>
              <w:rPr>
                <w:sz w:val="1"/>
                <w:szCs w:val="1"/>
                <w:color w:val="auto"/>
              </w:rPr>
            </w:pPr>
          </w:p>
        </w:tc>
      </w:tr>
      <w:tr>
        <w:trPr>
          <w:trHeight w:val="204"/>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Repurchase of early exercised stock options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1"/>
        </w:trPr>
        <w:tc>
          <w:tcPr>
            <w:tcW w:w="6520" w:type="dxa"/>
            <w:vAlign w:val="bottom"/>
          </w:tcPr>
          <w:p>
            <w:pPr>
              <w:ind w:left="260"/>
              <w:spacing w:after="0"/>
              <w:rPr>
                <w:sz w:val="20"/>
                <w:szCs w:val="20"/>
                <w:color w:val="auto"/>
              </w:rPr>
            </w:pPr>
            <w:r>
              <w:rPr>
                <w:rFonts w:ascii="Arial" w:cs="Arial" w:eastAsia="Arial" w:hAnsi="Arial"/>
                <w:sz w:val="12"/>
                <w:szCs w:val="12"/>
                <w:color w:val="auto"/>
              </w:rPr>
              <w:t>Principal repayments of finance leases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(5,572)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(4,633)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(1,915)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borrowings on convertible senior notes, net of issuance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1,132,991</w:t>
            </w:r>
          </w:p>
        </w:tc>
        <w:tc>
          <w:tcPr>
            <w:tcW w:w="0" w:type="dxa"/>
            <w:vAlign w:val="bottom"/>
          </w:tcPr>
          <w:p>
            <w:pPr>
              <w:spacing w:after="0"/>
              <w:rPr>
                <w:sz w:val="1"/>
                <w:szCs w:val="1"/>
                <w:color w:val="auto"/>
              </w:rPr>
            </w:pPr>
          </w:p>
        </w:tc>
      </w:tr>
      <w:tr>
        <w:trPr>
          <w:trHeight w:val="201"/>
        </w:trPr>
        <w:tc>
          <w:tcPr>
            <w:tcW w:w="6520" w:type="dxa"/>
            <w:vAlign w:val="bottom"/>
          </w:tcPr>
          <w:p>
            <w:pPr>
              <w:ind w:left="260"/>
              <w:spacing w:after="0"/>
              <w:rPr>
                <w:sz w:val="20"/>
                <w:szCs w:val="20"/>
                <w:color w:val="auto"/>
              </w:rPr>
            </w:pPr>
            <w:r>
              <w:rPr>
                <w:rFonts w:ascii="Arial" w:cs="Arial" w:eastAsia="Arial" w:hAnsi="Arial"/>
                <w:sz w:val="12"/>
                <w:szCs w:val="12"/>
                <w:color w:val="auto"/>
              </w:rPr>
              <w:t>Repayments of convertible senior notes attributable to principal</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(27,594)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(479,070)</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 for purchase of capped calls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(92,920)</w:t>
            </w:r>
          </w:p>
        </w:tc>
        <w:tc>
          <w:tcPr>
            <w:tcW w:w="0" w:type="dxa"/>
            <w:vAlign w:val="bottom"/>
          </w:tcPr>
          <w:p>
            <w:pPr>
              <w:spacing w:after="0"/>
              <w:rPr>
                <w:sz w:val="1"/>
                <w:szCs w:val="1"/>
                <w:color w:val="auto"/>
              </w:rPr>
            </w:pPr>
          </w:p>
        </w:tc>
      </w:tr>
      <w:tr>
        <w:trPr>
          <w:trHeight w:val="202"/>
        </w:trPr>
        <w:tc>
          <w:tcPr>
            <w:tcW w:w="6520" w:type="dxa"/>
            <w:vAlign w:val="bottom"/>
          </w:tcPr>
          <w:p>
            <w:pPr>
              <w:ind w:left="260"/>
              <w:spacing w:after="0"/>
              <w:rPr>
                <w:sz w:val="20"/>
                <w:szCs w:val="20"/>
                <w:color w:val="auto"/>
              </w:rPr>
            </w:pPr>
            <w:r>
              <w:rPr>
                <w:rFonts w:ascii="Arial" w:cs="Arial" w:eastAsia="Arial" w:hAnsi="Arial"/>
                <w:sz w:val="12"/>
                <w:szCs w:val="12"/>
                <w:color w:val="auto"/>
              </w:rPr>
              <w:t>Proceeds from tenant improvement allowance on build-to-suit lease</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3"/>
        </w:trPr>
        <w:tc>
          <w:tcPr>
            <w:tcW w:w="6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890,892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27,581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589,238</w:t>
            </w: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44,198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(276,484)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558,359</w:t>
            </w:r>
          </w:p>
        </w:tc>
        <w:tc>
          <w:tcPr>
            <w:tcW w:w="0" w:type="dxa"/>
            <w:vAlign w:val="bottom"/>
          </w:tcPr>
          <w:p>
            <w:pPr>
              <w:spacing w:after="0"/>
              <w:rPr>
                <w:sz w:val="1"/>
                <w:szCs w:val="1"/>
                <w:color w:val="auto"/>
              </w:rPr>
            </w:pPr>
          </w:p>
        </w:tc>
      </w:tr>
      <w:tr>
        <w:trPr>
          <w:trHeight w:val="202"/>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cash equivalents and restricted cash, beginning of year</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430,222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706,706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148,347</w:t>
            </w:r>
          </w:p>
        </w:tc>
        <w:tc>
          <w:tcPr>
            <w:tcW w:w="0" w:type="dxa"/>
            <w:vAlign w:val="bottom"/>
          </w:tcPr>
          <w:p>
            <w:pPr>
              <w:spacing w:after="0"/>
              <w:rPr>
                <w:sz w:val="1"/>
                <w:szCs w:val="1"/>
                <w:color w:val="auto"/>
              </w:rPr>
            </w:pPr>
          </w:p>
        </w:tc>
      </w:tr>
      <w:tr>
        <w:trPr>
          <w:trHeight w:val="154"/>
        </w:trPr>
        <w:tc>
          <w:tcPr>
            <w:tcW w:w="6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end of year</w:t>
            </w: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474,420</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430,222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706,706</w:t>
            </w:r>
          </w:p>
        </w:tc>
        <w:tc>
          <w:tcPr>
            <w:tcW w:w="0" w:type="dxa"/>
            <w:vAlign w:val="bottom"/>
          </w:tcPr>
          <w:p>
            <w:pPr>
              <w:spacing w:after="0"/>
              <w:rPr>
                <w:sz w:val="1"/>
                <w:szCs w:val="1"/>
                <w:color w:val="auto"/>
              </w:rPr>
            </w:pPr>
          </w:p>
        </w:tc>
      </w:tr>
      <w:tr>
        <w:trPr>
          <w:trHeight w:val="69"/>
        </w:trPr>
        <w:tc>
          <w:tcPr>
            <w:tcW w:w="65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5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Supplemental cash flow disclosure</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80"/>
              <w:spacing w:after="0"/>
              <w:rPr>
                <w:sz w:val="20"/>
                <w:szCs w:val="20"/>
                <w:color w:val="auto"/>
              </w:rPr>
            </w:pPr>
            <w:r>
              <w:rPr>
                <w:rFonts w:ascii="Arial" w:cs="Arial" w:eastAsia="Arial" w:hAnsi="Arial"/>
                <w:sz w:val="12"/>
                <w:szCs w:val="12"/>
                <w:color w:val="auto"/>
              </w:rPr>
              <w:t>Cash paid during the period for: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 taxes, net of refunds</w:t>
            </w: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5,672</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0" w:type="dxa"/>
            <w:vAlign w:val="bottom"/>
          </w:tcPr>
          <w:p>
            <w:pPr>
              <w:spacing w:after="0"/>
              <w:rPr>
                <w:sz w:val="1"/>
                <w:szCs w:val="1"/>
                <w:color w:val="auto"/>
              </w:rPr>
            </w:pPr>
          </w:p>
        </w:tc>
      </w:tr>
      <w:tr>
        <w:trPr>
          <w:trHeight w:val="69"/>
        </w:trPr>
        <w:tc>
          <w:tcPr>
            <w:tcW w:w="65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340"/>
              <w:spacing w:after="0"/>
              <w:rPr>
                <w:sz w:val="20"/>
                <w:szCs w:val="20"/>
                <w:color w:val="auto"/>
              </w:rPr>
            </w:pPr>
            <w:r>
              <w:rPr>
                <w:rFonts w:ascii="Arial" w:cs="Arial" w:eastAsia="Arial" w:hAnsi="Arial"/>
                <w:sz w:val="12"/>
                <w:szCs w:val="12"/>
                <w:color w:val="auto"/>
              </w:rPr>
              <w:t>Interest expense, net</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6,271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6,998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2,375</w:t>
            </w:r>
          </w:p>
        </w:tc>
        <w:tc>
          <w:tcPr>
            <w:tcW w:w="0" w:type="dxa"/>
            <w:vAlign w:val="bottom"/>
          </w:tcPr>
          <w:p>
            <w:pPr>
              <w:spacing w:after="0"/>
              <w:rPr>
                <w:sz w:val="1"/>
                <w:szCs w:val="1"/>
                <w:color w:val="auto"/>
              </w:rPr>
            </w:pPr>
          </w:p>
        </w:tc>
      </w:tr>
      <w:tr>
        <w:trPr>
          <w:trHeight w:val="60"/>
        </w:trPr>
        <w:tc>
          <w:tcPr>
            <w:tcW w:w="6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Noncash investing and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340"/>
              <w:spacing w:after="0"/>
              <w:rPr>
                <w:sz w:val="20"/>
                <w:szCs w:val="20"/>
                <w:color w:val="auto"/>
              </w:rPr>
            </w:pPr>
            <w:r>
              <w:rPr>
                <w:rFonts w:ascii="Arial" w:cs="Arial" w:eastAsia="Arial" w:hAnsi="Arial"/>
                <w:sz w:val="12"/>
                <w:szCs w:val="12"/>
                <w:color w:val="auto"/>
              </w:rPr>
              <w:t>Vesting of early exercised stock options</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60"/>
        </w:trPr>
        <w:tc>
          <w:tcPr>
            <w:tcW w:w="6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Debt issuance and capped call costs included in accounts payable and accrued liabilities</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69"/>
        </w:trPr>
        <w:tc>
          <w:tcPr>
            <w:tcW w:w="6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340"/>
              <w:spacing w:after="0"/>
              <w:rPr>
                <w:sz w:val="20"/>
                <w:szCs w:val="20"/>
                <w:color w:val="auto"/>
              </w:rPr>
            </w:pPr>
            <w:r>
              <w:rPr>
                <w:rFonts w:ascii="Arial" w:cs="Arial" w:eastAsia="Arial" w:hAnsi="Arial"/>
                <w:sz w:val="12"/>
                <w:szCs w:val="12"/>
                <w:color w:val="auto"/>
              </w:rPr>
              <w:t>Purchases of property and equipment included in accounts payable and accrued liabilities</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1,324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2,848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1,134</w:t>
            </w:r>
          </w:p>
        </w:tc>
        <w:tc>
          <w:tcPr>
            <w:tcW w:w="0" w:type="dxa"/>
            <w:vAlign w:val="bottom"/>
          </w:tcPr>
          <w:p>
            <w:pPr>
              <w:spacing w:after="0"/>
              <w:rPr>
                <w:sz w:val="1"/>
                <w:szCs w:val="1"/>
                <w:color w:val="auto"/>
              </w:rPr>
            </w:pPr>
          </w:p>
        </w:tc>
      </w:tr>
      <w:tr>
        <w:trPr>
          <w:trHeight w:val="60"/>
        </w:trPr>
        <w:tc>
          <w:tcPr>
            <w:tcW w:w="6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520" w:type="dxa"/>
            <w:vAlign w:val="bottom"/>
            <w:shd w:val="clear" w:color="auto" w:fill="CCEEFF"/>
          </w:tcPr>
          <w:p>
            <w:pPr>
              <w:ind w:left="180"/>
              <w:spacing w:after="0" w:line="126" w:lineRule="exact"/>
              <w:rPr>
                <w:sz w:val="20"/>
                <w:szCs w:val="20"/>
                <w:color w:val="auto"/>
              </w:rPr>
            </w:pPr>
            <w:r>
              <w:rPr>
                <w:rFonts w:ascii="Arial" w:cs="Arial" w:eastAsia="Arial" w:hAnsi="Arial"/>
                <w:sz w:val="12"/>
                <w:szCs w:val="12"/>
                <w:b w:val="1"/>
                <w:bCs w:val="1"/>
                <w:color w:val="auto"/>
                <w:w w:val="90"/>
              </w:rPr>
              <w:t>Reconciliation of cash, cash equivalents and restricted cash within the consolidated balance sheets to the amounts shown</w:t>
            </w: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in the statements of cash flows above: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340" w:type="dxa"/>
            <w:vAlign w:val="bottom"/>
            <w:vMerge w:val="restart"/>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473,904</w:t>
            </w:r>
          </w:p>
        </w:tc>
        <w:tc>
          <w:tcPr>
            <w:tcW w:w="120" w:type="dxa"/>
            <w:vAlign w:val="bottom"/>
          </w:tcPr>
          <w:p>
            <w:pPr>
              <w:spacing w:after="0"/>
              <w:rPr>
                <w:sz w:val="14"/>
                <w:szCs w:val="14"/>
                <w:color w:val="auto"/>
              </w:rPr>
            </w:pPr>
          </w:p>
        </w:tc>
        <w:tc>
          <w:tcPr>
            <w:tcW w:w="320" w:type="dxa"/>
            <w:vAlign w:val="bottom"/>
            <w:vMerge w:val="restart"/>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429,697</w:t>
            </w:r>
          </w:p>
        </w:tc>
        <w:tc>
          <w:tcPr>
            <w:tcW w:w="100" w:type="dxa"/>
            <w:vAlign w:val="bottom"/>
          </w:tcPr>
          <w:p>
            <w:pPr>
              <w:spacing w:after="0"/>
              <w:rPr>
                <w:sz w:val="14"/>
                <w:szCs w:val="14"/>
                <w:color w:val="auto"/>
              </w:rPr>
            </w:pPr>
          </w:p>
        </w:tc>
        <w:tc>
          <w:tcPr>
            <w:tcW w:w="340" w:type="dxa"/>
            <w:vAlign w:val="bottom"/>
            <w:vMerge w:val="restart"/>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706,192</w:t>
            </w:r>
          </w:p>
        </w:tc>
        <w:tc>
          <w:tcPr>
            <w:tcW w:w="0" w:type="dxa"/>
            <w:vAlign w:val="bottom"/>
          </w:tcPr>
          <w:p>
            <w:pPr>
              <w:spacing w:after="0"/>
              <w:rPr>
                <w:sz w:val="1"/>
                <w:szCs w:val="1"/>
                <w:color w:val="auto"/>
              </w:rPr>
            </w:pPr>
          </w:p>
        </w:tc>
      </w:tr>
      <w:tr>
        <w:trPr>
          <w:trHeight w:val="60"/>
        </w:trPr>
        <w:tc>
          <w:tcPr>
            <w:tcW w:w="65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Restricted cash, non-current</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516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69"/>
        </w:trPr>
        <w:tc>
          <w:tcPr>
            <w:tcW w:w="6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120"/>
              <w:spacing w:after="0"/>
              <w:rPr>
                <w:sz w:val="20"/>
                <w:szCs w:val="20"/>
                <w:color w:val="auto"/>
              </w:rPr>
            </w:pPr>
            <w:r>
              <w:rPr>
                <w:rFonts w:ascii="Arial" w:cs="Arial" w:eastAsia="Arial" w:hAnsi="Arial"/>
                <w:sz w:val="12"/>
                <w:szCs w:val="12"/>
                <w:color w:val="auto"/>
              </w:rPr>
              <w:t>Total cash, cash equivalents and restricted cash</w:t>
            </w: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474,420</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430,222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706,706</w:t>
            </w: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76"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subscriptions to its software, the Company provides post-contract support, training and consulting services for its offerings. The Company’s fiscal year ends January 31.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Common Stock Offering</w:t>
      </w:r>
    </w:p>
    <w:p>
      <w:pPr>
        <w:spacing w:after="0" w:line="249" w:lineRule="exact"/>
        <w:rPr>
          <w:sz w:val="20"/>
          <w:szCs w:val="20"/>
          <w:color w:val="auto"/>
        </w:rPr>
      </w:pPr>
    </w:p>
    <w:p>
      <w:pPr>
        <w:ind w:right="420" w:firstLine="470"/>
        <w:spacing w:after="0" w:line="272" w:lineRule="auto"/>
        <w:rPr>
          <w:sz w:val="20"/>
          <w:szCs w:val="20"/>
          <w:color w:val="auto"/>
        </w:rPr>
      </w:pPr>
      <w:r>
        <w:rPr>
          <w:rFonts w:ascii="Arial" w:cs="Arial" w:eastAsia="Arial" w:hAnsi="Arial"/>
          <w:sz w:val="17"/>
          <w:szCs w:val="17"/>
          <w:color w:val="auto"/>
        </w:rPr>
        <w:t>On June 29, 2021, the Company entered into an underwriting agreement with Morgan Stanley &amp; Co. LLC and Goldman Sachs &amp; Co. LLC, as representatives of the several underwriters named therein, pursuant to which the Company agreed to issue and sell 2,500,000 shares of its Class A common stock, par value $0.001 per share, at an offering price of $365.00 per share.</w:t>
      </w:r>
    </w:p>
    <w:p>
      <w:pPr>
        <w:spacing w:after="0" w:line="119"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received net proceeds of $889.2 million, after deducting underwriting discounts and commissions of $22.7 million and offering expenses of $0.6 million. Offering expenses included legal, accounting and other fees and, along with underwriting discounts and commissions, were recorded in additional paid-in capital as a reduction of the proceeds upon the closing of the offering in July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Basis of Presentation</w:t>
      </w:r>
    </w:p>
    <w:p>
      <w:pPr>
        <w:spacing w:after="0" w:line="170" w:lineRule="exact"/>
        <w:rPr>
          <w:sz w:val="20"/>
          <w:szCs w:val="20"/>
          <w:color w:val="auto"/>
        </w:rPr>
      </w:pPr>
    </w:p>
    <w:p>
      <w:pPr>
        <w:ind w:right="100" w:firstLine="470"/>
        <w:spacing w:after="0" w:line="358" w:lineRule="auto"/>
        <w:rPr>
          <w:sz w:val="20"/>
          <w:szCs w:val="20"/>
          <w:color w:val="auto"/>
        </w:rPr>
      </w:pPr>
      <w:r>
        <w:rPr>
          <w:rFonts w:ascii="Arial" w:cs="Arial" w:eastAsia="Arial" w:hAnsi="Arial"/>
          <w:sz w:val="15"/>
          <w:szCs w:val="15"/>
          <w:color w:val="auto"/>
        </w:rPr>
        <w:t>The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Use of Estimates</w:t>
      </w:r>
    </w:p>
    <w:p>
      <w:pPr>
        <w:spacing w:after="0" w:line="170" w:lineRule="exact"/>
        <w:rPr>
          <w:sz w:val="20"/>
          <w:szCs w:val="20"/>
          <w:color w:val="auto"/>
        </w:rPr>
      </w:pPr>
    </w:p>
    <w:p>
      <w:pPr>
        <w:ind w:right="180" w:firstLine="470"/>
        <w:spacing w:after="0" w:line="28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1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The ongoing COVID-19 pandemic has impacted demand and supply for a broad variety of goods and services, including demand from the Company’s customers, while also disrupting sales channels and marketing activities for an unknown period of time.</w:t>
      </w:r>
    </w:p>
    <w:p>
      <w:pPr>
        <w:spacing w:after="0" w:line="106"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Foreign Currency</w:t>
      </w:r>
    </w:p>
    <w:p>
      <w:pPr>
        <w:spacing w:after="0" w:line="170"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functional currency of the Company’s international subsidiaries is either the U.S. dollar or the local currency in which the international subsidiary operates. For foreign subsidiaries where the U.S. dollar is the functional currency, foreign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 (deficit).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Comprehensive Loss</w:t>
      </w:r>
    </w:p>
    <w:p>
      <w:pPr>
        <w:spacing w:after="0" w:line="170"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The Company’s comprehensive loss includes net loss, unrealized gains and losses on available-for-sale debt securities and foreign currency translation adjustments.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Cash and Cash Equivalents</w:t>
      </w:r>
    </w:p>
    <w:p>
      <w:pPr>
        <w:spacing w:after="0" w:line="170" w:lineRule="exact"/>
        <w:rPr>
          <w:sz w:val="20"/>
          <w:szCs w:val="20"/>
          <w:color w:val="auto"/>
        </w:rPr>
      </w:pPr>
    </w:p>
    <w:p>
      <w:pPr>
        <w:ind w:firstLine="470"/>
        <w:spacing w:after="0" w:line="297"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Marketable Securities</w:t>
      </w:r>
    </w:p>
    <w:p>
      <w:pPr>
        <w:spacing w:after="0" w:line="170" w:lineRule="exact"/>
        <w:rPr>
          <w:sz w:val="20"/>
          <w:szCs w:val="20"/>
          <w:color w:val="auto"/>
        </w:rPr>
      </w:pPr>
    </w:p>
    <w:p>
      <w:pPr>
        <w:ind w:right="200" w:firstLine="470"/>
        <w:spacing w:after="0" w:line="313" w:lineRule="auto"/>
        <w:rPr>
          <w:sz w:val="20"/>
          <w:szCs w:val="20"/>
          <w:color w:val="auto"/>
        </w:rPr>
      </w:pPr>
      <w:r>
        <w:rPr>
          <w:rFonts w:ascii="Arial" w:cs="Arial" w:eastAsia="Arial" w:hAnsi="Arial"/>
          <w:sz w:val="15"/>
          <w:szCs w:val="15"/>
          <w:color w:val="auto"/>
        </w:rPr>
        <w:t>The Company’s short-term investments consist of U.S. government treasury securities.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93" w:lineRule="exact"/>
        <w:rPr>
          <w:sz w:val="20"/>
          <w:szCs w:val="20"/>
          <w:color w:val="auto"/>
        </w:rPr>
      </w:pPr>
    </w:p>
    <w:p>
      <w:pPr>
        <w:ind w:right="220" w:firstLine="470"/>
        <w:spacing w:after="0" w:line="324" w:lineRule="auto"/>
        <w:rPr>
          <w:sz w:val="20"/>
          <w:szCs w:val="20"/>
          <w:color w:val="auto"/>
        </w:rPr>
      </w:pPr>
      <w:r>
        <w:rPr>
          <w:rFonts w:ascii="Arial" w:cs="Arial" w:eastAsia="Arial" w:hAnsi="Arial"/>
          <w:sz w:val="15"/>
          <w:szCs w:val="15"/>
          <w:color w:val="auto"/>
        </w:rPr>
        <w:t>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w:t>
      </w:r>
    </w:p>
    <w:p>
      <w:pPr>
        <w:spacing w:after="0" w:line="8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net in the consolidated statements of operations. The allowance is limited by the amount that the fair value of the debt security is below its amortized cost basis.</w:t>
      </w:r>
    </w:p>
    <w:p>
      <w:pPr>
        <w:spacing w:after="0" w:line="129" w:lineRule="exact"/>
        <w:rPr>
          <w:sz w:val="20"/>
          <w:szCs w:val="20"/>
          <w:color w:val="auto"/>
        </w:rPr>
      </w:pPr>
    </w:p>
    <w:p>
      <w:pPr>
        <w:ind w:right="500" w:firstLine="470"/>
        <w:spacing w:after="0" w:line="288" w:lineRule="auto"/>
        <w:rPr>
          <w:sz w:val="20"/>
          <w:szCs w:val="20"/>
          <w:color w:val="auto"/>
        </w:rPr>
      </w:pPr>
      <w:r>
        <w:rPr>
          <w:rFonts w:ascii="Arial" w:cs="Arial" w:eastAsia="Arial" w:hAnsi="Arial"/>
          <w:sz w:val="17"/>
          <w:szCs w:val="17"/>
          <w:color w:val="auto"/>
        </w:rPr>
        <w:t>For the years ended January 31, 2022, 2021 and 2020, the Company did not record any impairment charges for its marketable debt securities in its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Restricted Cash</w:t>
      </w:r>
    </w:p>
    <w:p>
      <w:pPr>
        <w:spacing w:after="0" w:line="170" w:lineRule="exact"/>
        <w:rPr>
          <w:sz w:val="20"/>
          <w:szCs w:val="20"/>
          <w:color w:val="auto"/>
        </w:rPr>
      </w:pPr>
    </w:p>
    <w:p>
      <w:pPr>
        <w:jc w:val="both"/>
        <w:ind w:right="500" w:firstLine="470"/>
        <w:spacing w:after="0" w:line="358" w:lineRule="auto"/>
        <w:rPr>
          <w:sz w:val="20"/>
          <w:szCs w:val="20"/>
          <w:color w:val="auto"/>
        </w:rPr>
      </w:pPr>
      <w:r>
        <w:rPr>
          <w:rFonts w:ascii="Arial" w:cs="Arial" w:eastAsia="Arial" w:hAnsi="Arial"/>
          <w:sz w:val="15"/>
          <w:szCs w:val="15"/>
          <w:color w:val="auto"/>
        </w:rPr>
        <w:t>As of January 31, 2022 and 2021, the Company pledged $0.5 million of collateral for its available credit on corporate credit cards. Restricted cash balances have been excluded from the Company’s cash and cash equivalents balance and are included in other assets on the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Non-marketable Securities</w:t>
      </w:r>
    </w:p>
    <w:p>
      <w:pPr>
        <w:spacing w:after="0" w:line="170"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 xml:space="preserve">Non-marketable securities consist of debt and equity investments in privately-held companies, which are classified as other assets on the consolidated balance sheets. The Company’s </w:t>
      </w:r>
      <w:r>
        <w:rPr>
          <w:rFonts w:ascii="Arial" w:cs="Arial" w:eastAsia="Arial" w:hAnsi="Arial"/>
          <w:sz w:val="17"/>
          <w:szCs w:val="17"/>
          <w:color w:val="212529"/>
        </w:rPr>
        <w:t>non-marketable debt securities are measured at fair value at each reporting period.</w:t>
      </w:r>
      <w:r>
        <w:rPr>
          <w:rFonts w:ascii="Arial" w:cs="Arial" w:eastAsia="Arial" w:hAnsi="Arial"/>
          <w:sz w:val="17"/>
          <w:szCs w:val="17"/>
          <w:color w:val="auto"/>
        </w:rPr>
        <w:t xml:space="preserve"> The Company’s non-marketable equity securities do not have readily determinable fair values. Under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jc w:val="both"/>
        <w:ind w:right="500"/>
        <w:spacing w:after="0" w:line="267" w:lineRule="auto"/>
        <w:rPr>
          <w:sz w:val="20"/>
          <w:szCs w:val="20"/>
          <w:color w:val="auto"/>
        </w:rPr>
      </w:pPr>
      <w:r>
        <w:rPr>
          <w:rFonts w:ascii="Arial" w:cs="Arial" w:eastAsia="Arial" w:hAnsi="Arial"/>
          <w:sz w:val="17"/>
          <w:szCs w:val="17"/>
          <w:color w:val="auto"/>
        </w:rPr>
        <w:t>the measurement alternative election, the Company accounts for these non-marketable equity securities at cost and adjusts for observable price changes in orderly transactions for the identical or similar investment of the same issuer or upon impairment. These securities are not eligible for the net-asset-value practical expedient from fair value measurement. The measurement alternative election is reassessed each reporting period to determine whether the non-marketable securities continue to be eligible for this election.</w:t>
      </w:r>
    </w:p>
    <w:p>
      <w:pPr>
        <w:spacing w:after="0" w:line="123"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The Company periodically evaluates its non-marketable equity securities for impairment when events and circumstances indicate that the carrying amount of the investment may not be recovered. Impairment indicators may include, but are not limited to, a significant deterioration in earnings performance, credit rating, asset quality or business outlook or a significant adverse change in the regulatory, economic, or technological environment. If the non-marketable equity securities are considered impaired, the Company will record an impairment charge within other income (expense) on its consolidated statement of operations for the amount by which the carrying value exceeds the fair value of the investment. For the years ended January 31, 2022, 2021 and 2020, the Company did not record any impairment charges related to its non-marketable equity securities in its consolidated statements of operations.</w:t>
      </w:r>
    </w:p>
    <w:p>
      <w:pPr>
        <w:spacing w:after="0" w:line="114" w:lineRule="exact"/>
        <w:rPr>
          <w:sz w:val="20"/>
          <w:szCs w:val="20"/>
          <w:color w:val="auto"/>
        </w:rPr>
      </w:pPr>
    </w:p>
    <w:p>
      <w:pPr>
        <w:ind w:right="220" w:firstLine="470"/>
        <w:spacing w:after="0" w:line="264" w:lineRule="auto"/>
        <w:rPr>
          <w:sz w:val="20"/>
          <w:szCs w:val="20"/>
          <w:color w:val="auto"/>
        </w:rPr>
      </w:pPr>
      <w:r>
        <w:rPr>
          <w:rFonts w:ascii="Arial" w:cs="Arial" w:eastAsia="Arial" w:hAnsi="Arial"/>
          <w:sz w:val="17"/>
          <w:szCs w:val="17"/>
          <w:color w:val="auto"/>
        </w:rPr>
        <w:t>During the years ended January 31, 2022 and 2021, the Company invested $4.3 million and $0.5 million, respectively, of its cash in non-marketable securities of privately-held companies. The Company evaluated its ownership, contractual and other interests of its investments and determined that as of January 31, 2022,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Fair Value of Financial Instruments</w:t>
      </w:r>
    </w:p>
    <w:p>
      <w:pPr>
        <w:spacing w:after="0" w:line="170" w:lineRule="exact"/>
        <w:rPr>
          <w:sz w:val="20"/>
          <w:szCs w:val="20"/>
          <w:color w:val="auto"/>
        </w:rPr>
      </w:pPr>
    </w:p>
    <w:p>
      <w:pPr>
        <w:ind w:right="80" w:firstLine="470"/>
        <w:spacing w:after="0" w:line="304" w:lineRule="auto"/>
        <w:rPr>
          <w:sz w:val="20"/>
          <w:szCs w:val="20"/>
          <w:color w:val="auto"/>
        </w:rPr>
      </w:pPr>
      <w:r>
        <w:rPr>
          <w:rFonts w:ascii="Arial" w:cs="Arial" w:eastAsia="Arial" w:hAnsi="Arial"/>
          <w:sz w:val="15"/>
          <w:szCs w:val="15"/>
          <w:color w:val="auto"/>
        </w:rPr>
        <w:t xml:space="preserve">The Company’s financial instruments consist of cash and cash equivalents, short-term investments, accounts receivable, </w:t>
      </w:r>
      <w:r>
        <w:rPr>
          <w:rFonts w:ascii="Arial" w:cs="Arial" w:eastAsia="Arial" w:hAnsi="Arial"/>
          <w:sz w:val="15"/>
          <w:szCs w:val="15"/>
          <w:color w:val="212529"/>
        </w:rPr>
        <w:t>non-marketable securities,</w:t>
      </w:r>
      <w:r>
        <w:rPr>
          <w:rFonts w:ascii="Arial" w:cs="Arial" w:eastAsia="Arial" w:hAnsi="Arial"/>
          <w:sz w:val="15"/>
          <w:szCs w:val="15"/>
          <w:color w:val="auto"/>
        </w:rPr>
        <w:t xml:space="preserve"> accounts payable and accrued liabilities. Cash equivalents are measured at fair value on a recurring basis. Short-term investments classified as available-for-sale debt securities are recorded at fair value. </w:t>
      </w:r>
      <w:r>
        <w:rPr>
          <w:rFonts w:ascii="Arial" w:cs="Arial" w:eastAsia="Arial" w:hAnsi="Arial"/>
          <w:sz w:val="15"/>
          <w:szCs w:val="15"/>
          <w:color w:val="212529"/>
        </w:rPr>
        <w:t>Non-marketable securities consist of debt and equity securities. Non-marketable debt securities are measured at fair</w:t>
      </w:r>
      <w:r>
        <w:rPr>
          <w:rFonts w:ascii="Arial" w:cs="Arial" w:eastAsia="Arial" w:hAnsi="Arial"/>
          <w:sz w:val="15"/>
          <w:szCs w:val="15"/>
          <w:color w:val="auto"/>
        </w:rPr>
        <w:t xml:space="preserve"> </w:t>
      </w:r>
      <w:r>
        <w:rPr>
          <w:rFonts w:ascii="Arial" w:cs="Arial" w:eastAsia="Arial" w:hAnsi="Arial"/>
          <w:sz w:val="15"/>
          <w:szCs w:val="15"/>
          <w:color w:val="212529"/>
        </w:rPr>
        <w:t xml:space="preserve">value at each reporting period. Non-marketable equity securities are measured at fair value under the measurement </w:t>
      </w:r>
      <w:r>
        <w:rPr>
          <w:rFonts w:ascii="Arial" w:cs="Arial" w:eastAsia="Arial" w:hAnsi="Arial"/>
          <w:sz w:val="15"/>
          <w:szCs w:val="15"/>
          <w:color w:val="000000"/>
        </w:rPr>
        <w:t>alternative when there have been observable</w:t>
      </w:r>
      <w:r>
        <w:rPr>
          <w:rFonts w:ascii="Arial" w:cs="Arial" w:eastAsia="Arial" w:hAnsi="Arial"/>
          <w:sz w:val="15"/>
          <w:szCs w:val="15"/>
          <w:color w:val="212529"/>
        </w:rPr>
        <w:t xml:space="preserve"> </w:t>
      </w:r>
      <w:r>
        <w:rPr>
          <w:rFonts w:ascii="Arial" w:cs="Arial" w:eastAsia="Arial" w:hAnsi="Arial"/>
          <w:sz w:val="15"/>
          <w:szCs w:val="15"/>
          <w:color w:val="000000"/>
        </w:rPr>
        <w:t>price changes in orderly transactions for the identical or a similar investment of the same issuer or upon impairment. Accounts receivable, accounts payable and accrued liabilities are stated at their carrying value, which approximates fair value due to the short time to the expected receipt or payment date.</w:t>
      </w:r>
    </w:p>
    <w:p>
      <w:pPr>
        <w:spacing w:after="0" w:line="101"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 xml:space="preserve">The Company follows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with respect to assets and liabilities that are measured at fair value. Under this standard, 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spacing w:after="0" w:line="126" w:lineRule="exact"/>
        <w:rPr>
          <w:sz w:val="20"/>
          <w:szCs w:val="20"/>
          <w:color w:val="auto"/>
        </w:rPr>
      </w:pPr>
    </w:p>
    <w:p>
      <w:pPr>
        <w:ind w:left="620" w:hanging="302"/>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70" w:lineRule="exact"/>
        <w:rPr>
          <w:rFonts w:ascii="Arial" w:cs="Arial" w:eastAsia="Arial" w:hAnsi="Arial"/>
          <w:sz w:val="17"/>
          <w:szCs w:val="17"/>
          <w:color w:val="auto"/>
        </w:rPr>
      </w:pPr>
    </w:p>
    <w:p>
      <w:pPr>
        <w:ind w:left="640" w:right="100" w:hanging="322"/>
        <w:spacing w:after="0" w:line="272"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19" w:lineRule="exact"/>
        <w:rPr>
          <w:rFonts w:ascii="Arial" w:cs="Arial" w:eastAsia="Arial" w:hAnsi="Arial"/>
          <w:sz w:val="17"/>
          <w:szCs w:val="17"/>
          <w:color w:val="auto"/>
        </w:rPr>
      </w:pPr>
    </w:p>
    <w:p>
      <w:pPr>
        <w:ind w:left="620" w:hanging="302"/>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Concentration of Credit Risk</w:t>
      </w:r>
    </w:p>
    <w:p>
      <w:pPr>
        <w:spacing w:after="0" w:line="170"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127"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As of January 31, 2022 and 2021, no customer represented 10% or more of net accounts receivable. For the years ended January 31, 2022, 2021 and 2020, no customer represented 10% or more of revenue.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Software Development Costs</w:t>
      </w:r>
    </w:p>
    <w:p>
      <w:pPr>
        <w:spacing w:after="0" w:line="170" w:lineRule="exact"/>
        <w:rPr>
          <w:sz w:val="20"/>
          <w:szCs w:val="20"/>
          <w:color w:val="auto"/>
        </w:rPr>
      </w:pPr>
    </w:p>
    <w:p>
      <w:pPr>
        <w:ind w:right="100" w:firstLine="470"/>
        <w:spacing w:after="0" w:line="263" w:lineRule="auto"/>
        <w:rPr>
          <w:sz w:val="20"/>
          <w:szCs w:val="20"/>
          <w:color w:val="auto"/>
        </w:rPr>
      </w:pPr>
      <w:r>
        <w:rPr>
          <w:rFonts w:ascii="Arial" w:cs="Arial" w:eastAsia="Arial" w:hAnsi="Arial"/>
          <w:sz w:val="17"/>
          <w:szCs w:val="17"/>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26"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2022 and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Property and Equipment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are recorded at cost and depreciated using the straight-line method over the following estimated useful lives: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00" w:type="dxa"/>
            <w:vAlign w:val="bottom"/>
            <w:tcBorders>
              <w:bottom w:val="single" w:sz="8" w:color="CCEEFF"/>
            </w:tcBorders>
          </w:tcPr>
          <w:p>
            <w:pPr>
              <w:spacing w:after="0"/>
              <w:rPr>
                <w:sz w:val="19"/>
                <w:szCs w:val="19"/>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Estimated Useful Life</w:t>
            </w:r>
          </w:p>
        </w:tc>
      </w:tr>
      <w:tr>
        <w:trPr>
          <w:trHeight w:val="21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Two to 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Purchased software</w:t>
            </w: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Two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Servers</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Five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Website costs</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360" w:type="dxa"/>
            <w:vAlign w:val="bottom"/>
          </w:tcPr>
          <w:p>
            <w:pPr>
              <w:jc w:val="center"/>
              <w:spacing w:after="0"/>
              <w:rPr>
                <w:sz w:val="20"/>
                <w:szCs w:val="20"/>
                <w:color w:val="auto"/>
              </w:rPr>
            </w:pPr>
            <w:r>
              <w:rPr>
                <w:rFonts w:ascii="Arial" w:cs="Arial" w:eastAsia="Arial" w:hAnsi="Arial"/>
                <w:sz w:val="17"/>
                <w:szCs w:val="17"/>
                <w:color w:val="auto"/>
                <w:w w:val="93"/>
              </w:rPr>
              <w:t>Lesser of estimated useful life or remaining lease term</w:t>
            </w:r>
          </w:p>
        </w:tc>
      </w:tr>
    </w:tbl>
    <w:p>
      <w:pPr>
        <w:spacing w:after="0" w:line="145"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Business Combinations</w:t>
      </w:r>
    </w:p>
    <w:p>
      <w:pPr>
        <w:spacing w:after="0" w:line="170"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The Company uses its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any subsequent adjustments are recorded to the Company’s consolidated statements of operations. Acquisition-related expenses are recognized separately from the business combination and are expensed as incurred.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Leases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Company determines if an arrangement is, or contains, a lease at inception. An arrangement is or contains a lease if the arrangement conveys the right to control the use of an identified asset for a period of time in exchange for consideration.</w:t>
      </w:r>
    </w:p>
    <w:p>
      <w:pPr>
        <w:spacing w:after="0" w:line="10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spacing w:after="0" w:line="123"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measures right-of-use assets at the lease commencement date based on the corresponding lease liabilities adjusted for (i) prepayments made to the lessor at or before the commencement date, (ii) initial direct costs incurred and (iii) certain tenant incentives under the lease. The Company evaluates the recoverability of the right-of-use assets for possible impairment in accordance with the long-lived assets policy.</w:t>
      </w:r>
    </w:p>
    <w:p>
      <w:pPr>
        <w:spacing w:after="0" w:line="120"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spacing w:after="0" w:line="119"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23" w:lineRule="exact"/>
        <w:rPr>
          <w:sz w:val="20"/>
          <w:szCs w:val="20"/>
          <w:color w:val="auto"/>
        </w:rPr>
      </w:pPr>
    </w:p>
    <w:p>
      <w:pPr>
        <w:ind w:right="40" w:firstLine="470"/>
        <w:spacing w:after="0" w:line="313" w:lineRule="auto"/>
        <w:rPr>
          <w:sz w:val="20"/>
          <w:szCs w:val="20"/>
          <w:color w:val="auto"/>
        </w:rPr>
      </w:pPr>
      <w:r>
        <w:rPr>
          <w:rFonts w:ascii="Arial" w:cs="Arial" w:eastAsia="Arial" w:hAnsi="Arial"/>
          <w:sz w:val="15"/>
          <w:szCs w:val="15"/>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Impairment of Long-Lived Assets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 xml:space="preserve">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Impairment charges related to long-lived assets during the years presented were not material. Refer to Note 4,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for more information.</w:t>
      </w:r>
    </w:p>
    <w:p>
      <w:pPr>
        <w:spacing w:after="0" w:line="127"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color w:val="auto"/>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Goodwill and Other Acquired Intangible Assets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140" w:firstLine="470"/>
        <w:spacing w:after="0" w:line="260" w:lineRule="auto"/>
        <w:rPr>
          <w:sz w:val="20"/>
          <w:szCs w:val="20"/>
          <w:color w:val="auto"/>
        </w:rPr>
      </w:pPr>
      <w:r>
        <w:rPr>
          <w:rFonts w:ascii="Arial" w:cs="Arial" w:eastAsia="Arial" w:hAnsi="Arial"/>
          <w:sz w:val="17"/>
          <w:szCs w:val="17"/>
          <w:color w:val="auto"/>
        </w:rPr>
        <w:t>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 were identified during the years ended January 31, 2022, 2021 and 2020, and accordingly, the Company has not recorded any impairment of goodwill during those periods.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Revenue Recognition</w:t>
      </w:r>
    </w:p>
    <w:p>
      <w:pPr>
        <w:spacing w:after="0" w:line="170" w:lineRule="exact"/>
        <w:rPr>
          <w:sz w:val="20"/>
          <w:szCs w:val="20"/>
          <w:color w:val="auto"/>
        </w:rPr>
      </w:pPr>
    </w:p>
    <w:p>
      <w:pPr>
        <w:ind w:right="300" w:firstLine="470"/>
        <w:spacing w:after="0" w:line="264" w:lineRule="auto"/>
        <w:rPr>
          <w:sz w:val="20"/>
          <w:szCs w:val="20"/>
          <w:color w:val="auto"/>
        </w:rPr>
      </w:pPr>
      <w:r>
        <w:rPr>
          <w:rFonts w:ascii="Arial" w:cs="Arial" w:eastAsia="Arial" w:hAnsi="Arial"/>
          <w:sz w:val="17"/>
          <w:szCs w:val="17"/>
          <w:color w:val="auto"/>
        </w:rPr>
        <w:t>The Company derives its revenue from two sources: (1) sales of subscriptions, including term license and post-contract customer support (“PCS”) and consumption-based database-as-a-service offering;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27" w:lineRule="exact"/>
        <w:rPr>
          <w:sz w:val="20"/>
          <w:szCs w:val="20"/>
          <w:color w:val="auto"/>
        </w:rPr>
      </w:pPr>
    </w:p>
    <w:p>
      <w:pPr>
        <w:ind w:left="640" w:right="20" w:hanging="322"/>
        <w:spacing w:after="0" w:line="300" w:lineRule="auto"/>
        <w:tabs>
          <w:tab w:leader="none" w:pos="627" w:val="left"/>
        </w:tabs>
        <w:numPr>
          <w:ilvl w:val="0"/>
          <w:numId w:val="35"/>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 - The Company contracts with its customers through order forms, which are 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spacing w:after="0" w:line="52" w:lineRule="exact"/>
        <w:rPr>
          <w:rFonts w:ascii="Arial" w:cs="Arial" w:eastAsia="Arial" w:hAnsi="Arial"/>
          <w:sz w:val="15"/>
          <w:szCs w:val="15"/>
          <w:color w:val="auto"/>
        </w:rPr>
      </w:pPr>
    </w:p>
    <w:p>
      <w:pPr>
        <w:ind w:left="640" w:right="280" w:hanging="322"/>
        <w:spacing w:after="0" w:line="261" w:lineRule="auto"/>
        <w:tabs>
          <w:tab w:leader="none" w:pos="637" w:val="left"/>
        </w:tabs>
        <w:numPr>
          <w:ilvl w:val="0"/>
          <w:numId w:val="35"/>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80" w:lineRule="exact"/>
        <w:rPr>
          <w:rFonts w:ascii="Arial" w:cs="Arial" w:eastAsia="Arial" w:hAnsi="Arial"/>
          <w:sz w:val="17"/>
          <w:szCs w:val="17"/>
          <w:color w:val="auto"/>
        </w:rPr>
      </w:pPr>
    </w:p>
    <w:p>
      <w:pPr>
        <w:ind w:left="640" w:right="140" w:hanging="322"/>
        <w:spacing w:after="0" w:line="267" w:lineRule="auto"/>
        <w:tabs>
          <w:tab w:leader="none" w:pos="633"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None of the Company’s contracts contain a significant financing component.</w:t>
      </w:r>
    </w:p>
    <w:p>
      <w:pPr>
        <w:spacing w:after="0" w:line="71" w:lineRule="exact"/>
        <w:rPr>
          <w:rFonts w:ascii="Arial" w:cs="Arial" w:eastAsia="Arial" w:hAnsi="Arial"/>
          <w:sz w:val="17"/>
          <w:szCs w:val="17"/>
          <w:color w:val="auto"/>
        </w:rPr>
      </w:pPr>
    </w:p>
    <w:p>
      <w:pPr>
        <w:ind w:left="640" w:hanging="322"/>
        <w:spacing w:after="0" w:line="302" w:lineRule="auto"/>
        <w:tabs>
          <w:tab w:leader="none" w:pos="625" w:val="left"/>
        </w:tabs>
        <w:numPr>
          <w:ilvl w:val="0"/>
          <w:numId w:val="35"/>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the Company utilizes all observable data points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left="640" w:right="340"/>
        <w:spacing w:after="0" w:line="288" w:lineRule="auto"/>
        <w:rPr>
          <w:sz w:val="20"/>
          <w:szCs w:val="20"/>
          <w:color w:val="auto"/>
        </w:rPr>
      </w:pPr>
      <w:r>
        <w:rPr>
          <w:rFonts w:ascii="Arial" w:cs="Arial" w:eastAsia="Arial" w:hAnsi="Arial"/>
          <w:sz w:val="17"/>
          <w:szCs w:val="17"/>
          <w:color w:val="auto"/>
        </w:rPr>
        <w:t>including competitor pricing for a similar or identical product, market and industry data points and the Company’s pricing practices to establish the SSP.</w:t>
      </w:r>
    </w:p>
    <w:p>
      <w:pPr>
        <w:spacing w:after="0" w:line="54" w:lineRule="exact"/>
        <w:rPr>
          <w:sz w:val="20"/>
          <w:szCs w:val="20"/>
          <w:color w:val="auto"/>
        </w:rPr>
      </w:pPr>
    </w:p>
    <w:p>
      <w:pPr>
        <w:ind w:left="640" w:hanging="322"/>
        <w:spacing w:after="0" w:line="324" w:lineRule="auto"/>
        <w:tabs>
          <w:tab w:leader="none" w:pos="6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 -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Subscription Revenue</w:t>
      </w:r>
    </w:p>
    <w:p>
      <w:pPr>
        <w:spacing w:after="0" w:line="170"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When the Company enters into multi-year subscription contracts, the Company typically invoices the customer on an annual basis. The Company’s subscription contracts are generally non-cancelable and non-refundable.</w:t>
      </w:r>
    </w:p>
    <w:p>
      <w:pPr>
        <w:spacing w:after="0" w:line="123" w:lineRule="exact"/>
        <w:rPr>
          <w:sz w:val="20"/>
          <w:szCs w:val="20"/>
          <w:color w:val="auto"/>
        </w:rPr>
      </w:pPr>
    </w:p>
    <w:p>
      <w:pPr>
        <w:ind w:right="40" w:firstLine="470"/>
        <w:spacing w:after="0" w:line="284" w:lineRule="auto"/>
        <w:rPr>
          <w:sz w:val="20"/>
          <w:szCs w:val="20"/>
          <w:color w:val="auto"/>
        </w:rPr>
      </w:pPr>
      <w:r>
        <w:rPr>
          <w:rFonts w:ascii="Arial" w:cs="Arial" w:eastAsia="Arial" w:hAnsi="Arial"/>
          <w:sz w:val="16"/>
          <w:szCs w:val="16"/>
          <w:color w:val="auto"/>
        </w:rPr>
        <w:t>The Company’s subscription revenue includes time-based software licenses sold in conjunction with PCS. These subscription offerings are generally priced on a per server basis, subject to a per server random access memory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spacing w:after="0" w:line="114"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color w:val="auto"/>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spacing w:after="0" w:line="120" w:lineRule="exact"/>
        <w:rPr>
          <w:sz w:val="20"/>
          <w:szCs w:val="20"/>
          <w:color w:val="auto"/>
        </w:rPr>
      </w:pPr>
    </w:p>
    <w:p>
      <w:pPr>
        <w:ind w:right="120" w:firstLine="470"/>
        <w:spacing w:after="0" w:line="288" w:lineRule="auto"/>
        <w:rPr>
          <w:sz w:val="20"/>
          <w:szCs w:val="20"/>
          <w:color w:val="auto"/>
        </w:rPr>
      </w:pPr>
      <w:r>
        <w:rPr>
          <w:rFonts w:ascii="Arial" w:cs="Arial" w:eastAsia="Arial" w:hAnsi="Arial"/>
          <w:sz w:val="16"/>
          <w:szCs w:val="16"/>
          <w:color w:val="auto"/>
        </w:rPr>
        <w:t>The Company also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usage-basis, as the consumption of this service represents a direct measurement of the value to the customer of the goods or services transferred to date relative to the remaining goods or services promised under the contract.</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Services Revenue</w:t>
      </w:r>
    </w:p>
    <w:p>
      <w:pPr>
        <w:spacing w:after="0" w:line="170"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The Company’s services contracts are generally provisioned on a time-and-materials basis. Revenue is recognized on a proportional performance basis as the services are delivered to the customers.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Contracts with Multiple Performance Obligations</w:t>
      </w:r>
    </w:p>
    <w:p>
      <w:pPr>
        <w:spacing w:after="0" w:line="170" w:lineRule="exact"/>
        <w:rPr>
          <w:sz w:val="20"/>
          <w:szCs w:val="20"/>
          <w:color w:val="auto"/>
        </w:rPr>
      </w:pPr>
    </w:p>
    <w:p>
      <w:pPr>
        <w:ind w:right="40" w:firstLine="470"/>
        <w:spacing w:after="0" w:line="324" w:lineRule="auto"/>
        <w:rPr>
          <w:sz w:val="20"/>
          <w:szCs w:val="20"/>
          <w:color w:val="auto"/>
        </w:rPr>
      </w:pPr>
      <w:r>
        <w:rPr>
          <w:rFonts w:ascii="Arial" w:cs="Arial" w:eastAsia="Arial" w:hAnsi="Arial"/>
          <w:sz w:val="15"/>
          <w:szCs w:val="15"/>
          <w:color w:val="auto"/>
        </w:rPr>
        <w:t>Certain of the Company’s contracts with customers contain multiple performance obligations, including those described above such as the license portion of time-based software licenses, PCS, database-as-a-service offering and services. For these contracts, the Company accounts for individual performance obligations separately if they are distinct. The transaction price is allocated to each separate performance obligation based on its relative SSP basis.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 of Revenue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Cost of Subscription Revenue</w:t>
      </w:r>
    </w:p>
    <w:p>
      <w:pPr>
        <w:spacing w:after="0" w:line="170"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Cost of subscription revenue primarily includes personnel costs, including salaries, bonuses and benefits and stock-based compensation for employees associated with the Company’s subscription arrangements principally related to support and allocated costs, including depreciation and amortization. The cost of subscription revenue for the Company’s database-as-a-service offering also includes third-party cloud infrastructure costs.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Cost of Services Revenue</w:t>
      </w:r>
    </w:p>
    <w:p>
      <w:pPr>
        <w:spacing w:after="0" w:line="170"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Cost of services revenue primarily includes personnel costs, including salaries and benefits and stock-based compensation for employees associated with the Company’s professional service contracts, travel costs and allocated costs, including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Commissions</w:t>
      </w:r>
    </w:p>
    <w:p>
      <w:pPr>
        <w:spacing w:after="0" w:line="170"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 xml:space="preserve">The Company capitalizes its incremental costs of obtaining subscription contracts with customers, which generally consist of sales commissions paid to the Company’s sales force and related payroll taxes. Incremental costs that are expected to be amortized during the succeeding twelve months are recorded on the Company’s consolidated balance sheets as deferred commissions with the remaining, non-current, portion recorded under other assets. Deferred commissions are amortized over a period of benefit that the Company has determined to be generally five years. The Company determined the period of benefit by taking into consideration the length of its customer contracts, its technology and other factors. Deferred commissions also include all other sales commissions and related payroll taxes for subscription contracts,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streams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10,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Revenue</w:t>
      </w:r>
    </w:p>
    <w:p>
      <w:pPr>
        <w:spacing w:after="0" w:line="170"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Deferred revenue primarily consists of customer billings or payments received in advance of the Company satisfying the performance obligations on its subscription and services contracts. The Company generally invoices its customers annually in advance for its subscription services. Typical payment terms provide that customers pay a portion of the total arrangement fee within 30 days of the contract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Accounts Receivable and Allowance for Doubtful Accounts</w:t>
      </w:r>
    </w:p>
    <w:p>
      <w:pPr>
        <w:spacing w:after="0" w:line="170"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23"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spacing w:after="0" w:line="11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Extensive judgment is required in assessing these factors. Due to the short-term nature of the Company’s accounts receivable, forecasts have limited relevance to the Company’s expected credit loss estimates.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10,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more information on allowance for doubtful accounts and unbilled receivables.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Convertible Senior Notes</w:t>
      </w:r>
    </w:p>
    <w:p>
      <w:pPr>
        <w:spacing w:after="0" w:line="170"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The Company early adopted Financial Accounting Standards Board (“FASB”) issued Accounting Standards Update (“ASU”) 2020-06—</w:t>
      </w:r>
      <w:r>
        <w:rPr>
          <w:rFonts w:ascii="Arial" w:cs="Arial" w:eastAsia="Arial" w:hAnsi="Arial"/>
          <w:sz w:val="16"/>
          <w:szCs w:val="16"/>
          <w:i w:val="1"/>
          <w:iCs w:val="1"/>
          <w:color w:val="auto"/>
        </w:rPr>
        <w:t>Debt—Debt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and Other Options (Subtopic 470-20) and Derivatives and Hedging—Contracts in Entity’s Own Equity (Subtopic 815-40): </w:t>
      </w:r>
      <w:r>
        <w:rPr>
          <w:rFonts w:ascii="Arial" w:cs="Arial" w:eastAsia="Arial" w:hAnsi="Arial"/>
          <w:sz w:val="16"/>
          <w:szCs w:val="16"/>
          <w:color w:val="auto"/>
        </w:rPr>
        <w:t>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Instruments and Contracts in an Entity’s Own Equity (“ASU 2020-06”) as of February 1, 2021 using the modified retrospective transition method.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Prior to the adoption of ASU 2020-06, in accounting for the issuance of the Company’s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represented the debt discount that was amortized to interest expense over the respective terms of the Notes using the effective interest rate method. The equity component was recorded in additional paid-in capital and was not remeasured as long as it continued to meet the conditions for equity classification.</w:t>
      </w:r>
    </w:p>
    <w:p>
      <w:pPr>
        <w:spacing w:after="0" w:line="12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In accounting for the debt issuance costs related to the Notes, the Company allocated the total amount incurred to the liability and equity components of the Notes based on their relative fair values. Issuance costs attributable to the liability component were being amortized to interest expense over the contractual term of the Notes. The issuance costs attributable to the equity component were netted against the equity component representing the conversion option in additional paid-in capital.</w:t>
      </w:r>
    </w:p>
    <w:p>
      <w:pPr>
        <w:spacing w:after="0" w:line="123"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Transactions involving contemporaneous exchanges of cash between the same debtor and creditor in connection with the issuance of a new debt obligation and satisfaction of an existing debt obligation by the debtor are evaluated as a modification or an exchange transaction depending on whether the exchange is determined to have substantially different terms. For exchange transactions that are considered an extinguishment of debt, the total consideration for such an exchange is separated into liability and equity components by estimating the fair value of a similar liability without a conversion option and assigning the residual value to the equity component. The gain or loss on extinguishment of the debt is subsequently determined by comparing repurchase consideration allocated to the liability component to the sum of the carrying value of the liability component, net of the proportionate amounts of unamortized debt discount and remaining unamortized debt issuance costs.</w:t>
      </w:r>
    </w:p>
    <w:p>
      <w:pPr>
        <w:spacing w:after="0" w:line="132"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The liability component of the Notes was classified as non-current until the reporting period date was within one year of maturity of the Notes or when the Company has received a redemption request, but settlement would occur after the reporting period date. Under these circumstances, the net carrying amount of the Notes was classified as a current liability and a portion of the equity component representing the conversion option was reclassified to temporary equity in the consolidated balance sheets. The portion of the equity component classified as temporary equity was measured as the difference between the principal and net carrying amount of the Notes, excluding debt issuance costs.</w:t>
      </w:r>
    </w:p>
    <w:p>
      <w:pPr>
        <w:spacing w:after="0" w:line="127"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Upon adoption of ASU 2020-06,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 Accordingly, the Company recorded a decrease to accumulated deficit of $52.6 million, a decrease to additional paid-in capital of $309.4 million, a decrease to temporary equity of $4.7 million and an increase to convertible senior notes, net, of $261.5 million. There was an immaterial benefit from the reversal of the deferred tax liability associated with the convertible senior notes upon the adoption of ASU 2020-06. Prior period financial statements were not restated.</w:t>
      </w:r>
    </w:p>
    <w:p>
      <w:pPr>
        <w:spacing w:after="0" w:line="132"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Also upon adoption, the Company is no longer utilizing the treasury stock method for earnings per share purposes. Instead, the Company is applying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spacing w:after="0" w:line="123" w:lineRule="exact"/>
        <w:rPr>
          <w:sz w:val="20"/>
          <w:szCs w:val="20"/>
          <w:color w:val="auto"/>
        </w:rPr>
      </w:pPr>
    </w:p>
    <w:p>
      <w:pPr>
        <w:ind w:right="440" w:firstLine="470"/>
        <w:spacing w:after="0" w:line="324" w:lineRule="auto"/>
        <w:rPr>
          <w:sz w:val="20"/>
          <w:szCs w:val="20"/>
          <w:color w:val="auto"/>
        </w:rPr>
      </w:pPr>
      <w:r>
        <w:rPr>
          <w:rFonts w:ascii="Arial" w:cs="Arial" w:eastAsia="Arial" w:hAnsi="Arial"/>
          <w:sz w:val="15"/>
          <w:szCs w:val="15"/>
          <w:color w:val="auto"/>
        </w:rPr>
        <w:t>The Company’s 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Research and Development</w:t>
      </w:r>
    </w:p>
    <w:p>
      <w:pPr>
        <w:spacing w:after="0" w:line="170" w:lineRule="exact"/>
        <w:rPr>
          <w:sz w:val="20"/>
          <w:szCs w:val="20"/>
          <w:color w:val="auto"/>
        </w:rPr>
      </w:pPr>
    </w:p>
    <w:p>
      <w:pPr>
        <w:ind w:right="200" w:firstLine="470"/>
        <w:spacing w:after="0" w:line="358" w:lineRule="auto"/>
        <w:rPr>
          <w:sz w:val="20"/>
          <w:szCs w:val="20"/>
          <w:color w:val="auto"/>
        </w:rPr>
      </w:pPr>
      <w:r>
        <w:rPr>
          <w:rFonts w:ascii="Arial" w:cs="Arial" w:eastAsia="Arial" w:hAnsi="Arial"/>
          <w:sz w:val="15"/>
          <w:szCs w:val="15"/>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Advertising</w:t>
      </w:r>
    </w:p>
    <w:p>
      <w:pPr>
        <w:spacing w:after="0" w:line="170"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Advertising costs are expensed as incurred, or the first time the advertising takes place, based on the nature of the advertising and include direct marketing, events, public relations, sales collateral materials and partner programs. Advertising costs were $18.0 million, $12.8 million and $7.6 million for the years ended January 31, 2022, 2021 and 2020, respectively. Advertising costs are recorded in sales and marketing expenses in the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Stock-Based Compensation</w:t>
      </w:r>
    </w:p>
    <w:p>
      <w:pPr>
        <w:spacing w:after="0" w:line="170"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Compensation expense related to stock-based awards granted to employees and non-employees is calculated based on the fair value of stock-based awards on the date of grant. For restricted stock units, fair value is based on the closing price of the Company’s Class A common stock on the grant date.</w:t>
      </w:r>
    </w:p>
    <w:p>
      <w:pPr>
        <w:spacing w:after="0" w:line="83" w:lineRule="exact"/>
        <w:rPr>
          <w:sz w:val="20"/>
          <w:szCs w:val="20"/>
          <w:color w:val="auto"/>
        </w:rPr>
      </w:pPr>
    </w:p>
    <w:p>
      <w:pPr>
        <w:ind w:right="220" w:firstLine="470"/>
        <w:spacing w:after="0" w:line="297" w:lineRule="auto"/>
        <w:rPr>
          <w:sz w:val="20"/>
          <w:szCs w:val="20"/>
          <w:color w:val="auto"/>
        </w:rPr>
      </w:pPr>
      <w:r>
        <w:rPr>
          <w:rFonts w:ascii="Arial" w:cs="Arial" w:eastAsia="Arial" w:hAnsi="Arial"/>
          <w:sz w:val="16"/>
          <w:szCs w:val="16"/>
          <w:color w:val="auto"/>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spacing w:after="0" w:line="101" w:lineRule="exact"/>
        <w:rPr>
          <w:sz w:val="20"/>
          <w:szCs w:val="20"/>
          <w:color w:val="auto"/>
        </w:rPr>
      </w:pPr>
    </w:p>
    <w:p>
      <w:pPr>
        <w:ind w:left="640" w:right="20" w:hanging="322"/>
        <w:spacing w:after="0" w:line="267" w:lineRule="auto"/>
        <w:tabs>
          <w:tab w:leader="none" w:pos="627"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For option grants that are considered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spacing w:after="0" w:line="123" w:lineRule="exact"/>
        <w:rPr>
          <w:rFonts w:ascii="Arial" w:cs="Arial" w:eastAsia="Arial" w:hAnsi="Arial"/>
          <w:sz w:val="17"/>
          <w:szCs w:val="17"/>
          <w:color w:val="auto"/>
        </w:rPr>
      </w:pPr>
    </w:p>
    <w:p>
      <w:pPr>
        <w:ind w:left="640" w:right="160" w:hanging="322"/>
        <w:spacing w:after="0" w:line="288" w:lineRule="auto"/>
        <w:tabs>
          <w:tab w:leader="none" w:pos="63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Since the Company had limited trading history of its common stock, the expected volatility for its stock option grants was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Class A common stock.</w:t>
      </w:r>
    </w:p>
    <w:p>
      <w:pPr>
        <w:spacing w:after="0" w:line="110" w:lineRule="exact"/>
        <w:rPr>
          <w:rFonts w:ascii="Arial" w:cs="Arial" w:eastAsia="Arial" w:hAnsi="Arial"/>
          <w:sz w:val="16"/>
          <w:szCs w:val="16"/>
          <w:color w:val="auto"/>
        </w:rPr>
      </w:pPr>
    </w:p>
    <w:p>
      <w:pPr>
        <w:ind w:left="640" w:right="100" w:hanging="322"/>
        <w:spacing w:after="0" w:line="288" w:lineRule="auto"/>
        <w:tabs>
          <w:tab w:leader="none" w:pos="633"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time of grant for zero-coupon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notes with maturities approximately equal to the option’s expected term and 2017 ESPP offering period.</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170"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The Company’s stock price volatility and expected option life involve management's best estimates, both of which impact the fair value estimated under the Black-Scholes option-pricing model and, ultimately, the expense that will be recognized.</w:t>
      </w:r>
    </w:p>
    <w:p>
      <w:pPr>
        <w:spacing w:after="0" w:line="106" w:lineRule="exact"/>
        <w:rPr>
          <w:sz w:val="20"/>
          <w:szCs w:val="20"/>
          <w:color w:val="auto"/>
        </w:rPr>
      </w:pPr>
    </w:p>
    <w:p>
      <w:pPr>
        <w:ind w:right="180" w:firstLine="470"/>
        <w:spacing w:after="0" w:line="297" w:lineRule="auto"/>
        <w:rPr>
          <w:sz w:val="20"/>
          <w:szCs w:val="20"/>
          <w:color w:val="auto"/>
        </w:rPr>
      </w:pPr>
      <w:r>
        <w:rPr>
          <w:rFonts w:ascii="Arial" w:cs="Arial" w:eastAsia="Arial" w:hAnsi="Arial"/>
          <w:sz w:val="16"/>
          <w:szCs w:val="16"/>
          <w:color w:val="auto"/>
        </w:rPr>
        <w:t>The Company recognizes the related stock-based compensation expense for restricted stock units and stock options on a straight-line basis over the employee’s requisite service period,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Net Loss Per Share</w:t>
      </w:r>
    </w:p>
    <w:p>
      <w:pPr>
        <w:spacing w:after="0" w:line="170"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Segment Information</w:t>
      </w:r>
    </w:p>
    <w:p>
      <w:pPr>
        <w:spacing w:after="0" w:line="170"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The Company has one operating and reportable segment as the Company’s chief operating decision maker, the Company’s Chief Executive Officer, reviews financial information on an aggregate and consolidated basis for purposes of allocating resources and evaluating financial performance. Accordingly, all required segment information can be found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Income Taxes</w:t>
      </w:r>
    </w:p>
    <w:p>
      <w:pPr>
        <w:spacing w:after="0" w:line="170" w:lineRule="exact"/>
        <w:rPr>
          <w:sz w:val="20"/>
          <w:szCs w:val="20"/>
          <w:color w:val="auto"/>
        </w:rPr>
      </w:pPr>
    </w:p>
    <w:p>
      <w:pPr>
        <w:jc w:val="both"/>
        <w:ind w:right="20" w:firstLine="470"/>
        <w:spacing w:after="0" w:line="297" w:lineRule="auto"/>
        <w:rPr>
          <w:sz w:val="20"/>
          <w:szCs w:val="20"/>
          <w:color w:val="auto"/>
        </w:rPr>
      </w:pPr>
      <w:r>
        <w:rPr>
          <w:rFonts w:ascii="Arial" w:cs="Arial" w:eastAsia="Arial" w:hAnsi="Arial"/>
          <w:sz w:val="16"/>
          <w:szCs w:val="16"/>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101"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Related Party Transactions</w:t>
      </w:r>
    </w:p>
    <w:p>
      <w:pPr>
        <w:spacing w:after="0" w:line="170" w:lineRule="exact"/>
        <w:rPr>
          <w:sz w:val="20"/>
          <w:szCs w:val="20"/>
          <w:color w:val="auto"/>
        </w:rPr>
      </w:pPr>
    </w:p>
    <w:p>
      <w:pPr>
        <w:ind w:right="380" w:firstLine="470"/>
        <w:spacing w:after="0" w:line="358" w:lineRule="auto"/>
        <w:rPr>
          <w:sz w:val="20"/>
          <w:szCs w:val="20"/>
          <w:color w:val="auto"/>
        </w:rPr>
      </w:pPr>
      <w:r>
        <w:rPr>
          <w:rFonts w:ascii="Arial" w:cs="Arial" w:eastAsia="Arial" w:hAnsi="Arial"/>
          <w:sz w:val="15"/>
          <w:szCs w:val="15"/>
          <w:color w:val="auto"/>
        </w:rPr>
        <w:t>All contracts with related parties are executed in the ordinary course of business. There were no material related party transactions in the years ended January 31, 2022, 2021 and 2020. As of January 31, 2022 and 2021, there were no material amounts payable to or amounts receivable from related parties.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Recently Adopted Accounting Pronouncements</w:t>
      </w:r>
    </w:p>
    <w:p>
      <w:pPr>
        <w:spacing w:after="0" w:line="170" w:lineRule="exact"/>
        <w:rPr>
          <w:sz w:val="20"/>
          <w:szCs w:val="20"/>
          <w:color w:val="auto"/>
        </w:rPr>
      </w:pPr>
    </w:p>
    <w:p>
      <w:pPr>
        <w:ind w:right="60" w:firstLine="470"/>
        <w:spacing w:after="0" w:line="279" w:lineRule="auto"/>
        <w:rPr>
          <w:sz w:val="20"/>
          <w:szCs w:val="20"/>
          <w:color w:val="auto"/>
        </w:rPr>
      </w:pPr>
      <w:r>
        <w:rPr>
          <w:rFonts w:ascii="Arial" w:cs="Arial" w:eastAsia="Arial" w:hAnsi="Arial"/>
          <w:sz w:val="16"/>
          <w:szCs w:val="16"/>
          <w:i w:val="1"/>
          <w:iCs w:val="1"/>
          <w:color w:val="auto"/>
        </w:rPr>
        <w:t xml:space="preserve">Convertible Senior Notes. </w:t>
      </w:r>
      <w:r>
        <w:rPr>
          <w:rFonts w:ascii="Arial" w:cs="Arial" w:eastAsia="Arial" w:hAnsi="Arial"/>
          <w:sz w:val="16"/>
          <w:szCs w:val="16"/>
          <w:color w:val="auto"/>
        </w:rPr>
        <w:t>In August 2020, the FASB ASU 2020-06. The new standard simplifies the accounting for convertible instruments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the conversion option separation model for convertible debt that can be settled in cash and by eliminating the measurement model for beneficial conversion features. Convertible instruments that continue to be subject to separation models are (1) those with conversion options that are required to be accounted for as bifurcated derivatives and (2) convertible debt instruments issued with substantial premiums for which the premiums are recorded as paid-in capital. Additionally, among other changes, the new guidance eliminates some of the conditions for equity classification for contracts in an entity’s own equity, thereby making it easier for equity contracts to qualify for the derivative scope exception. The new standard also requires entities to use the if-converted method for all convertible instruments in the diluted earnings per share calculation and include the effect of share settlement for instruments that may be settled in cash or shares, except for certain liability-classified share-based payment awards.</w:t>
      </w:r>
    </w:p>
    <w:p>
      <w:pPr>
        <w:spacing w:after="0" w:line="119"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 xml:space="preserve">The Company early adopted ASU 2020-06 as of February 1, 2021 using the modified retrospective transition method. Refer to </w:t>
      </w:r>
      <w:r>
        <w:rPr>
          <w:rFonts w:ascii="Arial" w:cs="Arial" w:eastAsia="Arial" w:hAnsi="Arial"/>
          <w:sz w:val="17"/>
          <w:szCs w:val="17"/>
          <w:i w:val="1"/>
          <w:iCs w:val="1"/>
          <w:color w:val="2C2C2C"/>
        </w:rPr>
        <w:t>Convertible Senior Notes</w:t>
      </w:r>
      <w:r>
        <w:rPr>
          <w:rFonts w:ascii="Arial" w:cs="Arial" w:eastAsia="Arial" w:hAnsi="Arial"/>
          <w:sz w:val="17"/>
          <w:szCs w:val="17"/>
          <w:color w:val="auto"/>
        </w:rPr>
        <w:t xml:space="preserve"> </w:t>
      </w:r>
      <w:r>
        <w:rPr>
          <w:rFonts w:ascii="Arial" w:cs="Arial" w:eastAsia="Arial" w:hAnsi="Arial"/>
          <w:sz w:val="17"/>
          <w:szCs w:val="17"/>
          <w:color w:val="2C2C2C"/>
        </w:rPr>
        <w:t xml:space="preserve">section in this Note 2, </w:t>
      </w:r>
      <w:r>
        <w:rPr>
          <w:rFonts w:ascii="Arial" w:cs="Arial" w:eastAsia="Arial" w:hAnsi="Arial"/>
          <w:sz w:val="17"/>
          <w:szCs w:val="17"/>
          <w:i w:val="1"/>
          <w:iCs w:val="1"/>
          <w:color w:val="000000"/>
        </w:rPr>
        <w:t>Summary of Significant Accounting Policies</w:t>
      </w:r>
      <w:r>
        <w:rPr>
          <w:rFonts w:ascii="Arial" w:cs="Arial" w:eastAsia="Arial" w:hAnsi="Arial"/>
          <w:sz w:val="17"/>
          <w:szCs w:val="17"/>
          <w:color w:val="000000"/>
        </w:rPr>
        <w:t>, for more information on the impact from the adoption of ASU 2020-06 on the Company’s</w:t>
      </w:r>
      <w:r>
        <w:rPr>
          <w:rFonts w:ascii="Arial" w:cs="Arial" w:eastAsia="Arial" w:hAnsi="Arial"/>
          <w:sz w:val="17"/>
          <w:szCs w:val="17"/>
          <w:color w:val="2C2C2C"/>
        </w:rPr>
        <w:t xml:space="preserve"> </w:t>
      </w:r>
      <w:r>
        <w:rPr>
          <w:rFonts w:ascii="Arial" w:cs="Arial" w:eastAsia="Arial" w:hAnsi="Arial"/>
          <w:sz w:val="17"/>
          <w:szCs w:val="17"/>
          <w:color w:val="000000"/>
        </w:rPr>
        <w:t>consolidated financial statements.</w:t>
      </w:r>
    </w:p>
    <w:p>
      <w:pPr>
        <w:spacing w:after="0" w:line="120"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December 2019, the FASB issued ASU 2019-12—</w:t>
      </w:r>
      <w:r>
        <w:rPr>
          <w:rFonts w:ascii="Arial" w:cs="Arial" w:eastAsia="Arial" w:hAnsi="Arial"/>
          <w:sz w:val="17"/>
          <w:szCs w:val="17"/>
          <w:i w:val="1"/>
          <w:iCs w:val="1"/>
          <w:color w:val="auto"/>
        </w:rPr>
        <w:t xml:space="preserve">Income Taxes (Topic 740): </w:t>
      </w:r>
      <w:r>
        <w:rPr>
          <w:rFonts w:ascii="Arial" w:cs="Arial" w:eastAsia="Arial" w:hAnsi="Arial"/>
          <w:sz w:val="17"/>
          <w:szCs w:val="17"/>
          <w:color w:val="auto"/>
        </w:rPr>
        <w:t>Simplifying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The Company adopted ASU 2019-12 effective February 1, 2021 and the adoption of this standard did not have a material impact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tables present information about the Company’s financial assets that have been measured at fair value on a recurring basis as of January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2022 and 2021 and indicate the fair value hierarchy of the valuation inputs utilized to determine such fair value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95"/>
              </w:rPr>
              <w:t>Fair Value at January 31, 2022</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4"/>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1140" w:type="dxa"/>
            <w:vAlign w:val="bottom"/>
          </w:tcPr>
          <w:p>
            <w:pPr>
              <w:jc w:val="right"/>
              <w:ind w:right="53"/>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2"/>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331,221</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5"/>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1,352,019</w:t>
            </w:r>
          </w:p>
        </w:tc>
      </w:tr>
      <w:tr>
        <w:trPr>
          <w:trHeight w:val="254"/>
        </w:trPr>
        <w:tc>
          <w:tcPr>
            <w:tcW w:w="5120" w:type="dxa"/>
            <w:vAlign w:val="bottom"/>
          </w:tcPr>
          <w:p>
            <w:pPr>
              <w:ind w:left="34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1,683,240</w:t>
            </w:r>
          </w:p>
        </w:tc>
        <w:tc>
          <w:tcPr>
            <w:tcW w:w="10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1,683,240</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95"/>
              </w:rPr>
              <w:t>Fair Value at January 31, 2021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4"/>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1140" w:type="dxa"/>
            <w:vAlign w:val="bottom"/>
          </w:tcPr>
          <w:p>
            <w:pPr>
              <w:jc w:val="right"/>
              <w:ind w:right="53"/>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2"/>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330,109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330,109</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5"/>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528,045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528,045</w:t>
            </w:r>
          </w:p>
        </w:tc>
      </w:tr>
      <w:tr>
        <w:trPr>
          <w:trHeight w:val="254"/>
        </w:trPr>
        <w:tc>
          <w:tcPr>
            <w:tcW w:w="5120" w:type="dxa"/>
            <w:vAlign w:val="bottom"/>
          </w:tcPr>
          <w:p>
            <w:pPr>
              <w:ind w:left="34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858,154</w:t>
            </w:r>
          </w:p>
        </w:tc>
        <w:tc>
          <w:tcPr>
            <w:tcW w:w="10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858,154</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January 31, 2022 and 2021. As of January 31, 2022, unrealized losses on our U.S. government treasury securities were approximately $3.4 million, net of tax. The changes in market interest rates as of January 31, 2022 have resulted in unrealized losses on these securities. The Company intends to hold these securities to maturity and as a result does not expect to realize these losses in its financial statements. As of January 31, 2021, gross unrealized gains for cash equivalents and short-term investments were not material. The Company concluded that an allowance for credit losses was unnecessary for short-term investments as of January 31, 2022 and 2021. Gross realized gains and losses were not material for each of the years ended January 31, 2022 and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Convertible Senior Notes</w:t>
      </w:r>
    </w:p>
    <w:p>
      <w:pPr>
        <w:spacing w:after="0" w:line="170"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 xml:space="preserve">The Company measures the fair value of its outstanding convertible senior notes on a quarterly basis for disclosure purposes. The Company considers the fair value of its convertible senior notes at January 31, 2022 to be a Level 2 measurement due to limited trading activity of the convertible senior notes. Refer to Note 6,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to the consolidated financial statements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Non-marketable Securities</w:t>
      </w:r>
    </w:p>
    <w:p>
      <w:pPr>
        <w:spacing w:after="0" w:line="170" w:lineRule="exact"/>
        <w:rPr>
          <w:sz w:val="20"/>
          <w:szCs w:val="20"/>
          <w:color w:val="auto"/>
        </w:rPr>
      </w:pPr>
    </w:p>
    <w:p>
      <w:pPr>
        <w:ind w:right="60" w:firstLine="470"/>
        <w:spacing w:after="0" w:line="278" w:lineRule="auto"/>
        <w:rPr>
          <w:sz w:val="20"/>
          <w:szCs w:val="20"/>
          <w:color w:val="auto"/>
        </w:rPr>
      </w:pPr>
      <w:r>
        <w:rPr>
          <w:rFonts w:ascii="Arial" w:cs="Arial" w:eastAsia="Arial" w:hAnsi="Arial"/>
          <w:sz w:val="16"/>
          <w:szCs w:val="16"/>
          <w:color w:val="auto"/>
        </w:rPr>
        <w:t xml:space="preserve">As of January 31, 2022 and 2021, the total amount of non-marketable equity and debt securities included in other assets on the Company’s balance sheets were $4.8 million and $0.5 million, respectively. 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for further details. The Company classifies these assets as Level 3 within the fair value hierarchy only if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 For the years ended January 31, 2022 and 2021, there have been no adjustments to the carrying values of the Company’s non-marketable securities as a result of impairment or observable price changes.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 2022</w:t>
            </w:r>
          </w:p>
        </w:tc>
        <w:tc>
          <w:tcPr>
            <w:tcW w:w="200" w:type="dxa"/>
            <w:vAlign w:val="bottom"/>
          </w:tcPr>
          <w:p>
            <w:pPr>
              <w:spacing w:after="0"/>
              <w:rPr>
                <w:sz w:val="16"/>
                <w:szCs w:val="16"/>
                <w:color w:val="auto"/>
              </w:rPr>
            </w:pPr>
          </w:p>
        </w:tc>
        <w:tc>
          <w:tcPr>
            <w:tcW w:w="146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January 31, 2021</w:t>
            </w:r>
          </w:p>
        </w:tc>
      </w:tr>
      <w:tr>
        <w:trPr>
          <w:trHeight w:val="220"/>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Servers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2,955</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Purchased software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985</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29,080</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Website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right-of-use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35,437</w:t>
            </w:r>
          </w:p>
        </w:tc>
      </w:tr>
      <w:tr>
        <w:trPr>
          <w:trHeight w:val="215"/>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property and equipment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70,309</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(7,945)</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62,364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 xml:space="preserve">Depreciation and amortization expense related to property and equipment was $4.5 million, $5.5 million and $2.7 million for the years ended January 31, 2022, 2021 and 2020, respectively. Depreciation and amortization expense excludes amortization with respect to the finance lease right-of-use asset, which is described further in Note 7,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19"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Depreciation expense for the year ended January 31, 2021 included an impairment charge of $2.1 million related to the Company’s former office space in Dublin, Ireland. In December 2019, the Company signed an agreement to lease approximately 40,000 square feet of office space to accommodate its growing employee base in Dublin. The lease commenced on February 1, 2020 and as of January 31, 2021, the former Dublin office was not occupied by the Company. Due to the impact of the ongoing COVID-19 pandemic, the Company has been unable to assign nor secure a sub-tenant for the former Dublin office. Accordingly, the Company recognized an impairment charge as part of depreciation expense that represented the remaining carrying value of the right-of-use asset for this office location.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Acquired Intangible Assets, Net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the carrying amount of goodwill during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January 31, 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January 31, 2021</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the year</w:t>
            </w:r>
          </w:p>
        </w:tc>
        <w:tc>
          <w:tcPr>
            <w:tcW w:w="2080" w:type="dxa"/>
            <w:vAlign w:val="bottom"/>
            <w:shd w:val="clear" w:color="auto" w:fill="CCEEFF"/>
          </w:tcPr>
          <w:p>
            <w:pPr>
              <w:jc w:val="right"/>
              <w:ind w:right="187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55,830</w:t>
            </w:r>
          </w:p>
        </w:tc>
      </w:tr>
      <w:tr>
        <w:trPr>
          <w:trHeight w:val="222"/>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 in goodwill related to business combinations</w:t>
            </w:r>
          </w:p>
        </w:tc>
        <w:tc>
          <w:tcPr>
            <w:tcW w:w="2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end of the year</w:t>
            </w:r>
          </w:p>
        </w:tc>
        <w:tc>
          <w:tcPr>
            <w:tcW w:w="2080" w:type="dxa"/>
            <w:vAlign w:val="bottom"/>
            <w:tcBorders>
              <w:bottom w:val="single" w:sz="8" w:color="auto"/>
            </w:tcBorders>
            <w:shd w:val="clear" w:color="auto" w:fill="CCEEFF"/>
          </w:tcPr>
          <w:p>
            <w:pPr>
              <w:jc w:val="right"/>
              <w:ind w:right="1879"/>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55,830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In April 2021, the Company made an acquisition for total cash consideration of $9.0 million, of which $4.5 million was the purchase price to be allocated and $4.5 million will be recognized as post-combination compensation expense. For accounting purposes, this business combination was deemed immaterial. The Company allocated $3.4 million to the acquired developed technology intangible asset based on fair value to be amortized over its economic useful life of five years. The Company also recorded $1.9 million of goodwill, which included a tax benefit associated with the acquisition due to the release of the valuation allowance of $0.8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3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gross carrying amount and accumulated amortization of the Company’s intangible assets are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2022</w:t>
            </w: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Gross Carrying Value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Accumulated Amortization</w:t>
            </w:r>
          </w:p>
        </w:tc>
        <w:tc>
          <w:tcPr>
            <w:tcW w:w="1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w w:val="93"/>
              </w:rPr>
              <w:t>Net Book Value</w:t>
            </w:r>
          </w:p>
        </w:tc>
        <w:tc>
          <w:tcPr>
            <w:tcW w:w="80" w:type="dxa"/>
            <w:vAlign w:val="bottom"/>
          </w:tcPr>
          <w:p>
            <w:pPr>
              <w:spacing w:after="0"/>
              <w:rPr>
                <w:sz w:val="11"/>
                <w:szCs w:val="11"/>
                <w:color w:val="auto"/>
              </w:rPr>
            </w:pPr>
          </w:p>
        </w:tc>
        <w:tc>
          <w:tcPr>
            <w:tcW w:w="2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Weighted-Average Remaining</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5,490</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(32,692)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Gross Carrying Value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Accumulated Amortization</w:t>
            </w:r>
          </w:p>
        </w:tc>
        <w:tc>
          <w:tcPr>
            <w:tcW w:w="1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w w:val="93"/>
              </w:rPr>
              <w:t>Net Book Value</w:t>
            </w:r>
          </w:p>
        </w:tc>
        <w:tc>
          <w:tcPr>
            <w:tcW w:w="80" w:type="dxa"/>
            <w:vAlign w:val="bottom"/>
          </w:tcPr>
          <w:p>
            <w:pPr>
              <w:spacing w:after="0"/>
              <w:rPr>
                <w:sz w:val="11"/>
                <w:szCs w:val="11"/>
                <w:color w:val="auto"/>
              </w:rPr>
            </w:pPr>
          </w:p>
        </w:tc>
        <w:tc>
          <w:tcPr>
            <w:tcW w:w="2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Weighted-Average Remaining</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17,745</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8,530</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(23,625)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26,275</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40" w:firstLine="470"/>
        <w:spacing w:after="0" w:line="267" w:lineRule="auto"/>
        <w:rPr>
          <w:sz w:val="20"/>
          <w:szCs w:val="20"/>
          <w:color w:val="auto"/>
        </w:rPr>
      </w:pPr>
      <w:r>
        <w:rPr>
          <w:rFonts w:ascii="Arial" w:cs="Arial" w:eastAsia="Arial" w:hAnsi="Arial"/>
          <w:sz w:val="17"/>
          <w:szCs w:val="17"/>
          <w:color w:val="auto"/>
        </w:rPr>
        <w:t>Acquired intangible assets are amortized on a straight-line basis. Amortization expense of intangible assets was $9.1 million, $8.5 million and $10.1 million for the years ended January 31, 2022, 2021 and 2020, respectively. Amortization expense for developed technology was included as research and development expense in the Company’s consolidated statements of operations. Amortization expense for customer relationships was included as sales and marketing expense in the Company’s 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120" w:type="dxa"/>
            <w:vAlign w:val="bottom"/>
          </w:tcPr>
          <w:p>
            <w:pPr>
              <w:ind w:left="480"/>
              <w:spacing w:after="0"/>
              <w:rPr>
                <w:sz w:val="20"/>
                <w:szCs w:val="20"/>
                <w:color w:val="auto"/>
              </w:rPr>
            </w:pPr>
            <w:r>
              <w:rPr>
                <w:rFonts w:ascii="Arial" w:cs="Arial" w:eastAsia="Arial" w:hAnsi="Arial"/>
                <w:sz w:val="17"/>
                <w:szCs w:val="17"/>
                <w:color w:val="auto"/>
              </w:rPr>
              <w:t>As of January 31, 2022, future amortization expense related to the intangible assets is as follows (in thousands):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05"/>
        </w:trPr>
        <w:tc>
          <w:tcPr>
            <w:tcW w:w="10120" w:type="dxa"/>
            <w:vAlign w:val="bottom"/>
          </w:tcPr>
          <w:p>
            <w:pPr>
              <w:ind w:left="20"/>
              <w:spacing w:after="0"/>
              <w:rPr>
                <w:sz w:val="20"/>
                <w:szCs w:val="20"/>
                <w:color w:val="auto"/>
              </w:rPr>
            </w:pPr>
            <w:r>
              <w:rPr>
                <w:rFonts w:ascii="Arial" w:cs="Arial" w:eastAsia="Arial" w:hAnsi="Arial"/>
                <w:sz w:val="17"/>
                <w:szCs w:val="17"/>
                <w:b w:val="1"/>
                <w:bCs w:val="1"/>
                <w:color w:val="auto"/>
              </w:rPr>
              <w:t>Years Ending January 31,</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9,180</w:t>
            </w:r>
          </w:p>
        </w:tc>
      </w:tr>
      <w:tr>
        <w:trPr>
          <w:trHeight w:val="222"/>
        </w:trPr>
        <w:tc>
          <w:tcPr>
            <w:tcW w:w="10120" w:type="dxa"/>
            <w:vAlign w:val="bottom"/>
          </w:tcPr>
          <w:p>
            <w:pPr>
              <w:ind w:left="20"/>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8,505</w:t>
            </w: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r>
      <w:tr>
        <w:trPr>
          <w:trHeight w:val="222"/>
        </w:trPr>
        <w:tc>
          <w:tcPr>
            <w:tcW w:w="10120" w:type="dxa"/>
            <w:vAlign w:val="bottom"/>
          </w:tcPr>
          <w:p>
            <w:pPr>
              <w:ind w:left="20"/>
              <w:spacing w:after="0"/>
              <w:rPr>
                <w:sz w:val="20"/>
                <w:szCs w:val="20"/>
                <w:color w:val="auto"/>
              </w:rPr>
            </w:pPr>
            <w:r>
              <w:rPr>
                <w:rFonts w:ascii="Arial" w:cs="Arial" w:eastAsia="Arial" w:hAnsi="Arial"/>
                <w:sz w:val="17"/>
                <w:szCs w:val="17"/>
                <w:color w:val="auto"/>
              </w:rPr>
              <w:t>2026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680</w:t>
            </w: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15"/>
        </w:trPr>
        <w:tc>
          <w:tcPr>
            <w:tcW w:w="1012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20,608</w:t>
            </w:r>
          </w:p>
        </w:tc>
      </w:tr>
      <w:tr>
        <w:trPr>
          <w:trHeight w:val="20"/>
        </w:trPr>
        <w:tc>
          <w:tcPr>
            <w:tcW w:w="10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Senior Notes</w:t>
      </w:r>
    </w:p>
    <w:p>
      <w:pPr>
        <w:spacing w:after="0" w:line="176"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color w:val="auto"/>
        </w:rPr>
        <w:t>In June 2018, the Company issued $250.0 million aggregate principal amount of 0.75% convertible senior notes due 2024 in a private placement and, in July 2018, the Company issued an additional $50.0 million aggregate principal amount of convertible senior notes pursuant to the exercise in full of the initial purchasers’ option to purchase additional convertible senior notes (collectively, the “2024 Notes”). The 2024 Notes were senior unsecured obligations of the Company with interest payable semiannually in arrears on June 15 and December 15 of each year, beginning on December 15, 2018, at a rate of 0.75% per year. The 2024 Notes had a maturity date of June 15, 2024, unless earlier converted, redeemed or repurchased. The total net proceeds from the offering, after deducting initial purchase discounts and debt issuance costs, were approximately $291.1 million.</w:t>
      </w:r>
    </w:p>
    <w:p>
      <w:pPr>
        <w:spacing w:after="0" w:line="114"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40" w:firstLine="470"/>
        <w:spacing w:after="0" w:line="276" w:lineRule="auto"/>
        <w:rPr>
          <w:sz w:val="20"/>
          <w:szCs w:val="20"/>
          <w:color w:val="auto"/>
        </w:rPr>
      </w:pPr>
      <w:r>
        <w:rPr>
          <w:rFonts w:ascii="Arial" w:cs="Arial" w:eastAsia="Arial" w:hAnsi="Arial"/>
          <w:sz w:val="16"/>
          <w:szCs w:val="16"/>
          <w:color w:val="auto"/>
        </w:rPr>
        <w:t>On January 14, 2020, in connection with the issuance of the 2026 Notes, the Company used a portion of the net proceeds to repurchase $210.0 million aggregate principal amount of the 2024 Notes (the “2024 Notes Partial Repurchase”) leaving $90.0 million aggregate principal outstanding on the 2024 Notes immediately after the exchange. The 2024 Notes Partial Repurchase were individually privately negotiated transactions conducted not pursuant to a redemption notice. The 2024 Notes Partial Repurchase and issuance of the 2026 Notes were deemed to have substantially different terms due to the significant difference between the value of the conversion option immediately prior to and after the exchange, and accordingly, the 2024 Notes Partial Repurchase was accounted for as a debt extinguishment. The Company used $479.2 million of the net proceeds from the issuance of the 2026 Notes to complete the 2024 Notes Partial Repurchase, of which $175.1 million and $303.9 million were allocated to the liability and equity components of the 2024 Notes, respectively, and $0.2 million was allocated to the proportional interest paid. The cash consideration allocated to the liability component was based on the fair value of the liability component utilizing an effective discount rate of 5.04%. This rate was based on the Company’s estimated rate for a similar liability with the same maturity, but without the conversion option. To derive this effective discount rate, the Company observed the trading details of its 2024 Notes immediately prior to the repurchase date to determine the volatility of its 2024 Notes. The Company utilized the observed volatility to calculate the effective discount rate, which was adjusted to reflect the term of the remaining 2024 Notes. The cash consideration allocated to the equity component was calculated by deducting the fair value of the liability component from the aggregate cash consideration. The loss on extinguishment was subsequently determined by comparing the allocated cash consideration with the carrying value of the liability component, which includes the proportionate amounts of unamortized debt discount and the remaining unamortized debt issuance costs.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net carrying amount of the liability component of the 2024 Notes immediately prior to the repurchase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1893"/>
              <w:spacing w:after="0"/>
              <w:rPr>
                <w:sz w:val="20"/>
                <w:szCs w:val="20"/>
                <w:color w:val="auto"/>
              </w:rPr>
            </w:pPr>
            <w:r>
              <w:rPr>
                <w:rFonts w:ascii="Arial" w:cs="Arial" w:eastAsia="Arial" w:hAnsi="Arial"/>
                <w:sz w:val="17"/>
                <w:szCs w:val="17"/>
                <w:b w:val="1"/>
                <w:bCs w:val="1"/>
                <w:color w:val="auto"/>
                <w:w w:val="96"/>
              </w:rPr>
              <w:t>January 14, 2020</w:t>
            </w:r>
          </w:p>
        </w:tc>
        <w:tc>
          <w:tcPr>
            <w:tcW w:w="0" w:type="dxa"/>
            <w:vAlign w:val="bottom"/>
          </w:tcPr>
          <w:p>
            <w:pPr>
              <w:spacing w:after="0"/>
              <w:rPr>
                <w:sz w:val="1"/>
                <w:szCs w:val="1"/>
                <w:color w:val="auto"/>
              </w:rPr>
            </w:pPr>
          </w:p>
        </w:tc>
      </w:tr>
      <w:tr>
        <w:trPr>
          <w:trHeight w:val="163"/>
        </w:trPr>
        <w:tc>
          <w:tcPr>
            <w:tcW w:w="602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2024 Notes Total</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793"/>
              <w:spacing w:after="0" w:line="163" w:lineRule="exact"/>
              <w:rPr>
                <w:sz w:val="20"/>
                <w:szCs w:val="20"/>
                <w:color w:val="auto"/>
              </w:rPr>
            </w:pPr>
            <w:r>
              <w:rPr>
                <w:rFonts w:ascii="Arial" w:cs="Arial" w:eastAsia="Arial" w:hAnsi="Arial"/>
                <w:sz w:val="17"/>
                <w:szCs w:val="17"/>
                <w:b w:val="1"/>
                <w:bCs w:val="1"/>
                <w:color w:val="auto"/>
              </w:rPr>
              <w:t>2024 Notes</w:t>
            </w:r>
          </w:p>
        </w:tc>
        <w:tc>
          <w:tcPr>
            <w:tcW w:w="0" w:type="dxa"/>
            <w:vAlign w:val="bottom"/>
          </w:tcPr>
          <w:p>
            <w:pPr>
              <w:spacing w:after="0"/>
              <w:rPr>
                <w:sz w:val="1"/>
                <w:szCs w:val="1"/>
                <w:color w:val="auto"/>
              </w:rPr>
            </w:pPr>
          </w:p>
        </w:tc>
      </w:tr>
      <w:tr>
        <w:trPr>
          <w:trHeight w:val="222"/>
        </w:trPr>
        <w:tc>
          <w:tcPr>
            <w:tcW w:w="6020" w:type="dxa"/>
            <w:vAlign w:val="bottom"/>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Partial Repurchase</w:t>
            </w:r>
          </w:p>
        </w:tc>
        <w:tc>
          <w:tcPr>
            <w:tcW w:w="0" w:type="dxa"/>
            <w:vAlign w:val="bottom"/>
          </w:tcPr>
          <w:p>
            <w:pPr>
              <w:spacing w:after="0"/>
              <w:rPr>
                <w:sz w:val="1"/>
                <w:szCs w:val="1"/>
                <w:color w:val="auto"/>
              </w:rPr>
            </w:pPr>
          </w:p>
        </w:tc>
      </w:tr>
      <w:tr>
        <w:trPr>
          <w:trHeight w:val="215"/>
        </w:trPr>
        <w:tc>
          <w:tcPr>
            <w:tcW w:w="6020" w:type="dxa"/>
            <w:vAlign w:val="bottom"/>
          </w:tcPr>
          <w:p>
            <w:pPr>
              <w:ind w:left="220"/>
              <w:spacing w:after="0"/>
              <w:rPr>
                <w:sz w:val="20"/>
                <w:szCs w:val="20"/>
                <w:color w:val="auto"/>
              </w:rPr>
            </w:pPr>
            <w:r>
              <w:rPr>
                <w:rFonts w:ascii="Arial" w:cs="Arial" w:eastAsia="Arial" w:hAnsi="Arial"/>
                <w:sz w:val="17"/>
                <w:szCs w:val="17"/>
                <w:color w:val="auto"/>
              </w:rPr>
              <w:t>Principal</w:t>
            </w:r>
          </w:p>
        </w:tc>
        <w:tc>
          <w:tcPr>
            <w:tcW w:w="1900" w:type="dxa"/>
            <w:vAlign w:val="bottom"/>
          </w:tcPr>
          <w:p>
            <w:pPr>
              <w:jc w:val="right"/>
              <w:ind w:right="17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300,000</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2220" w:type="dxa"/>
            <w:vAlign w:val="bottom"/>
          </w:tcPr>
          <w:p>
            <w:pPr>
              <w:jc w:val="right"/>
              <w:spacing w:after="0"/>
              <w:rPr>
                <w:sz w:val="20"/>
                <w:szCs w:val="20"/>
                <w:color w:val="auto"/>
              </w:rPr>
            </w:pPr>
            <w:r>
              <w:rPr>
                <w:rFonts w:ascii="Arial" w:cs="Arial" w:eastAsia="Arial" w:hAnsi="Arial"/>
                <w:sz w:val="17"/>
                <w:szCs w:val="17"/>
                <w:color w:val="auto"/>
              </w:rPr>
              <w:t>209,998</w:t>
            </w:r>
          </w:p>
        </w:tc>
        <w:tc>
          <w:tcPr>
            <w:tcW w:w="0" w:type="dxa"/>
            <w:vAlign w:val="bottom"/>
          </w:tcPr>
          <w:p>
            <w:pPr>
              <w:spacing w:after="0"/>
              <w:rPr>
                <w:sz w:val="1"/>
                <w:szCs w:val="1"/>
                <w:color w:val="auto"/>
              </w:rPr>
            </w:pPr>
          </w:p>
        </w:tc>
      </w:tr>
      <w:tr>
        <w:trPr>
          <w:trHeight w:val="222"/>
        </w:trPr>
        <w:tc>
          <w:tcPr>
            <w:tcW w:w="6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Unamortized debt discount</w:t>
            </w:r>
          </w:p>
        </w:tc>
        <w:tc>
          <w:tcPr>
            <w:tcW w:w="19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(65,366)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(45,756)</w:t>
            </w:r>
          </w:p>
        </w:tc>
        <w:tc>
          <w:tcPr>
            <w:tcW w:w="0" w:type="dxa"/>
            <w:vAlign w:val="bottom"/>
          </w:tcPr>
          <w:p>
            <w:pPr>
              <w:spacing w:after="0"/>
              <w:rPr>
                <w:sz w:val="1"/>
                <w:szCs w:val="1"/>
                <w:color w:val="auto"/>
              </w:rPr>
            </w:pPr>
          </w:p>
        </w:tc>
      </w:tr>
      <w:tr>
        <w:trPr>
          <w:trHeight w:val="222"/>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Unamortized debt issuance costs</w:t>
            </w:r>
          </w:p>
        </w:tc>
        <w:tc>
          <w:tcPr>
            <w:tcW w:w="1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(3,623)</w:t>
            </w:r>
          </w:p>
        </w:tc>
        <w:tc>
          <w:tcPr>
            <w:tcW w:w="0" w:type="dxa"/>
            <w:vAlign w:val="bottom"/>
          </w:tcPr>
          <w:p>
            <w:pPr>
              <w:spacing w:after="0"/>
              <w:rPr>
                <w:sz w:val="1"/>
                <w:szCs w:val="1"/>
                <w:color w:val="auto"/>
              </w:rPr>
            </w:pPr>
          </w:p>
        </w:tc>
      </w:tr>
      <w:tr>
        <w:trPr>
          <w:trHeight w:val="240"/>
        </w:trPr>
        <w:tc>
          <w:tcPr>
            <w:tcW w:w="6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carrying amount</w:t>
            </w:r>
          </w:p>
        </w:tc>
        <w:tc>
          <w:tcPr>
            <w:tcW w:w="1900" w:type="dxa"/>
            <w:vAlign w:val="bottom"/>
            <w:tcBorders>
              <w:bottom w:val="single" w:sz="8" w:color="auto"/>
            </w:tcBorders>
            <w:shd w:val="clear" w:color="auto" w:fill="CCEEFF"/>
          </w:tcPr>
          <w:p>
            <w:pPr>
              <w:jc w:val="right"/>
              <w:ind w:right="17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229,459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160,619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2024 Notes Partial Repurchase resulted in a loss of early extinguishment of debt calculated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January 14, 2020</w:t>
            </w:r>
          </w:p>
        </w:tc>
      </w:tr>
      <w:tr>
        <w:trPr>
          <w:trHeight w:val="215"/>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consideration allocated to the liability component</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175,141</w:t>
            </w:r>
          </w:p>
        </w:tc>
      </w:tr>
      <w:tr>
        <w:trPr>
          <w:trHeight w:val="222"/>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Net carrying amount of the liability component associated with the 2024 Notes Partial Repurchase</w:t>
            </w:r>
          </w:p>
        </w:tc>
        <w:tc>
          <w:tcPr>
            <w:tcW w:w="4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(160,619)</w:t>
            </w:r>
          </w:p>
        </w:tc>
      </w:tr>
      <w:tr>
        <w:trPr>
          <w:trHeight w:val="24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Loss from 2024 Notes Partial Repurchase</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14,522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In connection with the 2024 Notes Partial Repurchase, the cash consideration allocated to the equity component of $303.9 million was recorded as a reduction to additional paid-in capital on the Company’s consolidated balance sheet as of January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Terms of the 2024 Notes</w:t>
      </w:r>
    </w:p>
    <w:p>
      <w:pPr>
        <w:spacing w:after="0" w:line="17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For the 2024 Notes, the initial conversion rate was 14.6738 shares of the Company’s Class A common stock per $1,000 principal amount of the 2024 Notes, which was equal to an initial conversion price of approximately $68.15 per share of Class A common stock, subject to adjustment upon the occurrence of specified events.</w:t>
      </w:r>
    </w:p>
    <w:p>
      <w:pPr>
        <w:spacing w:after="0" w:line="119"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2024 Notes were convertible at the option of the holders at any time prior to the close of business on the business day immediately preceding March 15, 2024, only under the following circumstances:</w:t>
      </w:r>
    </w:p>
    <w:p>
      <w:pPr>
        <w:spacing w:after="0" w:line="106" w:lineRule="exact"/>
        <w:rPr>
          <w:sz w:val="20"/>
          <w:szCs w:val="20"/>
          <w:color w:val="auto"/>
        </w:rPr>
      </w:pPr>
    </w:p>
    <w:p>
      <w:pPr>
        <w:ind w:left="940" w:right="140" w:hanging="308"/>
        <w:spacing w:after="0" w:line="272" w:lineRule="auto"/>
        <w:tabs>
          <w:tab w:leader="none" w:pos="93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October 31, 2018 (and only during such fiscal quarter), if the last reported sale price of the Company’s Class A common stock for at least 20 trading days (whether or not consecutive) during a period of 30 consecutive trading days ending on and including,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left="940" w:right="400"/>
        <w:spacing w:after="0" w:line="288" w:lineRule="auto"/>
        <w:rPr>
          <w:sz w:val="20"/>
          <w:szCs w:val="20"/>
          <w:color w:val="auto"/>
        </w:rPr>
      </w:pPr>
      <w:r>
        <w:rPr>
          <w:rFonts w:ascii="Arial" w:cs="Arial" w:eastAsia="Arial" w:hAnsi="Arial"/>
          <w:sz w:val="17"/>
          <w:szCs w:val="17"/>
          <w:color w:val="auto"/>
        </w:rPr>
        <w:t>last trading day of the immediately preceding fiscal quarter is greater than or equal to 130% of the conversion price of the 2024 Notes on each applicable trading day;</w:t>
      </w:r>
    </w:p>
    <w:p>
      <w:pPr>
        <w:spacing w:after="0" w:line="106" w:lineRule="exact"/>
        <w:rPr>
          <w:sz w:val="20"/>
          <w:szCs w:val="20"/>
          <w:color w:val="auto"/>
        </w:rPr>
      </w:pPr>
    </w:p>
    <w:p>
      <w:pPr>
        <w:jc w:val="both"/>
        <w:ind w:left="940" w:right="60" w:hanging="308"/>
        <w:spacing w:after="0" w:line="272" w:lineRule="auto"/>
        <w:tabs>
          <w:tab w:leader="none" w:pos="9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the five-business day period after any five consecutive trading day period (the “measurement period”) in which the trading price per $1,000 principal amount of the 2024 Notes for each trading day of the measurement period was less than 98% of the product of the last reported sale price of the Company’s Class A common stock and the conversion rate of the 2024 Notes on each such trading day;</w:t>
      </w:r>
    </w:p>
    <w:p>
      <w:pPr>
        <w:spacing w:after="0" w:line="119" w:lineRule="exact"/>
        <w:rPr>
          <w:rFonts w:ascii="Arial" w:cs="Arial" w:eastAsia="Arial" w:hAnsi="Arial"/>
          <w:sz w:val="17"/>
          <w:szCs w:val="17"/>
          <w:color w:val="auto"/>
        </w:rPr>
      </w:pPr>
    </w:p>
    <w:p>
      <w:pPr>
        <w:ind w:left="940" w:right="840" w:hanging="308"/>
        <w:spacing w:after="0" w:line="288" w:lineRule="auto"/>
        <w:tabs>
          <w:tab w:leader="none" w:pos="9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Company calls any or all of the 2024 Notes for redemption, at any time prior to the close of business on the scheduled trading day immediately preceding the redemption date; or</w:t>
      </w:r>
    </w:p>
    <w:p>
      <w:pPr>
        <w:spacing w:after="0" w:line="105" w:lineRule="exact"/>
        <w:rPr>
          <w:rFonts w:ascii="Arial" w:cs="Arial" w:eastAsia="Arial" w:hAnsi="Arial"/>
          <w:sz w:val="17"/>
          <w:szCs w:val="17"/>
          <w:color w:val="auto"/>
        </w:rPr>
      </w:pPr>
    </w:p>
    <w:p>
      <w:pPr>
        <w:ind w:left="940" w:hanging="308"/>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set forth in the indenture governing the 2024 Notes).</w:t>
      </w:r>
    </w:p>
    <w:p>
      <w:pPr>
        <w:spacing w:after="0" w:line="170" w:lineRule="exact"/>
        <w:rPr>
          <w:sz w:val="20"/>
          <w:szCs w:val="20"/>
          <w:color w:val="auto"/>
        </w:rPr>
      </w:pPr>
    </w:p>
    <w:p>
      <w:pPr>
        <w:ind w:right="60" w:firstLine="470"/>
        <w:spacing w:after="0" w:line="278" w:lineRule="auto"/>
        <w:rPr>
          <w:sz w:val="20"/>
          <w:szCs w:val="20"/>
          <w:color w:val="auto"/>
        </w:rPr>
      </w:pPr>
      <w:r>
        <w:rPr>
          <w:rFonts w:ascii="Arial" w:cs="Arial" w:eastAsia="Arial" w:hAnsi="Arial"/>
          <w:sz w:val="16"/>
          <w:szCs w:val="16"/>
          <w:color w:val="auto"/>
        </w:rPr>
        <w:t>On or after March 15, 2024, until the close of business on the scheduled trading day immediately preceding the maturity date, holders could have converted all or any portion of their 2024 Notes, in multiples of $1,000 principal amount, at the option of the holder, regardless of the foregoing circumstances. Upon conversion, the Company would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2024 Notes) occurred prior to the maturity date, holders of the 2024 Notes had the right to require the Company to repurchase for cash all or any portion of their 2024 Notes at a repurchase price equal to 100% of the principal amount of the 2024 Notes to be repurchased, plus accrued and unpaid interest to, but excluding, the fundamental change repurchase date. In addition, if specific corporate events were to occur prior to the applicable maturity date, or if the Company elected to redeem the 2024 Notes, the Company could have increased the conversion rate for a holder who elected to convert their notes in connection with such a corporate event or redemption in certain circumstances.</w:t>
      </w:r>
    </w:p>
    <w:p>
      <w:pPr>
        <w:spacing w:after="0" w:line="121"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On or after June 20, 2021, the Company had the option to redeem for cash all or any portion of the 2024 Notes,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provided a notice of redemption at a redemption price equal to 100% of the principal amount of the 2024 Notes to be redeemed, plus accrued and unpaid interest to, but excluding, the redemption date.</w:t>
      </w:r>
    </w:p>
    <w:p>
      <w:pPr>
        <w:spacing w:after="0" w:line="127" w:lineRule="exact"/>
        <w:rPr>
          <w:sz w:val="20"/>
          <w:szCs w:val="20"/>
          <w:color w:val="auto"/>
        </w:rPr>
      </w:pPr>
    </w:p>
    <w:p>
      <w:pPr>
        <w:ind w:right="40" w:firstLine="470"/>
        <w:spacing w:after="0" w:line="280" w:lineRule="auto"/>
        <w:rPr>
          <w:sz w:val="20"/>
          <w:szCs w:val="20"/>
          <w:color w:val="auto"/>
        </w:rPr>
      </w:pPr>
      <w:r>
        <w:rPr>
          <w:rFonts w:ascii="Arial" w:cs="Arial" w:eastAsia="Arial" w:hAnsi="Arial"/>
          <w:sz w:val="16"/>
          <w:szCs w:val="16"/>
          <w:color w:val="auto"/>
        </w:rPr>
        <w:t>On October 1, 2021, the Company issued a notice of redemption (the “Redemption Notice”) for the aggregate principal amount outstanding of its 2024 Notes. The Company satisfied its conversion obligations with respect to conversions occurring after the date of the Redemption Notice and prior to December 3, 2021 (the “Redemption Date”) by delivering shares of Class A common stock, plus cash in lieu of any resulting fractional shares (physical settlement). Pursuant to the Redemption Notice, on the Redemption Date, the Company redeemed the outstanding principal of the 2024 Notes that were not converted prior to such date at a redemption price in cash equal to 100% of the principal amount of the 2024 Notes, plus accrued and unpaid interest. Approximately $1.9 million aggregate principal amount outstanding as of October 31, 2021 were converted to 27,377 shares of the Company’s Class A common stock with the remaining balance settled in cash. The extinguishment of the 2024 Notes on December 3, 2021 was immaterial to the Company’s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Terms of the 2026 Notes</w:t>
      </w:r>
    </w:p>
    <w:p>
      <w:pPr>
        <w:spacing w:after="0" w:line="170"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For the 2026 Notes, the initial conversion rate is 4.7349 shares of the Company’s Class A common stock per $1,000 principal amount of the 2024 Notes, which is equal to an initial conversion price of approximately $211.20 per share of Class A common stock, subject to adjustment upon the occurrence of specified events.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2026 Notes will be convertible at the option of the holders at any time prior to the close of business on the business day immediately preceding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October 15, 2025, only under the following circumstances:</w:t>
      </w:r>
    </w:p>
    <w:p>
      <w:pPr>
        <w:spacing w:after="0" w:line="158" w:lineRule="exact"/>
        <w:rPr>
          <w:sz w:val="20"/>
          <w:szCs w:val="20"/>
          <w:color w:val="auto"/>
        </w:rPr>
      </w:pPr>
    </w:p>
    <w:p>
      <w:pPr>
        <w:ind w:left="940" w:right="20" w:hanging="308"/>
        <w:spacing w:after="0" w:line="267" w:lineRule="auto"/>
        <w:tabs>
          <w:tab w:leader="none" w:pos="9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April 30, 2020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2026 Notes on each applicable trading day;</w:t>
      </w:r>
    </w:p>
    <w:p>
      <w:pPr>
        <w:spacing w:after="0" w:line="123" w:lineRule="exact"/>
        <w:rPr>
          <w:rFonts w:ascii="Arial" w:cs="Arial" w:eastAsia="Arial" w:hAnsi="Arial"/>
          <w:sz w:val="17"/>
          <w:szCs w:val="17"/>
          <w:color w:val="auto"/>
        </w:rPr>
      </w:pPr>
    </w:p>
    <w:p>
      <w:pPr>
        <w:ind w:left="940" w:right="80" w:hanging="308"/>
        <w:spacing w:after="0" w:line="288" w:lineRule="auto"/>
        <w:tabs>
          <w:tab w:leader="none" w:pos="9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during the five-business day period after any five consecutive trading day period (the “measurement period”) in which the trading price per $1,000 principal amount of the 2026 Notes for each trading day of the measurement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left="940"/>
        <w:spacing w:after="0" w:line="288" w:lineRule="auto"/>
        <w:rPr>
          <w:sz w:val="20"/>
          <w:szCs w:val="20"/>
          <w:color w:val="auto"/>
        </w:rPr>
      </w:pPr>
      <w:r>
        <w:rPr>
          <w:rFonts w:ascii="Arial" w:cs="Arial" w:eastAsia="Arial" w:hAnsi="Arial"/>
          <w:sz w:val="17"/>
          <w:szCs w:val="17"/>
          <w:color w:val="auto"/>
        </w:rPr>
        <w:t>period was less than 98% of the product of the last reported sale price of the Company’s Class A common stock and the conversion rate of the 2026 Notes on each such trading day;</w:t>
      </w:r>
    </w:p>
    <w:p>
      <w:pPr>
        <w:spacing w:after="0" w:line="106" w:lineRule="exact"/>
        <w:rPr>
          <w:sz w:val="20"/>
          <w:szCs w:val="20"/>
          <w:color w:val="auto"/>
        </w:rPr>
      </w:pPr>
    </w:p>
    <w:p>
      <w:pPr>
        <w:ind w:left="940" w:right="840" w:hanging="308"/>
        <w:spacing w:after="0" w:line="288" w:lineRule="auto"/>
        <w:tabs>
          <w:tab w:leader="none" w:pos="93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Company calls any or all of the 2026 Notes for redemption, at any time prior to the close of business on the scheduled trading day immediately preceding the redemption date; or</w:t>
      </w:r>
    </w:p>
    <w:p>
      <w:pPr>
        <w:spacing w:after="0" w:line="105" w:lineRule="exact"/>
        <w:rPr>
          <w:rFonts w:ascii="Arial" w:cs="Arial" w:eastAsia="Arial" w:hAnsi="Arial"/>
          <w:sz w:val="17"/>
          <w:szCs w:val="17"/>
          <w:color w:val="auto"/>
        </w:rPr>
      </w:pPr>
    </w:p>
    <w:p>
      <w:pPr>
        <w:ind w:left="940" w:hanging="308"/>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set forth in the indenture governing the 2026 Notes).</w:t>
      </w:r>
    </w:p>
    <w:p>
      <w:pPr>
        <w:spacing w:after="0" w:line="170"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On or after October 15, 2025, until the close of business on the scheduled trading day immediately preceding the maturity date, holders may convert all or any portion of their 2026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2026 Notes) occurs prior to the maturity date, holders of the 2026 Notes will have the right to require the Company to repurchase for cash all or any portion of their 2026 Notes at a repurchase price equal to 100% of the principal amount of the 2026 Notes to be repurchased, plus accrued and unpaid interest to, but excluding, the fundamental change repurchase date. In addition, if specific corporate events occur prior to the applicable maturity date, or if the Company elects to redeem the 2026 Notes, the Company will increase the conversion rate for a holder who elects to convert their notes in connection with such a corporate event or redemption in certain circumstances. It is the Company’s current intent to settle the principal amount of the 2026 Notes in cash.</w:t>
      </w:r>
    </w:p>
    <w:p>
      <w:pPr>
        <w:spacing w:after="0" w:line="121" w:lineRule="exact"/>
        <w:rPr>
          <w:sz w:val="20"/>
          <w:szCs w:val="20"/>
          <w:color w:val="auto"/>
        </w:rPr>
      </w:pPr>
    </w:p>
    <w:p>
      <w:pPr>
        <w:ind w:right="120" w:firstLine="470"/>
        <w:spacing w:after="0" w:line="261" w:lineRule="auto"/>
        <w:rPr>
          <w:sz w:val="20"/>
          <w:szCs w:val="20"/>
          <w:color w:val="auto"/>
        </w:rPr>
      </w:pPr>
      <w:r>
        <w:rPr>
          <w:rFonts w:ascii="Arial" w:cs="Arial" w:eastAsia="Arial" w:hAnsi="Arial"/>
          <w:sz w:val="17"/>
          <w:szCs w:val="17"/>
          <w:color w:val="auto"/>
        </w:rPr>
        <w:t>During the three months ended January 31, 2022, the conditional conversion feature of the 2026 Notes was triggered as the last reported sale price of the Company's Class A common stock was more than or equal to 130% of the conversion price for at least 20 trading days in the period of 30 consecutive trading days ending on January 29, 2021 (the last trading day of the fiscal quarter) and therefore the 2026 Notes are currently convertible, in whole or in part, at the option of the holders from February 1, 2022 through April 30, 2022. Whether the 2026 Notes will be convertible following such period will depend on the continued satisfaction of this condition or another conversion condition in the future. Since the Company has the election of repaying the 2026 Notes in cash, shares of the Company’s Class A common stock, or a combination of both, the Company continued to classify the 2026 Notes as long-term debt on the Company’s consolidated balance sheet as of January 31, 2022.</w:t>
      </w:r>
    </w:p>
    <w:p>
      <w:pPr>
        <w:spacing w:after="0" w:line="132" w:lineRule="exact"/>
        <w:rPr>
          <w:sz w:val="20"/>
          <w:szCs w:val="20"/>
          <w:color w:val="auto"/>
        </w:rPr>
      </w:pPr>
    </w:p>
    <w:p>
      <w:pPr>
        <w:ind w:right="100" w:firstLine="470"/>
        <w:spacing w:after="0" w:line="284" w:lineRule="auto"/>
        <w:rPr>
          <w:sz w:val="20"/>
          <w:szCs w:val="20"/>
          <w:color w:val="auto"/>
        </w:rPr>
      </w:pPr>
      <w:r>
        <w:rPr>
          <w:rFonts w:ascii="Arial" w:cs="Arial" w:eastAsia="Arial" w:hAnsi="Arial"/>
          <w:sz w:val="16"/>
          <w:szCs w:val="16"/>
          <w:color w:val="auto"/>
        </w:rPr>
        <w:t>The Company may not redeem the 2026 Notes prior to January 20, 2023. On or after January 20, 2023, the Company may redeem for cash all or any portion of the 2026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2026 Notes to be redeemed, plus accrued and unpaid interest to, but excluding, the redemption date.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Accounting for the 2024 Notes and 2026 Notes</w:t>
      </w:r>
    </w:p>
    <w:p>
      <w:pPr>
        <w:spacing w:after="0" w:line="170" w:lineRule="exact"/>
        <w:rPr>
          <w:sz w:val="20"/>
          <w:szCs w:val="20"/>
          <w:color w:val="auto"/>
        </w:rPr>
      </w:pPr>
    </w:p>
    <w:p>
      <w:pPr>
        <w:ind w:right="40" w:firstLine="470"/>
        <w:spacing w:after="0" w:line="275" w:lineRule="auto"/>
        <w:rPr>
          <w:sz w:val="20"/>
          <w:szCs w:val="20"/>
          <w:color w:val="auto"/>
        </w:rPr>
      </w:pPr>
      <w:r>
        <w:rPr>
          <w:rFonts w:ascii="Arial" w:cs="Arial" w:eastAsia="Arial" w:hAnsi="Arial"/>
          <w:sz w:val="16"/>
          <w:szCs w:val="16"/>
          <w:color w:val="auto"/>
        </w:rPr>
        <w:t>Upon issuance, the 2024 Notes and 2026 Notes were separated into liability and equity components for accounting purposes. The carrying amounts of the liability component were initially calculated by measuring the fair value of similar liabilities that do not have associated convertible features. The carrying amounts of the equity component representing the conversion option were determined by deducting the fair value of the liability component from the par value of the respective convertible senior notes. This difference represents the debt discount that is amortized to interest expense over the respective terms of the 2024 Notes and 2026 Notes using the effective interest rate method. The carrying amounts of the equity component representing the conversion option</w:t>
      </w:r>
    </w:p>
    <w:p>
      <w:pPr>
        <w:spacing w:after="0" w:line="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was determined to be $84.2 million and $294.9 million for the 2024 Notes and 2026 Notes, respectively. The equity component was recorded in additional paid-in capital and is not remeasured as long as it continues to meet the conditions for equity classification.</w:t>
      </w:r>
    </w:p>
    <w:p>
      <w:pPr>
        <w:spacing w:after="0" w:line="118"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In accounting for the debt issuance costs of $8.8 million and $20.3 million related to the 2024 Notes and 2026 Notes, respectively, the Company allocated each of the total amounts incurred to the liability and equity components of the 2024 Notes and 2026 Notes based on their relative values. Issuance costs attributable to the liability component of the 2024 Notes were $6.3 million upon issuance and were amortized, along with the debt discount, to interest expense over the contractual term of the 2024 Notes at an effective interest rate of 7.03%. Issuance costs attributable to the liability component of the 2026 Notes were $15.1 million upon issuance and will be amortized, along with the debt discount, to interest expense over the contractual term of the 2026 Notes at an effective interest rate of 5.60%. Issuance costs attributable to the equity component were $2.5 million and $5.2 million for the 2024 Notes and 2026 Notes, respectively, and are netted against the equity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component representing the conversion option in additional paid-in capital. The net carrying amount of the equity component of the 2024 Notes recorded in additional paid-in capital was $81.7 million. For the 2026 Notes, the net carrying amount of the equity component was $289.0 million, which, in addition to the allocated issuance costs, also included a net deferred tax impact of $0.7 million. There was no deferred tax impact related to the 2024 Notes due to the full valuation allowance at the time of issuance for the 2024 Notes.</w:t>
      </w:r>
    </w:p>
    <w:p>
      <w:pPr>
        <w:spacing w:after="0" w:line="123" w:lineRule="exact"/>
        <w:rPr>
          <w:sz w:val="20"/>
          <w:szCs w:val="20"/>
          <w:color w:val="auto"/>
        </w:rPr>
      </w:pPr>
    </w:p>
    <w:p>
      <w:pPr>
        <w:ind w:right="80" w:firstLine="470"/>
        <w:spacing w:after="0" w:line="280" w:lineRule="auto"/>
        <w:rPr>
          <w:sz w:val="20"/>
          <w:szCs w:val="20"/>
          <w:color w:val="auto"/>
        </w:rPr>
      </w:pPr>
      <w:r>
        <w:rPr>
          <w:rFonts w:ascii="Arial" w:cs="Arial" w:eastAsia="Arial" w:hAnsi="Arial"/>
          <w:sz w:val="16"/>
          <w:szCs w:val="16"/>
          <w:color w:val="auto"/>
        </w:rPr>
        <w:t xml:space="preserve">Following the adoption of ASU 2020-06 as of February 1, 2021,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 Accordingly, the Company recorded a decrease to accumulated deficit of $52.6 million, a decrease to additional paid-in capital of $309.4 million, a decrease to temporary equity of $4.7 million and an increase to convertible senior notes, net, of $261.5 million. There was an immaterial benefit from the reversal of the deferred tax liability associated with the convertible senior notes upon the adoption of ASU 2020-06. Refer to </w:t>
      </w:r>
      <w:r>
        <w:rPr>
          <w:rFonts w:ascii="Arial" w:cs="Arial" w:eastAsia="Arial" w:hAnsi="Arial"/>
          <w:sz w:val="16"/>
          <w:szCs w:val="16"/>
          <w:color w:val="2C2C2C"/>
        </w:rPr>
        <w:t>Note 2,</w:t>
      </w:r>
      <w:r>
        <w:rPr>
          <w:rFonts w:ascii="Arial" w:cs="Arial" w:eastAsia="Arial" w:hAnsi="Arial"/>
          <w:sz w:val="16"/>
          <w:szCs w:val="16"/>
          <w:color w:val="auto"/>
        </w:rPr>
        <w:t xml:space="preserve">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more information on the adoption of ASU 2020-06.</w:t>
      </w:r>
    </w:p>
    <w:p>
      <w:pPr>
        <w:spacing w:after="0" w:line="118"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During the fiscal year ended January 31, 2022, certain holders elected to redeem $90.0 million of aggregate principal amount of the 2024 Notes and the 2026 Notes. The Company elected to use $27.6 million of cash to settle a portion of the principal upon redemption, with the remainder settled through the issuance of 1,243,706 shares of Class A common stock. The difference between the settlement consideration and the liability component of the redeemed 2024 Notes and 2026 Notes was recorded to additional paid-in capital on the Company’s consolidated balance sheet. Pursuant to the Company’s adoption of ASU 2020-06, there was no gain nor loss recognized upon any conversions of either of the 2024 Notes and 2026 Notes. The Company may continue to elect to repay the 2026 Notes in cash, shares of the Company’s Class A common stock or a combination of both cash and shares with respect to future conversions of the 2026 Notes.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net carrying amounts of the liability component of the 2024 Notes and 2026 Notes were as follows for the periods presented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January 31, 2022</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1340" w:type="dxa"/>
            <w:vAlign w:val="bottom"/>
            <w:tcBorders>
              <w:bottom w:val="single" w:sz="8" w:color="auto"/>
            </w:tcBorders>
          </w:tcPr>
          <w:p>
            <w:pPr>
              <w:spacing w:after="0"/>
              <w:rPr>
                <w:sz w:val="16"/>
                <w:szCs w:val="16"/>
                <w:color w:val="auto"/>
              </w:rPr>
            </w:pPr>
          </w:p>
        </w:tc>
      </w:tr>
      <w:tr>
        <w:trPr>
          <w:trHeight w:val="181"/>
        </w:trPr>
        <w:tc>
          <w:tcPr>
            <w:tcW w:w="34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4"/>
                <w:szCs w:val="14"/>
                <w:b w:val="1"/>
                <w:bCs w:val="1"/>
                <w:color w:val="auto"/>
              </w:rPr>
              <w:t xml:space="preserve">2024 Notes </w:t>
            </w:r>
            <w:r>
              <w:rPr>
                <w:rFonts w:ascii="Arial" w:cs="Arial" w:eastAsia="Arial" w:hAnsi="Arial"/>
                <w:sz w:val="18"/>
                <w:szCs w:val="18"/>
                <w:b w:val="1"/>
                <w:bCs w:val="1"/>
                <w:color w:val="auto"/>
                <w:vertAlign w:val="superscript"/>
              </w:rPr>
              <w:t>(1)</w:t>
            </w: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b w:val="1"/>
                <w:bCs w:val="1"/>
                <w:color w:val="auto"/>
                <w:w w:val="94"/>
              </w:rPr>
              <w:t>2026 Notes</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2024 Notes</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b w:val="1"/>
                <w:bCs w:val="1"/>
                <w:color w:val="auto"/>
                <w:w w:val="94"/>
              </w:rPr>
              <w:t>2026 Notes</w:t>
            </w:r>
          </w:p>
        </w:tc>
      </w:tr>
      <w:tr>
        <w:trPr>
          <w:trHeight w:val="215"/>
        </w:trPr>
        <w:tc>
          <w:tcPr>
            <w:tcW w:w="3420" w:type="dxa"/>
            <w:vAlign w:val="bottom"/>
          </w:tcPr>
          <w:p>
            <w:pPr>
              <w:ind w:left="220"/>
              <w:spacing w:after="0"/>
              <w:rPr>
                <w:sz w:val="20"/>
                <w:szCs w:val="20"/>
                <w:color w:val="auto"/>
              </w:rPr>
            </w:pPr>
            <w:r>
              <w:rPr>
                <w:rFonts w:ascii="Arial" w:cs="Arial" w:eastAsia="Arial" w:hAnsi="Arial"/>
                <w:sz w:val="17"/>
                <w:szCs w:val="17"/>
                <w:color w:val="auto"/>
              </w:rPr>
              <w:t>Principal</w:t>
            </w:r>
          </w:p>
        </w:tc>
        <w:tc>
          <w:tcPr>
            <w:tcW w:w="1380" w:type="dxa"/>
            <w:vAlign w:val="bottom"/>
          </w:tcPr>
          <w:p>
            <w:pPr>
              <w:jc w:val="right"/>
              <w:ind w:right="1199"/>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1,149,988</w:t>
            </w:r>
          </w:p>
        </w:tc>
        <w:tc>
          <w:tcPr>
            <w:tcW w:w="100" w:type="dxa"/>
            <w:vAlign w:val="bottom"/>
          </w:tcPr>
          <w:p>
            <w:pPr>
              <w:spacing w:after="0"/>
              <w:rPr>
                <w:sz w:val="18"/>
                <w:szCs w:val="18"/>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90,000</w:t>
            </w:r>
          </w:p>
        </w:tc>
        <w:tc>
          <w:tcPr>
            <w:tcW w:w="80" w:type="dxa"/>
            <w:vAlign w:val="bottom"/>
          </w:tcPr>
          <w:p>
            <w:pPr>
              <w:spacing w:after="0"/>
              <w:rPr>
                <w:sz w:val="18"/>
                <w:szCs w:val="18"/>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1,150,000</w:t>
            </w:r>
          </w:p>
        </w:tc>
      </w:tr>
      <w:tr>
        <w:trPr>
          <w:trHeight w:val="222"/>
        </w:trPr>
        <w:tc>
          <w:tcPr>
            <w:tcW w:w="342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Unamortized debt discount </w:t>
            </w:r>
            <w:r>
              <w:rPr>
                <w:rFonts w:ascii="Arial" w:cs="Arial" w:eastAsia="Arial" w:hAnsi="Arial"/>
                <w:sz w:val="22"/>
                <w:szCs w:val="22"/>
                <w:color w:val="auto"/>
                <w:vertAlign w:val="superscript"/>
              </w:rPr>
              <w:t>(2)</w:t>
            </w:r>
          </w:p>
        </w:tc>
        <w:tc>
          <w:tcPr>
            <w:tcW w:w="1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(249,907)</w:t>
            </w:r>
          </w:p>
        </w:tc>
      </w:tr>
      <w:tr>
        <w:trPr>
          <w:trHeight w:val="222"/>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Unamortized debt issuance costs</w:t>
            </w:r>
          </w:p>
        </w:tc>
        <w:tc>
          <w:tcPr>
            <w:tcW w:w="1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(13,174)</w:t>
            </w:r>
          </w:p>
        </w:tc>
      </w:tr>
      <w:tr>
        <w:trPr>
          <w:trHeight w:val="235"/>
        </w:trPr>
        <w:tc>
          <w:tcPr>
            <w:tcW w:w="3420" w:type="dxa"/>
            <w:vAlign w:val="bottom"/>
            <w:shd w:val="clear" w:color="auto" w:fill="CCEEFF"/>
          </w:tcPr>
          <w:p>
            <w:pPr>
              <w:ind w:left="420"/>
              <w:spacing w:after="0" w:line="216" w:lineRule="exact"/>
              <w:rPr>
                <w:sz w:val="20"/>
                <w:szCs w:val="20"/>
                <w:color w:val="auto"/>
              </w:rPr>
            </w:pPr>
            <w:r>
              <w:rPr>
                <w:rFonts w:ascii="Arial" w:cs="Arial" w:eastAsia="Arial" w:hAnsi="Arial"/>
                <w:sz w:val="17"/>
                <w:szCs w:val="17"/>
                <w:color w:val="auto"/>
              </w:rPr>
              <w:t xml:space="preserve">Net carrying amount </w:t>
            </w:r>
            <w:r>
              <w:rPr>
                <w:rFonts w:ascii="Arial" w:cs="Arial" w:eastAsia="Arial" w:hAnsi="Arial"/>
                <w:sz w:val="22"/>
                <w:szCs w:val="22"/>
                <w:color w:val="auto"/>
                <w:vertAlign w:val="superscript"/>
              </w:rPr>
              <w:t>(2)</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1,136,521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73,276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886,919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640" w:hanging="165"/>
        <w:spacing w:after="0"/>
        <w:tabs>
          <w:tab w:leader="none" w:pos="640" w:val="left"/>
        </w:tabs>
        <w:numPr>
          <w:ilvl w:val="0"/>
          <w:numId w:val="42"/>
        </w:numPr>
        <w:rPr>
          <w:rFonts w:ascii="Arial" w:cs="Arial" w:eastAsia="Arial" w:hAnsi="Arial"/>
          <w:sz w:val="20"/>
          <w:szCs w:val="20"/>
          <w:color w:val="auto"/>
          <w:vertAlign w:val="superscript"/>
        </w:rPr>
      </w:pPr>
      <w:r>
        <w:rPr>
          <w:rFonts w:ascii="Arial" w:cs="Arial" w:eastAsia="Arial" w:hAnsi="Arial"/>
          <w:sz w:val="16"/>
          <w:szCs w:val="16"/>
          <w:color w:val="auto"/>
        </w:rPr>
        <w:t>The 2024 Notes were fully converted as of December 3, 2021, following the Redemption Notice.</w:t>
      </w:r>
    </w:p>
    <w:p>
      <w:pPr>
        <w:spacing w:after="0" w:line="54" w:lineRule="exact"/>
        <w:rPr>
          <w:rFonts w:ascii="Arial" w:cs="Arial" w:eastAsia="Arial" w:hAnsi="Arial"/>
          <w:sz w:val="20"/>
          <w:szCs w:val="20"/>
          <w:color w:val="auto"/>
          <w:vertAlign w:val="superscript"/>
        </w:rPr>
      </w:pPr>
    </w:p>
    <w:p>
      <w:pPr>
        <w:ind w:left="480" w:right="400" w:hanging="5"/>
        <w:spacing w:after="0" w:line="219" w:lineRule="auto"/>
        <w:tabs>
          <w:tab w:leader="none" w:pos="655" w:val="left"/>
        </w:tabs>
        <w:numPr>
          <w:ilvl w:val="0"/>
          <w:numId w:val="42"/>
        </w:numPr>
        <w:rPr>
          <w:rFonts w:ascii="Arial" w:cs="Arial" w:eastAsia="Arial" w:hAnsi="Arial"/>
          <w:sz w:val="22"/>
          <w:szCs w:val="22"/>
          <w:color w:val="auto"/>
          <w:vertAlign w:val="superscript"/>
        </w:rPr>
      </w:pPr>
      <w:r>
        <w:rPr>
          <w:rFonts w:ascii="Arial" w:cs="Arial" w:eastAsia="Arial" w:hAnsi="Arial"/>
          <w:sz w:val="15"/>
          <w:szCs w:val="15"/>
          <w:color w:val="auto"/>
        </w:rPr>
        <w:t xml:space="preserve">The net carrying amount was increased on February 1, 2021, as a result of the adoption of ASU 2020-06. Refer also to Note 2. </w:t>
      </w:r>
      <w:r>
        <w:rPr>
          <w:rFonts w:ascii="Arial" w:cs="Arial" w:eastAsia="Arial" w:hAnsi="Arial"/>
          <w:sz w:val="15"/>
          <w:szCs w:val="15"/>
          <w:i w:val="1"/>
          <w:iCs w:val="1"/>
          <w:color w:val="auto"/>
        </w:rPr>
        <w:t>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for further information.</w:t>
      </w:r>
    </w:p>
    <w:p>
      <w:pPr>
        <w:spacing w:after="0" w:line="139" w:lineRule="exact"/>
        <w:rPr>
          <w:sz w:val="20"/>
          <w:szCs w:val="20"/>
          <w:color w:val="auto"/>
        </w:rPr>
      </w:pPr>
    </w:p>
    <w:p>
      <w:pPr>
        <w:jc w:val="both"/>
        <w:ind w:right="660" w:firstLine="470"/>
        <w:spacing w:after="0" w:line="272" w:lineRule="auto"/>
        <w:rPr>
          <w:sz w:val="20"/>
          <w:szCs w:val="20"/>
          <w:color w:val="auto"/>
        </w:rPr>
      </w:pPr>
      <w:r>
        <w:rPr>
          <w:rFonts w:ascii="Arial" w:cs="Arial" w:eastAsia="Arial" w:hAnsi="Arial"/>
          <w:sz w:val="17"/>
          <w:szCs w:val="17"/>
          <w:color w:val="auto"/>
        </w:rPr>
        <w:t>As of January 31, 2022, the total estimated fair value (Level 2) of the outstanding 2026 Notes was approximately $2.2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interest expense related to the 2024 Notes and 2026 Notes for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January 31, 2022</w:t>
            </w: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4"/>
                <w:szCs w:val="14"/>
                <w:b w:val="1"/>
                <w:bCs w:val="1"/>
                <w:color w:val="auto"/>
              </w:rPr>
              <w:t>January 31, 2021</w:t>
            </w:r>
          </w:p>
        </w:tc>
        <w:tc>
          <w:tcPr>
            <w:tcW w:w="200" w:type="dxa"/>
            <w:vAlign w:val="bottom"/>
          </w:tcPr>
          <w:p>
            <w:pPr>
              <w:spacing w:after="0"/>
              <w:rPr>
                <w:sz w:val="16"/>
                <w:szCs w:val="16"/>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January 31, 2020</w:t>
            </w:r>
          </w:p>
        </w:tc>
      </w:tr>
      <w:tr>
        <w:trPr>
          <w:trHeight w:val="194"/>
        </w:trPr>
        <w:tc>
          <w:tcPr>
            <w:tcW w:w="3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2024 Notes</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4"/>
                <w:szCs w:val="14"/>
                <w:b w:val="1"/>
                <w:bCs w:val="1"/>
                <w:color w:val="auto"/>
                <w:w w:val="97"/>
              </w:rPr>
              <w:t>2026 Notes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2024 Notes</w:t>
            </w: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7"/>
              </w:rPr>
              <w:t>2026 Notes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2024 Notes</w:t>
            </w: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7"/>
              </w:rPr>
              <w:t>2026 Notes</w:t>
            </w:r>
          </w:p>
        </w:tc>
      </w:tr>
      <w:tr>
        <w:trPr>
          <w:trHeight w:val="241"/>
        </w:trPr>
        <w:tc>
          <w:tcPr>
            <w:tcW w:w="3380" w:type="dxa"/>
            <w:vAlign w:val="bottom"/>
          </w:tcPr>
          <w:p>
            <w:pPr>
              <w:ind w:left="300"/>
              <w:spacing w:after="0"/>
              <w:rPr>
                <w:sz w:val="20"/>
                <w:szCs w:val="20"/>
                <w:color w:val="auto"/>
              </w:rPr>
            </w:pPr>
            <w:r>
              <w:rPr>
                <w:rFonts w:ascii="Arial" w:cs="Arial" w:eastAsia="Arial" w:hAnsi="Arial"/>
                <w:sz w:val="17"/>
                <w:szCs w:val="17"/>
                <w:color w:val="auto"/>
              </w:rPr>
              <w:t>Contractual interest expense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62"/>
        </w:trPr>
        <w:tc>
          <w:tcPr>
            <w:tcW w:w="33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 xml:space="preserve">Amortization of debt discount </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w:t>
            </w:r>
          </w:p>
        </w:tc>
      </w:tr>
      <w:tr>
        <w:trPr>
          <w:trHeight w:val="274"/>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 xml:space="preserve">Amortization of issuance costs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r>
      <w:tr>
        <w:trPr>
          <w:trHeight w:val="279"/>
        </w:trPr>
        <w:tc>
          <w:tcPr>
            <w:tcW w:w="3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60" w:right="220" w:hanging="7"/>
        <w:spacing w:after="0" w:line="223" w:lineRule="auto"/>
        <w:tabs>
          <w:tab w:leader="none" w:pos="735" w:val="left"/>
        </w:tabs>
        <w:numPr>
          <w:ilvl w:val="0"/>
          <w:numId w:val="43"/>
        </w:numPr>
        <w:rPr>
          <w:rFonts w:ascii="Arial" w:cs="Arial" w:eastAsia="Arial" w:hAnsi="Arial"/>
          <w:sz w:val="22"/>
          <w:szCs w:val="22"/>
          <w:color w:val="auto"/>
          <w:vertAlign w:val="superscript"/>
        </w:rPr>
      </w:pPr>
      <w:r>
        <w:rPr>
          <w:rFonts w:ascii="Arial" w:cs="Arial" w:eastAsia="Arial" w:hAnsi="Arial"/>
          <w:sz w:val="15"/>
          <w:szCs w:val="15"/>
          <w:color w:val="auto"/>
        </w:rPr>
        <w:t>The decrease in total interest expense for the year ended January 31, 2022, as compared to the respective prior year was due to the derecognition of the unamortized debt discount, partially offset by the increase in the amortization of issuance costs previously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ind w:left="560" w:right="120"/>
        <w:spacing w:after="0" w:line="259" w:lineRule="auto"/>
        <w:rPr>
          <w:sz w:val="20"/>
          <w:szCs w:val="20"/>
          <w:color w:val="auto"/>
        </w:rPr>
      </w:pPr>
      <w:r>
        <w:rPr>
          <w:rFonts w:ascii="Arial" w:cs="Arial" w:eastAsia="Arial" w:hAnsi="Arial"/>
          <w:sz w:val="16"/>
          <w:szCs w:val="16"/>
          <w:color w:val="auto"/>
        </w:rPr>
        <w:t xml:space="preserve">recognized in equity. These changes were the result of the Company’s adoption of ASU 2020-06, as of February 1, 2021, as described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Capped Calls</w:t>
      </w:r>
    </w:p>
    <w:p>
      <w:pPr>
        <w:spacing w:after="0" w:line="170"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In connection with the pricing of the 2024 Notes and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123" w:lineRule="exact"/>
        <w:rPr>
          <w:sz w:val="20"/>
          <w:szCs w:val="20"/>
          <w:color w:val="auto"/>
        </w:rPr>
      </w:pPr>
    </w:p>
    <w:p>
      <w:pPr>
        <w:ind w:right="380" w:firstLine="470"/>
        <w:spacing w:after="0" w:line="272" w:lineRule="auto"/>
        <w:rPr>
          <w:sz w:val="20"/>
          <w:szCs w:val="20"/>
          <w:color w:val="auto"/>
        </w:rPr>
      </w:pPr>
      <w:r>
        <w:rPr>
          <w:rFonts w:ascii="Arial" w:cs="Arial" w:eastAsia="Arial" w:hAnsi="Arial"/>
          <w:sz w:val="17"/>
          <w:szCs w:val="17"/>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w:t>
      </w:r>
    </w:p>
    <w:p>
      <w:pPr>
        <w:spacing w:after="0" w:line="11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The Capped Calls are expected to partially offset the potential dilution to the Company’s Class A common stock upon any conversion of the 2024 Notes or 2026 Notes, with such offset subject to a cap based on the cap price. The Capped Calls associated with the 2024 Notes and 2026 Notes cover, subject to anti-dilution adjustments, approximately 4.4 million shares and 5.4 million shares of the Company’s Class A common stock, respectively.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2024 Notes and 2026 Notes. As these transactions meet certain accounting criteria, the Capped Calls are recorded in stockholders' equity (deficit) and are not accounted for as derivatives. The cost of $37.1 million and $93.8 million incurred to purchase the Capped Calls associated with the 2024 Notes and 2026 Notes, respectively, was recorded as a reduction to additional paid-in capital and will not be remeasured. The Company did not unwind any of its Capped Calls through January 31,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76"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1 to 12 years and may include renewal options, which the company deems reasonably certain to be renewed. The exercise of the lease renewal option is at the company's discretion.</w:t>
      </w:r>
    </w:p>
    <w:p>
      <w:pPr>
        <w:spacing w:after="0" w:line="123" w:lineRule="exact"/>
        <w:rPr>
          <w:sz w:val="20"/>
          <w:szCs w:val="20"/>
          <w:color w:val="auto"/>
        </w:rPr>
      </w:pPr>
    </w:p>
    <w:p>
      <w:pPr>
        <w:jc w:val="both"/>
        <w:ind w:right="320" w:firstLine="470"/>
        <w:spacing w:after="0" w:line="272" w:lineRule="auto"/>
        <w:rPr>
          <w:sz w:val="20"/>
          <w:szCs w:val="20"/>
          <w:color w:val="auto"/>
        </w:rPr>
      </w:pPr>
      <w:r>
        <w:rPr>
          <w:rFonts w:ascii="Arial" w:cs="Arial" w:eastAsia="Arial" w:hAnsi="Arial"/>
          <w:sz w:val="17"/>
          <w:szCs w:val="17"/>
          <w:color w:val="auto"/>
        </w:rPr>
        <w:t>During the year ended January 31, 2022, the Company entered into a new agreement to lease approximately 16,000 square feet of office space in Palo Alto for a term of eight years with one option to extend for an additional five years. The total estimated aggregate base rent payments are $14.2 million with payments beginning four months subsequent to the commencement date, which was April 13, 2021.</w:t>
      </w:r>
    </w:p>
    <w:p>
      <w:pPr>
        <w:spacing w:after="0" w:line="119"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 xml:space="preserve">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effective February 1, 2019 on a modified retrospective basis for leases that existed as of February 1, 2019 using the additional transition method described in ASU No. 2018-11, </w:t>
      </w:r>
      <w:r>
        <w:rPr>
          <w:rFonts w:ascii="Arial" w:cs="Arial" w:eastAsia="Arial" w:hAnsi="Arial"/>
          <w:sz w:val="17"/>
          <w:szCs w:val="17"/>
          <w:i w:val="1"/>
          <w:iCs w:val="1"/>
          <w:color w:val="auto"/>
        </w:rPr>
        <w:t>Leases – Targeted Improvements</w:t>
      </w:r>
      <w:r>
        <w:rPr>
          <w:rFonts w:ascii="Arial" w:cs="Arial" w:eastAsia="Arial" w:hAnsi="Arial"/>
          <w:sz w:val="17"/>
          <w:szCs w:val="17"/>
          <w:color w:val="auto"/>
        </w:rPr>
        <w:t>. Upon the adoption of ASC 842, the Company derecognized certain build-to-suit assets and related liabilities and as a result recognized finance right-of-use assets of $43.4 million and finance lease liabilities of $64.0 million, reduced the existing deferred rent liability balance as of the adoption date of $1.9 million, and recorded $4.1 million as a decrease to the opening accumulated deficit as of February 1, 2019.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Lease Costs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Company’s lease costs included in its consolidated statement of operations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2022</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b w:val="1"/>
                <w:bCs w:val="1"/>
                <w:color w:val="auto"/>
              </w:rPr>
              <w:t>2021</w:t>
            </w:r>
          </w:p>
        </w:tc>
      </w:tr>
      <w:tr>
        <w:trPr>
          <w:trHeight w:val="20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Amortization of finance lease right-of-use assets</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3,974</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3,975</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on finance lease liabilities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w:t>
            </w:r>
          </w:p>
        </w:tc>
      </w:tr>
      <w:tr>
        <w:trPr>
          <w:trHeight w:val="222"/>
        </w:trPr>
        <w:tc>
          <w:tcPr>
            <w:tcW w:w="484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8,856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8,293</w:t>
            </w:r>
          </w:p>
        </w:tc>
      </w:tr>
      <w:tr>
        <w:trPr>
          <w:trHeight w:val="22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2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2,339</w:t>
            </w:r>
          </w:p>
        </w:tc>
      </w:tr>
      <w:tr>
        <w:trPr>
          <w:trHeight w:val="215"/>
        </w:trPr>
        <w:tc>
          <w:tcPr>
            <w:tcW w:w="484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2000" w:type="dxa"/>
            <w:vAlign w:val="bottom"/>
            <w:tcBorders>
              <w:bottom w:val="single" w:sz="8" w:color="auto"/>
            </w:tcBorders>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18,047</w:t>
            </w:r>
          </w:p>
        </w:tc>
      </w:tr>
      <w:tr>
        <w:trPr>
          <w:trHeight w:val="20"/>
        </w:trPr>
        <w:tc>
          <w:tcPr>
            <w:tcW w:w="48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Balance Sheet Components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balances of the Company’s finance and operating leases were recorded on the consolidated balance sheet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2022</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b w:val="1"/>
                <w:bCs w:val="1"/>
                <w:color w:val="auto"/>
              </w:rPr>
              <w:t>2021</w:t>
            </w:r>
          </w:p>
        </w:tc>
      </w:tr>
      <w:tr>
        <w:trPr>
          <w:trHeight w:val="20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Property and equipment, net</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31,463</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35,437</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Other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49,173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54,356</w:t>
            </w:r>
          </w:p>
        </w:tc>
      </w:tr>
      <w:tr>
        <w:trPr>
          <w:trHeight w:val="22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Operating lease right-of-use assets</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41,745</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34,587</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Operating lease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38,707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39,095</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Supplemental Information</w:t>
      </w:r>
    </w:p>
    <w:p>
      <w:pPr>
        <w:spacing w:after="0" w:line="170"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The following table presents supplemental information related to the Company’s finance and operating leases (in thousands, except weighted-average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Years Ended January 31,</w:t>
            </w:r>
          </w:p>
        </w:tc>
        <w:tc>
          <w:tcPr>
            <w:tcW w:w="1380" w:type="dxa"/>
            <w:vAlign w:val="bottom"/>
            <w:tcBorders>
              <w:bottom w:val="single" w:sz="8" w:color="auto"/>
            </w:tcBorders>
          </w:tcPr>
          <w:p>
            <w:pPr>
              <w:spacing w:after="0"/>
              <w:rPr>
                <w:sz w:val="19"/>
                <w:szCs w:val="19"/>
                <w:color w:val="auto"/>
              </w:rPr>
            </w:pPr>
          </w:p>
        </w:tc>
      </w:tr>
      <w:tr>
        <w:trPr>
          <w:trHeight w:val="215"/>
        </w:trPr>
        <w:tc>
          <w:tcPr>
            <w:tcW w:w="65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2021</w:t>
            </w: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cash flows from finance lease</w:t>
            </w: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3,173</w:t>
            </w:r>
          </w:p>
        </w:tc>
        <w:tc>
          <w:tcPr>
            <w:tcW w:w="12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3,440</w:t>
            </w: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8,846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5,895</w:t>
            </w: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Financing cash flows from finance lease</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5,572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4,633</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14,434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30,805</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Finance lease</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65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Maturities of Lease Liabilities</w:t>
      </w:r>
    </w:p>
    <w:p>
      <w:pPr>
        <w:spacing w:after="0" w:line="170"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Future minimum lease payments under non-cancelable finance and operating leases on an annual undiscounted cash flow basis as of January 31, 2022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Year Ending January 31,</w:t>
            </w: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Finance Lease</w:t>
            </w:r>
          </w:p>
        </w:tc>
        <w:tc>
          <w:tcPr>
            <w:tcW w:w="280" w:type="dxa"/>
            <w:vAlign w:val="bottom"/>
          </w:tcPr>
          <w:p>
            <w:pPr>
              <w:spacing w:after="0"/>
              <w:rPr>
                <w:sz w:val="20"/>
                <w:szCs w:val="20"/>
                <w:color w:val="auto"/>
              </w:rPr>
            </w:pPr>
          </w:p>
        </w:tc>
        <w:tc>
          <w:tcPr>
            <w:tcW w:w="1940" w:type="dxa"/>
            <w:vAlign w:val="bottom"/>
          </w:tcPr>
          <w:p>
            <w:pPr>
              <w:jc w:val="right"/>
              <w:ind w:right="373"/>
              <w:spacing w:after="0"/>
              <w:rPr>
                <w:sz w:val="20"/>
                <w:szCs w:val="20"/>
                <w:color w:val="auto"/>
              </w:rPr>
            </w:pPr>
            <w:r>
              <w:rPr>
                <w:rFonts w:ascii="Arial" w:cs="Arial" w:eastAsia="Arial" w:hAnsi="Arial"/>
                <w:sz w:val="17"/>
                <w:szCs w:val="17"/>
                <w:b w:val="1"/>
                <w:bCs w:val="1"/>
                <w:color w:val="auto"/>
              </w:rPr>
              <w:t>Operating Leases</w:t>
            </w:r>
          </w:p>
        </w:tc>
        <w:tc>
          <w:tcPr>
            <w:tcW w:w="0" w:type="dxa"/>
            <w:vAlign w:val="bottom"/>
          </w:tcPr>
          <w:p>
            <w:pPr>
              <w:spacing w:after="0"/>
              <w:rPr>
                <w:sz w:val="1"/>
                <w:szCs w:val="1"/>
                <w:color w:val="auto"/>
              </w:rPr>
            </w:pPr>
          </w:p>
        </w:tc>
      </w:tr>
      <w:tr>
        <w:trPr>
          <w:trHeight w:val="261"/>
        </w:trPr>
        <w:tc>
          <w:tcPr>
            <w:tcW w:w="6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9,857</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9,090</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Arial" w:cs="Arial" w:eastAsia="Arial" w:hAnsi="Arial"/>
                <w:sz w:val="17"/>
                <w:szCs w:val="17"/>
                <w:color w:val="auto"/>
              </w:rPr>
              <w:t>2026</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5,983</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2027</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74"/>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17,274</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minimum payments</w:t>
            </w:r>
          </w:p>
        </w:tc>
        <w:tc>
          <w:tcPr>
            <w:tcW w:w="34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54,397</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Arial" w:cs="Arial" w:eastAsia="Arial" w:hAnsi="Arial"/>
                <w:sz w:val="17"/>
                <w:szCs w:val="17"/>
                <w:color w:val="auto"/>
              </w:rPr>
              <w:t>Less imputed interest</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color w:val="auto"/>
              </w:rPr>
              <w:t>(13,065)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Arial" w:cs="Arial" w:eastAsia="Arial" w:hAnsi="Arial"/>
                <w:sz w:val="17"/>
                <w:szCs w:val="17"/>
                <w:color w:val="auto"/>
              </w:rPr>
              <w:t>(7,606)</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Present value of future minimum lease payments</w:t>
            </w:r>
          </w:p>
        </w:tc>
        <w:tc>
          <w:tcPr>
            <w:tcW w:w="34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53,684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46,791</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Arial" w:cs="Arial" w:eastAsia="Arial" w:hAnsi="Arial"/>
                <w:sz w:val="17"/>
                <w:szCs w:val="17"/>
                <w:color w:val="auto"/>
              </w:rPr>
              <w:t>Less current obligations under leases</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color w:val="auto"/>
              </w:rPr>
              <w:t>(4,511)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Non-current lease obligations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176" w:lineRule="exact"/>
        <w:rPr>
          <w:sz w:val="20"/>
          <w:szCs w:val="20"/>
          <w:color w:val="auto"/>
        </w:rPr>
      </w:pPr>
    </w:p>
    <w:p>
      <w:pPr>
        <w:ind w:right="760" w:firstLine="470"/>
        <w:spacing w:after="0" w:line="288" w:lineRule="auto"/>
        <w:rPr>
          <w:sz w:val="20"/>
          <w:szCs w:val="20"/>
          <w:color w:val="auto"/>
        </w:rPr>
      </w:pPr>
      <w:r>
        <w:rPr>
          <w:rFonts w:ascii="Arial" w:cs="Arial" w:eastAsia="Arial" w:hAnsi="Arial"/>
          <w:sz w:val="17"/>
          <w:szCs w:val="17"/>
          <w:color w:val="auto"/>
        </w:rPr>
        <w:t>The following table includes certain non-cancelable agreements primarily for subscription, marketing services and cloud infrastructure capacity commitments entered into by the Company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January 31,</w:t>
            </w:r>
          </w:p>
        </w:tc>
        <w:tc>
          <w:tcPr>
            <w:tcW w:w="240" w:type="dxa"/>
            <w:vAlign w:val="bottom"/>
          </w:tcPr>
          <w:p>
            <w:pPr>
              <w:spacing w:after="0"/>
              <w:rPr>
                <w:sz w:val="20"/>
                <w:szCs w:val="20"/>
                <w:color w:val="auto"/>
              </w:rPr>
            </w:pPr>
          </w:p>
        </w:tc>
        <w:tc>
          <w:tcPr>
            <w:tcW w:w="1840" w:type="dxa"/>
            <w:vAlign w:val="bottom"/>
          </w:tcPr>
          <w:p>
            <w:pPr>
              <w:jc w:val="right"/>
              <w:ind w:right="273"/>
              <w:spacing w:after="0"/>
              <w:rPr>
                <w:sz w:val="20"/>
                <w:szCs w:val="20"/>
                <w:color w:val="auto"/>
              </w:rPr>
            </w:pPr>
            <w:r>
              <w:rPr>
                <w:rFonts w:ascii="Arial" w:cs="Arial" w:eastAsia="Arial" w:hAnsi="Arial"/>
                <w:sz w:val="17"/>
                <w:szCs w:val="17"/>
                <w:b w:val="1"/>
                <w:bCs w:val="1"/>
                <w:color w:val="auto"/>
              </w:rPr>
              <w:t>Other Obligations</w:t>
            </w:r>
          </w:p>
        </w:tc>
      </w:tr>
      <w:tr>
        <w:trPr>
          <w:trHeight w:val="261"/>
        </w:trPr>
        <w:tc>
          <w:tcPr>
            <w:tcW w:w="90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188,039</w:t>
            </w:r>
          </w:p>
        </w:tc>
      </w:tr>
      <w:tr>
        <w:trPr>
          <w:trHeight w:val="235"/>
        </w:trPr>
        <w:tc>
          <w:tcPr>
            <w:tcW w:w="9060" w:type="dxa"/>
            <w:vAlign w:val="bottom"/>
          </w:tcPr>
          <w:p>
            <w:pPr>
              <w:ind w:left="18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192,659</w:t>
            </w:r>
          </w:p>
        </w:tc>
      </w:tr>
      <w:tr>
        <w:trPr>
          <w:trHeight w:val="26"/>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2"/>
        </w:trPr>
        <w:tc>
          <w:tcPr>
            <w:tcW w:w="9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227,233</w:t>
            </w:r>
          </w:p>
        </w:tc>
      </w:tr>
      <w:tr>
        <w:trPr>
          <w:trHeight w:val="222"/>
        </w:trPr>
        <w:tc>
          <w:tcPr>
            <w:tcW w:w="9060" w:type="dxa"/>
            <w:vAlign w:val="bottom"/>
          </w:tcPr>
          <w:p>
            <w:pPr>
              <w:ind w:left="18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235,243</w:t>
            </w:r>
          </w:p>
        </w:tc>
      </w:tr>
      <w:tr>
        <w:trPr>
          <w:trHeight w:val="222"/>
        </w:trPr>
        <w:tc>
          <w:tcPr>
            <w:tcW w:w="9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205,000</w:t>
            </w:r>
          </w:p>
        </w:tc>
      </w:tr>
      <w:tr>
        <w:trPr>
          <w:trHeight w:val="274"/>
        </w:trPr>
        <w:tc>
          <w:tcPr>
            <w:tcW w:w="9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215000</w:t>
            </w:r>
          </w:p>
        </w:tc>
      </w:tr>
      <w:tr>
        <w:trPr>
          <w:trHeight w:val="279"/>
        </w:trPr>
        <w:tc>
          <w:tcPr>
            <w:tcW w:w="9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minimum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1,263,174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Refer to Note 7, </w:t>
      </w:r>
      <w:r>
        <w:rPr>
          <w:rFonts w:ascii="Arial" w:cs="Arial" w:eastAsia="Arial" w:hAnsi="Arial"/>
          <w:sz w:val="15"/>
          <w:szCs w:val="15"/>
          <w:i w:val="1"/>
          <w:iCs w:val="1"/>
          <w:color w:val="auto"/>
        </w:rPr>
        <w:t>Leases</w:t>
      </w:r>
      <w:r>
        <w:rPr>
          <w:rFonts w:ascii="Arial" w:cs="Arial" w:eastAsia="Arial" w:hAnsi="Arial"/>
          <w:sz w:val="15"/>
          <w:szCs w:val="15"/>
          <w:color w:val="auto"/>
        </w:rPr>
        <w:t>, for further details on obligations under non-cancelable finance and operating leases, including future minimum lease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Non-cancelable Material Commitments</w:t>
      </w:r>
    </w:p>
    <w:p>
      <w:pPr>
        <w:spacing w:after="0" w:line="170" w:lineRule="exact"/>
        <w:rPr>
          <w:sz w:val="20"/>
          <w:szCs w:val="20"/>
          <w:color w:val="auto"/>
        </w:rPr>
      </w:pPr>
    </w:p>
    <w:p>
      <w:pPr>
        <w:ind w:right="400" w:firstLine="470"/>
        <w:spacing w:after="0" w:line="313" w:lineRule="auto"/>
        <w:rPr>
          <w:sz w:val="20"/>
          <w:szCs w:val="20"/>
          <w:color w:val="auto"/>
        </w:rPr>
      </w:pPr>
      <w:r>
        <w:rPr>
          <w:rFonts w:ascii="Arial" w:cs="Arial" w:eastAsia="Arial" w:hAnsi="Arial"/>
          <w:sz w:val="15"/>
          <w:szCs w:val="15"/>
          <w:color w:val="auto"/>
        </w:rPr>
        <w:t xml:space="preserve">In January 2022, the Company expanded its enterprise partnership arrangement with a cloud infrastructure provider that includes a non-cancelable commitment of $1.1 billion over the next six years, which commenced during February 2022. Other than this increase in cloud infrastructure capacity commitments and certain non-cancelable operating leases described in Note 7, </w:t>
      </w:r>
      <w:r>
        <w:rPr>
          <w:rFonts w:ascii="Arial" w:cs="Arial" w:eastAsia="Arial" w:hAnsi="Arial"/>
          <w:sz w:val="15"/>
          <w:szCs w:val="15"/>
          <w:i w:val="1"/>
          <w:iCs w:val="1"/>
          <w:color w:val="auto"/>
        </w:rPr>
        <w:t>Leases</w:t>
      </w:r>
      <w:r>
        <w:rPr>
          <w:rFonts w:ascii="Arial" w:cs="Arial" w:eastAsia="Arial" w:hAnsi="Arial"/>
          <w:sz w:val="15"/>
          <w:szCs w:val="15"/>
          <w:color w:val="auto"/>
        </w:rPr>
        <w:t>, during the year ended January 31, 2022, there have been no material changes outside the ordinary course of business to the Company’s contractual obligations and commitments from those disclosed in the 2021 Form 10-K.</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Commitments</w:t>
      </w:r>
    </w:p>
    <w:p>
      <w:pPr>
        <w:spacing w:after="0" w:line="170" w:lineRule="exact"/>
        <w:rPr>
          <w:sz w:val="20"/>
          <w:szCs w:val="20"/>
          <w:color w:val="auto"/>
        </w:rPr>
      </w:pPr>
    </w:p>
    <w:p>
      <w:pPr>
        <w:jc w:val="both"/>
        <w:ind w:right="400" w:firstLine="470"/>
        <w:spacing w:after="0" w:line="272" w:lineRule="auto"/>
        <w:rPr>
          <w:sz w:val="20"/>
          <w:szCs w:val="20"/>
          <w:color w:val="auto"/>
        </w:rPr>
      </w:pPr>
      <w:r>
        <w:rPr>
          <w:rFonts w:ascii="Arial" w:cs="Arial" w:eastAsia="Arial" w:hAnsi="Arial"/>
          <w:sz w:val="17"/>
          <w:szCs w:val="17"/>
          <w:color w:val="auto"/>
        </w:rPr>
        <w:t>The Company has entered into irrevocable, standby letters of credit, which serve as security deposits for certain of the Company’s leases and expire through October 2025. The maximum amount that can be drawn under these letters of credit is $1.4 million. As of January 31, 2022, no amounts have been drawn under the letters of credit.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Legal Matters</w:t>
      </w:r>
    </w:p>
    <w:p>
      <w:pPr>
        <w:spacing w:after="0" w:line="170" w:lineRule="exact"/>
        <w:rPr>
          <w:sz w:val="20"/>
          <w:szCs w:val="20"/>
          <w:color w:val="auto"/>
        </w:rPr>
      </w:pPr>
    </w:p>
    <w:p>
      <w:pPr>
        <w:jc w:val="both"/>
        <w:ind w:right="300" w:firstLine="470"/>
        <w:spacing w:after="0" w:line="272" w:lineRule="auto"/>
        <w:rPr>
          <w:sz w:val="20"/>
          <w:szCs w:val="20"/>
          <w:color w:val="auto"/>
        </w:rPr>
      </w:pPr>
      <w:r>
        <w:rPr>
          <w:rFonts w:ascii="Arial" w:cs="Arial" w:eastAsia="Arial" w:hAnsi="Arial"/>
          <w:sz w:val="17"/>
          <w:szCs w:val="17"/>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LLC (“Realtime”) filed a lawsuit against the Company in the United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191770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States District Court for the District of Delaware alleging that the Company is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the Company on May 18, 2021, and the Company moved to dismiss that amended complaint on June 29, 2021. On August 23, 2021, the District Court granted the Company’s motion to dismiss. On August 25, 2021, Realtime filed a notice of appeal of the Delaware District Court’s order. Realtime’s opening appeal brief was filed on December 6, 2021, and the Company’s responsive brief was filed on March 11, 2022. Realtime’s reply brief is currently due on April 1, 2022.</w:t>
      </w:r>
    </w:p>
    <w:p>
      <w:pPr>
        <w:spacing w:after="0" w:line="132"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investigates all claims, litigation and other legal matters as they arise. Although claims and litigation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20" w:lineRule="exact"/>
        <w:rPr>
          <w:sz w:val="20"/>
          <w:szCs w:val="20"/>
          <w:color w:val="auto"/>
        </w:rPr>
      </w:pPr>
    </w:p>
    <w:p>
      <w:pPr>
        <w:ind w:right="80" w:firstLine="470"/>
        <w:spacing w:after="0" w:line="324" w:lineRule="auto"/>
        <w:rPr>
          <w:sz w:val="20"/>
          <w:szCs w:val="20"/>
          <w:color w:val="auto"/>
        </w:rPr>
      </w:pPr>
      <w:r>
        <w:rPr>
          <w:rFonts w:ascii="Arial" w:cs="Arial" w:eastAsia="Arial" w:hAnsi="Arial"/>
          <w:sz w:val="15"/>
          <w:szCs w:val="15"/>
          <w:color w:val="auto"/>
        </w:rPr>
        <w:t>The Company accrues estimates for resolution of legal and other contingencies when losses are probable and estimable. Although the results of claims and litigation are inherently unpredictable, the Company believes that there was less than a reasonable possibility that the Company had incurred a material loss with respect to such loss contingencies, as of January 31, 2022 and 2021, therefore, the Company has not recorded an accrual for such contingencies.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Indemnification</w:t>
      </w:r>
    </w:p>
    <w:p>
      <w:pPr>
        <w:spacing w:after="0" w:line="170" w:lineRule="exact"/>
        <w:rPr>
          <w:sz w:val="20"/>
          <w:szCs w:val="20"/>
          <w:color w:val="auto"/>
        </w:rPr>
      </w:pPr>
    </w:p>
    <w:p>
      <w:pPr>
        <w:ind w:right="80" w:firstLine="470"/>
        <w:spacing w:after="0" w:line="280"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8"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 (Deficit)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Class A and Class B Common Stock</w:t>
      </w:r>
    </w:p>
    <w:p>
      <w:pPr>
        <w:spacing w:after="0" w:line="170" w:lineRule="exact"/>
        <w:rPr>
          <w:sz w:val="20"/>
          <w:szCs w:val="20"/>
          <w:color w:val="auto"/>
        </w:rPr>
      </w:pPr>
    </w:p>
    <w:p>
      <w:pPr>
        <w:ind w:right="100" w:firstLine="470"/>
        <w:spacing w:after="0" w:line="278" w:lineRule="auto"/>
        <w:rPr>
          <w:sz w:val="20"/>
          <w:szCs w:val="20"/>
          <w:color w:val="auto"/>
        </w:rPr>
      </w:pPr>
      <w:r>
        <w:rPr>
          <w:rFonts w:ascii="Arial" w:cs="Arial" w:eastAsia="Arial" w:hAnsi="Arial"/>
          <w:sz w:val="16"/>
          <w:szCs w:val="16"/>
          <w:color w:val="auto"/>
        </w:rPr>
        <w:t>On June 11, 2020, all outstanding shares of the Company’s Class B common stock, par value $0.001 per share, automatically converted into the same number of shares of Class A common stock, par value $0.001 per share, pursuant to the terms of the Company’s Amended and Restated Certificate of Incorporation. No additional shares of Class B common stock will be issued following such conversion. The conversion occurred pursuant to Article V, Section 5(a) of the Amended and Restated Certificate of Incorporation, which provided that each share of Class B common stock would convert automatically into one fully paid and nonassessable share of Class A common stock at 5:00 p.m. in New York City, New York on the first trading day falling on or after the date on which the outstanding shares of Class B common stock represented less than 10% of the aggregate number of shares of the then outstanding Class A common stock and Class B common stock. The Company filed a certificate with the Secretary of State of the State of Delaware effecting the retirement and cancellation of the Company’s Class B common stock. This certificate of retirement had the additional effect of eliminating the authorized Class B common stock, thereby reducing the total number of the Company’s authorized shares of common stock by 100,000,000.</w:t>
      </w:r>
    </w:p>
    <w:p>
      <w:pPr>
        <w:spacing w:after="0" w:line="121"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Prior to June 11, 2020, the Company had two classes of common stock, Class A and Class B. The rights of the holders of Class A and Class B common stock were identical, except with respect to voting. Each share of Class A common stock is entitled to one vote per share. Each share of Class B common stock was entitled to 10 votes per share. Shares of Class B common stock may have been converted to Class A common stock at any time at the option of the stockholder. Shares of Class B common stock automatically converted to Class A common stock upon the following: (1) sale or transfer of such share of Class B common stock, subject to specified permitted transfers; (2) the death of the Class B common stockholder (or nine months after the date of death if the stockholder is one of the founders); and (3) on the final conversion date, defined as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earlier of (a) the first trading day on or after the date on which the outstanding shares of Class B common stock represent less than 10% of the then-outstanding Class A and Class B common stock; or (b) the date specified by vote of the Board of Directors and the holders of a majority of the outstanding shares of Class B common stock, voting together as a single class on an as-converted basis. Class A and Class B common stock were referred to as common stock throughout the notes to the consolidated financial statements, unless otherwise noted.</w:t>
      </w:r>
    </w:p>
    <w:p>
      <w:pPr>
        <w:spacing w:after="0" w:line="123" w:lineRule="exact"/>
        <w:rPr>
          <w:sz w:val="20"/>
          <w:szCs w:val="20"/>
          <w:color w:val="auto"/>
        </w:rPr>
      </w:pPr>
    </w:p>
    <w:p>
      <w:pPr>
        <w:ind w:right="680" w:firstLine="470"/>
        <w:spacing w:after="0" w:line="288" w:lineRule="auto"/>
        <w:rPr>
          <w:sz w:val="20"/>
          <w:szCs w:val="20"/>
          <w:color w:val="auto"/>
        </w:rPr>
      </w:pPr>
      <w:r>
        <w:rPr>
          <w:rFonts w:ascii="Arial" w:cs="Arial" w:eastAsia="Arial" w:hAnsi="Arial"/>
          <w:sz w:val="17"/>
          <w:szCs w:val="17"/>
          <w:color w:val="auto"/>
        </w:rPr>
        <w:t>As of January 31, 2022, the Company had authorized 1,000,000,000 shares of Class A common stock, each par value $0.001 per share, of which 67,543,731 shares of Class A common stock were issued and 67,444,360 were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Disaggregation of Revenue</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Based on the information provided to and reviewed by the Company’s Chief Executive Officer,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27"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presents the Company’s revenues disaggregated by primary geographical markets, subscription product categories and services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Years Ended January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1"/>
        </w:trPr>
        <w:tc>
          <w:tcPr>
            <w:tcW w:w="6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Primary geographical markets: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20" w:type="dxa"/>
            <w:vAlign w:val="bottom"/>
          </w:tcPr>
          <w:p>
            <w:pPr>
              <w:ind w:left="180"/>
              <w:spacing w:after="0"/>
              <w:rPr>
                <w:sz w:val="20"/>
                <w:szCs w:val="20"/>
                <w:color w:val="auto"/>
              </w:rPr>
            </w:pPr>
            <w:r>
              <w:rPr>
                <w:rFonts w:ascii="Arial" w:cs="Arial" w:eastAsia="Arial" w:hAnsi="Arial"/>
                <w:sz w:val="17"/>
                <w:szCs w:val="17"/>
                <w:color w:val="auto"/>
              </w:rPr>
              <w:t>Americas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527,081</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361,351</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272,358</w:t>
            </w:r>
          </w:p>
        </w:tc>
        <w:tc>
          <w:tcPr>
            <w:tcW w:w="0" w:type="dxa"/>
            <w:vAlign w:val="bottom"/>
          </w:tcPr>
          <w:p>
            <w:pPr>
              <w:spacing w:after="0"/>
              <w:rPr>
                <w:sz w:val="1"/>
                <w:szCs w:val="1"/>
                <w:color w:val="auto"/>
              </w:rPr>
            </w:pPr>
          </w:p>
        </w:tc>
      </w:tr>
      <w:tr>
        <w:trPr>
          <w:trHeight w:val="26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118,660</w:t>
            </w:r>
          </w:p>
        </w:tc>
        <w:tc>
          <w:tcPr>
            <w:tcW w:w="0" w:type="dxa"/>
            <w:vAlign w:val="bottom"/>
          </w:tcPr>
          <w:p>
            <w:pPr>
              <w:spacing w:after="0"/>
              <w:rPr>
                <w:sz w:val="1"/>
                <w:szCs w:val="1"/>
                <w:color w:val="auto"/>
              </w:rPr>
            </w:pPr>
          </w:p>
        </w:tc>
      </w:tr>
      <w:tr>
        <w:trPr>
          <w:trHeight w:val="274"/>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Asia Pacific</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51,581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30,702</w:t>
            </w:r>
          </w:p>
        </w:tc>
        <w:tc>
          <w:tcPr>
            <w:tcW w:w="0" w:type="dxa"/>
            <w:vAlign w:val="bottom"/>
          </w:tcPr>
          <w:p>
            <w:pPr>
              <w:spacing w:after="0"/>
              <w:rPr>
                <w:sz w:val="1"/>
                <w:szCs w:val="1"/>
                <w:color w:val="auto"/>
              </w:rPr>
            </w:pPr>
          </w:p>
        </w:tc>
      </w:tr>
      <w:tr>
        <w:trPr>
          <w:trHeight w:val="215"/>
        </w:trPr>
        <w:tc>
          <w:tcPr>
            <w:tcW w:w="6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421,720</w:t>
            </w:r>
          </w:p>
        </w:tc>
        <w:tc>
          <w:tcPr>
            <w:tcW w:w="0" w:type="dxa"/>
            <w:vAlign w:val="bottom"/>
          </w:tcPr>
          <w:p>
            <w:pPr>
              <w:spacing w:after="0"/>
              <w:rPr>
                <w:sz w:val="1"/>
                <w:szCs w:val="1"/>
                <w:color w:val="auto"/>
              </w:rPr>
            </w:pPr>
          </w:p>
        </w:tc>
      </w:tr>
      <w:tr>
        <w:trPr>
          <w:trHeight w:val="70"/>
        </w:trPr>
        <w:tc>
          <w:tcPr>
            <w:tcW w:w="682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Subscription product categories and services: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820" w:type="dxa"/>
            <w:vAlign w:val="bottom"/>
          </w:tcPr>
          <w:p>
            <w:pPr>
              <w:ind w:left="180"/>
              <w:spacing w:after="0"/>
              <w:rPr>
                <w:sz w:val="20"/>
                <w:szCs w:val="20"/>
                <w:color w:val="auto"/>
              </w:rPr>
            </w:pPr>
            <w:r>
              <w:rPr>
                <w:rFonts w:ascii="Arial" w:cs="Arial" w:eastAsia="Arial" w:hAnsi="Arial"/>
                <w:sz w:val="17"/>
                <w:szCs w:val="17"/>
                <w:color w:val="auto"/>
              </w:rPr>
              <w:t>MongoDB Atlas-related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492,287</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270,805</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162,510</w:t>
            </w:r>
          </w:p>
        </w:tc>
        <w:tc>
          <w:tcPr>
            <w:tcW w:w="0" w:type="dxa"/>
            <w:vAlign w:val="bottom"/>
          </w:tcPr>
          <w:p>
            <w:pPr>
              <w:spacing w:after="0"/>
              <w:rPr>
                <w:sz w:val="1"/>
                <w:szCs w:val="1"/>
                <w:color w:val="auto"/>
              </w:rPr>
            </w:pPr>
          </w:p>
        </w:tc>
      </w:tr>
      <w:tr>
        <w:trPr>
          <w:trHeight w:val="26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subscription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237,316</w:t>
            </w:r>
          </w:p>
        </w:tc>
        <w:tc>
          <w:tcPr>
            <w:tcW w:w="0" w:type="dxa"/>
            <w:vAlign w:val="bottom"/>
          </w:tcPr>
          <w:p>
            <w:pPr>
              <w:spacing w:after="0"/>
              <w:rPr>
                <w:sz w:val="1"/>
                <w:szCs w:val="1"/>
                <w:color w:val="auto"/>
              </w:rPr>
            </w:pPr>
          </w:p>
        </w:tc>
      </w:tr>
      <w:tr>
        <w:trPr>
          <w:trHeight w:val="274"/>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Services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21,894</w:t>
            </w:r>
          </w:p>
        </w:tc>
        <w:tc>
          <w:tcPr>
            <w:tcW w:w="0" w:type="dxa"/>
            <w:vAlign w:val="bottom"/>
          </w:tcPr>
          <w:p>
            <w:pPr>
              <w:spacing w:after="0"/>
              <w:rPr>
                <w:sz w:val="1"/>
                <w:szCs w:val="1"/>
                <w:color w:val="auto"/>
              </w:rPr>
            </w:pPr>
          </w:p>
        </w:tc>
      </w:tr>
      <w:tr>
        <w:trPr>
          <w:trHeight w:val="279"/>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421,720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color w:val="auto"/>
        </w:rPr>
        <w:t>Customers located in the United States accounted for 54%, 56% and 59% of total revenue for the years ended January 31, 2022, 2021 and 2020, respectively. Customers located in the United Kingdom accounted for 10% of total revenue for both of the years ended January 31, 2021 and 2020. No other country accounted for 10% or more of revenue for the periods presented.</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31, 2022 and 2021, substantially all of the Company’s long-lived assets were located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Contract Liabilities</w:t>
      </w:r>
    </w:p>
    <w:p>
      <w:pPr>
        <w:spacing w:after="0" w:line="170" w:lineRule="exact"/>
        <w:rPr>
          <w:sz w:val="20"/>
          <w:szCs w:val="20"/>
          <w:color w:val="auto"/>
        </w:rPr>
      </w:pPr>
    </w:p>
    <w:p>
      <w:pPr>
        <w:jc w:val="both"/>
        <w:ind w:right="40" w:firstLine="470"/>
        <w:spacing w:after="0" w:line="313" w:lineRule="auto"/>
        <w:rPr>
          <w:sz w:val="20"/>
          <w:szCs w:val="20"/>
          <w:color w:val="auto"/>
        </w:rPr>
      </w:pPr>
      <w:r>
        <w:rPr>
          <w:rFonts w:ascii="Arial" w:cs="Arial" w:eastAsia="Arial" w:hAnsi="Arial"/>
          <w:sz w:val="15"/>
          <w:szCs w:val="15"/>
          <w:color w:val="auto"/>
        </w:rPr>
        <w:t>The Company’s contract liabilities are recorded as deferred revenue in the Company’s consolidated balance sheet and consist of customer invoices issued or payments received in advance of revenues being recognized from the Company’s subscription and services contracts. Deferred revenue, including current and non-current balances as of January 31, 2022, 2021 and 2020 was $375.2 million, $238.0 million and $190.8 million, respectively. Approximately 23% and 28% of the total revenue recognized in the years ended January 31, 2022 and 2021 was from deferred revenue at the beginning of each respective period.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Remaining Performance Obligations</w:t>
      </w:r>
    </w:p>
    <w:p>
      <w:pPr>
        <w:spacing w:after="0" w:line="170"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2022, the aggregate transaction price allocated to remaining performance obligations was $387.0 million. Approximately 56%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Unbilled Receivables</w:t>
      </w:r>
    </w:p>
    <w:p>
      <w:pPr>
        <w:spacing w:after="0" w:line="170"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2022, 2021 and 2020, unbilled receivables were $6.1 million, $5.7 million and $6.7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Allowance for Doubtful Accounts</w:t>
      </w:r>
    </w:p>
    <w:p>
      <w:pPr>
        <w:spacing w:after="0" w:line="170" w:lineRule="exact"/>
        <w:rPr>
          <w:sz w:val="20"/>
          <w:szCs w:val="20"/>
          <w:color w:val="auto"/>
        </w:rPr>
      </w:pPr>
    </w:p>
    <w:p>
      <w:pPr>
        <w:jc w:val="both"/>
        <w:ind w:right="300" w:firstLine="470"/>
        <w:spacing w:after="0" w:line="297" w:lineRule="auto"/>
        <w:rPr>
          <w:sz w:val="20"/>
          <w:szCs w:val="20"/>
          <w:color w:val="auto"/>
        </w:rPr>
      </w:pPr>
      <w:r>
        <w:rPr>
          <w:rFonts w:ascii="Arial" w:cs="Arial" w:eastAsia="Arial" w:hAnsi="Arial"/>
          <w:sz w:val="16"/>
          <w:szCs w:val="16"/>
          <w:color w:val="auto"/>
        </w:rPr>
        <w:t>The adoption of ASU 2016-13 on February 1, 2020 required the Company to shift from an incurred loss impairment model to an expected credit loss model. Accordingly, 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Allowance for Doubtful Accounts</w:t>
            </w: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31,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3040" w:type="dxa"/>
            <w:vAlign w:val="bottom"/>
            <w:shd w:val="clear" w:color="auto" w:fill="CCEEFF"/>
          </w:tcPr>
          <w:p>
            <w:pPr>
              <w:jc w:val="center"/>
              <w:ind w:left="2433"/>
              <w:spacing w:after="0"/>
              <w:rPr>
                <w:sz w:val="20"/>
                <w:szCs w:val="20"/>
                <w:color w:val="auto"/>
              </w:rPr>
            </w:pPr>
            <w:r>
              <w:rPr>
                <w:rFonts w:ascii="Arial" w:cs="Arial" w:eastAsia="Arial" w:hAnsi="Arial"/>
                <w:sz w:val="17"/>
                <w:szCs w:val="17"/>
                <w:color w:val="auto"/>
                <w:w w:val="93"/>
              </w:rPr>
              <w:t>6,024</w:t>
            </w:r>
          </w:p>
        </w:tc>
      </w:tr>
      <w:tr>
        <w:trPr>
          <w:trHeight w:val="222"/>
        </w:trPr>
        <w:tc>
          <w:tcPr>
            <w:tcW w:w="7960" w:type="dxa"/>
            <w:vAlign w:val="bottom"/>
          </w:tcPr>
          <w:p>
            <w:pPr>
              <w:ind w:left="240"/>
              <w:spacing w:after="0"/>
              <w:rPr>
                <w:sz w:val="20"/>
                <w:szCs w:val="20"/>
                <w:color w:val="auto"/>
              </w:rPr>
            </w:pPr>
            <w:r>
              <w:rPr>
                <w:rFonts w:ascii="Arial" w:cs="Arial" w:eastAsia="Arial" w:hAnsi="Arial"/>
                <w:sz w:val="17"/>
                <w:szCs w:val="17"/>
                <w:color w:val="auto"/>
              </w:rPr>
              <w:t>Provision</w:t>
            </w:r>
          </w:p>
        </w:tc>
        <w:tc>
          <w:tcPr>
            <w:tcW w:w="240" w:type="dxa"/>
            <w:vAlign w:val="bottom"/>
          </w:tcPr>
          <w:p>
            <w:pPr>
              <w:spacing w:after="0"/>
              <w:rPr>
                <w:sz w:val="19"/>
                <w:szCs w:val="19"/>
                <w:color w:val="auto"/>
              </w:rPr>
            </w:pPr>
          </w:p>
        </w:tc>
        <w:tc>
          <w:tcPr>
            <w:tcW w:w="3040" w:type="dxa"/>
            <w:vAlign w:val="bottom"/>
          </w:tcPr>
          <w:p>
            <w:pPr>
              <w:jc w:val="center"/>
              <w:ind w:left="2433"/>
              <w:spacing w:after="0"/>
              <w:rPr>
                <w:sz w:val="20"/>
                <w:szCs w:val="20"/>
                <w:color w:val="auto"/>
              </w:rPr>
            </w:pPr>
            <w:r>
              <w:rPr>
                <w:rFonts w:ascii="Arial" w:cs="Arial" w:eastAsia="Arial" w:hAnsi="Arial"/>
                <w:sz w:val="17"/>
                <w:szCs w:val="17"/>
                <w:color w:val="auto"/>
                <w:w w:val="93"/>
              </w:rPr>
              <w:t>4,749</w:t>
            </w:r>
          </w:p>
        </w:tc>
      </w:tr>
      <w:tr>
        <w:trPr>
          <w:trHeight w:val="222"/>
        </w:trPr>
        <w:tc>
          <w:tcPr>
            <w:tcW w:w="7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Recoveries/write-offs</w:t>
            </w:r>
          </w:p>
        </w:tc>
        <w:tc>
          <w:tcPr>
            <w:tcW w:w="2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393"/>
              <w:spacing w:after="0"/>
              <w:rPr>
                <w:sz w:val="20"/>
                <w:szCs w:val="20"/>
                <w:color w:val="auto"/>
              </w:rPr>
            </w:pPr>
            <w:r>
              <w:rPr>
                <w:rFonts w:ascii="Arial" w:cs="Arial" w:eastAsia="Arial" w:hAnsi="Arial"/>
                <w:sz w:val="17"/>
                <w:szCs w:val="17"/>
                <w:color w:val="auto"/>
                <w:w w:val="96"/>
              </w:rPr>
              <w:t>(5,807)</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color w:val="auto"/>
              </w:rPr>
              <w:t>Balance at January 31, 2022</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3040" w:type="dxa"/>
            <w:vAlign w:val="bottom"/>
            <w:tcBorders>
              <w:bottom w:val="single" w:sz="8" w:color="auto"/>
            </w:tcBorders>
          </w:tcPr>
          <w:p>
            <w:pPr>
              <w:jc w:val="center"/>
              <w:ind w:left="2433"/>
              <w:spacing w:after="0"/>
              <w:rPr>
                <w:sz w:val="20"/>
                <w:szCs w:val="20"/>
                <w:color w:val="auto"/>
              </w:rPr>
            </w:pPr>
            <w:r>
              <w:rPr>
                <w:rFonts w:ascii="Arial" w:cs="Arial" w:eastAsia="Arial" w:hAnsi="Arial"/>
                <w:sz w:val="17"/>
                <w:szCs w:val="17"/>
                <w:color w:val="auto"/>
                <w:w w:val="93"/>
              </w:rPr>
              <w:t>4,966</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40" w:firstLine="470"/>
        <w:spacing w:after="0" w:line="297" w:lineRule="auto"/>
        <w:rPr>
          <w:sz w:val="20"/>
          <w:szCs w:val="20"/>
          <w:color w:val="auto"/>
        </w:rPr>
      </w:pPr>
      <w:r>
        <w:rPr>
          <w:rFonts w:ascii="Arial" w:cs="Arial" w:eastAsia="Arial" w:hAnsi="Arial"/>
          <w:sz w:val="16"/>
          <w:szCs w:val="16"/>
          <w:color w:val="auto"/>
        </w:rPr>
        <w:t>The allowance for doubtful accounts as of January 31, 2021 reflected uncertainty around collections due to potential financial difficulties by the Company's customers as a result of the COVID-19 pandemic and associated global economic uncertainty. Based on collections during the year ended January 31, 2022, the Company has adjusted its estimates, which resulted in a lower allowance for doubtful accounts as of January 31, 2022.</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Costs Capitalized to Obtain Contracts with Customers</w:t>
      </w:r>
    </w:p>
    <w:p>
      <w:pPr>
        <w:spacing w:after="0" w:line="170" w:lineRule="exact"/>
        <w:rPr>
          <w:sz w:val="20"/>
          <w:szCs w:val="20"/>
          <w:color w:val="auto"/>
        </w:rPr>
      </w:pPr>
    </w:p>
    <w:p>
      <w:pPr>
        <w:ind w:right="240" w:firstLine="470"/>
        <w:spacing w:after="0" w:line="267" w:lineRule="auto"/>
        <w:rPr>
          <w:sz w:val="20"/>
          <w:szCs w:val="20"/>
          <w:color w:val="auto"/>
        </w:rPr>
      </w:pPr>
      <w:r>
        <w:rPr>
          <w:rFonts w:ascii="Arial" w:cs="Arial" w:eastAsia="Arial" w:hAnsi="Arial"/>
          <w:sz w:val="17"/>
          <w:szCs w:val="17"/>
          <w:color w:val="auto"/>
        </w:rPr>
        <w:t>Deferred commissions were $203.3 million and $118.6 million as of January 31, 2022 and 2021, respectively. Amortization expense with respect to deferred commissions, which is included in sales and marketing expense in the Company’s consolidated statement of operations, was $49.1 million, $28.6 million and $19.4 million for years ended January 31, 2022, 2021 and 2020, respectively. There was no impairment loss in relation to the costs capitalized for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Equity Incentive Plans and Employee Stock Purchase Plan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2008 Stock Incentive Plan and 2016 Equity Incentive Plan</w:t>
      </w:r>
    </w:p>
    <w:p>
      <w:pPr>
        <w:spacing w:after="0" w:line="170" w:lineRule="exact"/>
        <w:rPr>
          <w:sz w:val="20"/>
          <w:szCs w:val="20"/>
          <w:color w:val="auto"/>
        </w:rPr>
      </w:pPr>
    </w:p>
    <w:p>
      <w:pPr>
        <w:ind w:right="140" w:firstLine="470"/>
        <w:spacing w:after="0" w:line="300" w:lineRule="auto"/>
        <w:rPr>
          <w:sz w:val="20"/>
          <w:szCs w:val="20"/>
          <w:color w:val="auto"/>
        </w:rPr>
      </w:pPr>
      <w:r>
        <w:rPr>
          <w:rFonts w:ascii="Arial" w:cs="Arial" w:eastAsia="Arial" w:hAnsi="Arial"/>
          <w:sz w:val="15"/>
          <w:szCs w:val="15"/>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2022 were granted as NSOs with the exception of one ISO award. The exercise prices of the stock option grants must be no less than 100% of the fair value of the common stock on the grant date as determined by the Board of Directors. If, at the date of grant,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19" w:lineRule="exact"/>
        <w:rPr>
          <w:sz w:val="20"/>
          <w:szCs w:val="20"/>
          <w:color w:val="auto"/>
        </w:rPr>
      </w:pPr>
    </w:p>
    <w:p>
      <w:pPr>
        <w:ind w:right="180" w:firstLine="470"/>
        <w:spacing w:after="0" w:line="321" w:lineRule="auto"/>
        <w:rPr>
          <w:sz w:val="20"/>
          <w:szCs w:val="20"/>
          <w:color w:val="auto"/>
        </w:rPr>
      </w:pPr>
      <w:r>
        <w:rPr>
          <w:rFonts w:ascii="Arial" w:cs="Arial" w:eastAsia="Arial" w:hAnsi="Arial"/>
          <w:sz w:val="16"/>
          <w:szCs w:val="16"/>
          <w:color w:val="auto"/>
        </w:rPr>
        <w:t>Pursuant to the terms of the 2016 Plan, the shares of the Company’s Class A common stock reserved for issuance was increased by 3.0 million shares in March 2021. As of January 31, 2022, the Company has approximately 10.5 million shares of Class A common stock available for future grants.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 Options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stock option activity for the periods presented (in thousands, except share and per share data and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1040" w:type="dxa"/>
            <w:vAlign w:val="bottom"/>
          </w:tcPr>
          <w:p>
            <w:pPr>
              <w:jc w:val="center"/>
              <w:ind w:left="190"/>
              <w:spacing w:after="0" w:line="124"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40" w:type="dxa"/>
            <w:vAlign w:val="bottom"/>
          </w:tcPr>
          <w:p>
            <w:pPr>
              <w:jc w:val="center"/>
              <w:ind w:left="170"/>
              <w:spacing w:after="0" w:line="131"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70"/>
              <w:spacing w:after="0" w:line="131"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90"/>
              <w:spacing w:after="0" w:line="131"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90"/>
              <w:spacing w:after="0" w:line="131"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70"/>
              <w:spacing w:after="0" w:line="131"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940" w:type="dxa"/>
            <w:vAlign w:val="bottom"/>
          </w:tcPr>
          <w:p>
            <w:pPr>
              <w:jc w:val="center"/>
              <w:ind w:left="270"/>
              <w:spacing w:after="0" w:line="131" w:lineRule="exact"/>
              <w:rPr>
                <w:sz w:val="20"/>
                <w:szCs w:val="20"/>
                <w:color w:val="auto"/>
              </w:rPr>
            </w:pPr>
            <w:r>
              <w:rPr>
                <w:rFonts w:ascii="Arial" w:cs="Arial" w:eastAsia="Arial" w:hAnsi="Arial"/>
                <w:sz w:val="14"/>
                <w:szCs w:val="14"/>
                <w:b w:val="1"/>
                <w:bCs w:val="1"/>
                <w:color w:val="auto"/>
                <w:w w:val="92"/>
              </w:rPr>
              <w:t>Price Per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70"/>
              <w:spacing w:after="0" w:line="131" w:lineRule="exact"/>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39"/>
              <w:spacing w:after="0" w:line="13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7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92"/>
              </w:rPr>
              <w:t>Share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8"/>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 January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6,178,999</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7.60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965,860</w:t>
            </w:r>
          </w:p>
        </w:tc>
        <w:tc>
          <w:tcPr>
            <w:tcW w:w="0" w:type="dxa"/>
            <w:vAlign w:val="bottom"/>
          </w:tcPr>
          <w:p>
            <w:pPr>
              <w:spacing w:after="0"/>
              <w:rPr>
                <w:sz w:val="1"/>
                <w:szCs w:val="1"/>
                <w:color w:val="auto"/>
              </w:rPr>
            </w:pPr>
          </w:p>
        </w:tc>
      </w:tr>
      <w:tr>
        <w:trPr>
          <w:trHeight w:val="261"/>
        </w:trPr>
        <w:tc>
          <w:tcPr>
            <w:tcW w:w="5760" w:type="dxa"/>
            <w:vAlign w:val="bottom"/>
          </w:tcPr>
          <w:p>
            <w:pPr>
              <w:ind w:left="300"/>
              <w:spacing w:after="0"/>
              <w:rPr>
                <w:sz w:val="20"/>
                <w:szCs w:val="20"/>
                <w:color w:val="auto"/>
              </w:rPr>
            </w:pPr>
            <w:r>
              <w:rPr>
                <w:rFonts w:ascii="Arial" w:cs="Arial" w:eastAsia="Arial" w:hAnsi="Arial"/>
                <w:sz w:val="17"/>
                <w:szCs w:val="17"/>
                <w:color w:val="auto"/>
              </w:rPr>
              <w:t>Options exercised</w:t>
            </w:r>
          </w:p>
        </w:tc>
        <w:tc>
          <w:tcPr>
            <w:tcW w:w="1320" w:type="dxa"/>
            <w:vAlign w:val="bottom"/>
          </w:tcPr>
          <w:p>
            <w:pPr>
              <w:jc w:val="right"/>
              <w:spacing w:after="0"/>
              <w:rPr>
                <w:sz w:val="20"/>
                <w:szCs w:val="20"/>
                <w:color w:val="auto"/>
              </w:rPr>
            </w:pPr>
            <w:r>
              <w:rPr>
                <w:rFonts w:ascii="Arial" w:cs="Arial" w:eastAsia="Arial" w:hAnsi="Arial"/>
                <w:sz w:val="17"/>
                <w:szCs w:val="17"/>
                <w:color w:val="auto"/>
              </w:rPr>
              <w:t>(2,218,661)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7.70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Options forfeited and 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9.30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180"/>
              <w:spacing w:after="0"/>
              <w:rPr>
                <w:sz w:val="20"/>
                <w:szCs w:val="20"/>
                <w:color w:val="auto"/>
              </w:rPr>
            </w:pPr>
            <w:r>
              <w:rPr>
                <w:rFonts w:ascii="Arial" w:cs="Arial" w:eastAsia="Arial" w:hAnsi="Arial"/>
                <w:sz w:val="17"/>
                <w:szCs w:val="17"/>
                <w:color w:val="auto"/>
              </w:rPr>
              <w:t>Balance - January 31, 2021</w:t>
            </w:r>
          </w:p>
        </w:tc>
        <w:tc>
          <w:tcPr>
            <w:tcW w:w="1320" w:type="dxa"/>
            <w:vAlign w:val="bottom"/>
          </w:tcPr>
          <w:p>
            <w:pPr>
              <w:jc w:val="right"/>
              <w:spacing w:after="0"/>
              <w:rPr>
                <w:sz w:val="20"/>
                <w:szCs w:val="20"/>
                <w:color w:val="auto"/>
              </w:rPr>
            </w:pPr>
            <w:r>
              <w:rPr>
                <w:rFonts w:ascii="Arial" w:cs="Arial" w:eastAsia="Arial" w:hAnsi="Arial"/>
                <w:sz w:val="17"/>
                <w:szCs w:val="17"/>
                <w:color w:val="auto"/>
              </w:rPr>
              <w:t>3,881,545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7.50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1,405,540</w:t>
            </w: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(1,279,669)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7.57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Options forfeited and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(9,982)</w:t>
            </w:r>
          </w:p>
        </w:tc>
        <w:tc>
          <w:tcPr>
            <w:tcW w:w="1420" w:type="dxa"/>
            <w:vAlign w:val="bottom"/>
            <w:tcBorders>
              <w:bottom w:val="single" w:sz="8" w:color="CCEEFF"/>
            </w:tcBorders>
            <w:gridSpan w:val="3"/>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Balance - January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2,591,894</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1,030,680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Options vested and exercisable - January 31, 2021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3,566,091</w:t>
            </w:r>
          </w:p>
        </w:tc>
        <w:tc>
          <w:tcPr>
            <w:tcW w:w="1040" w:type="dxa"/>
            <w:vAlign w:val="bottom"/>
            <w:gridSpan w:val="2"/>
          </w:tcPr>
          <w:p>
            <w:pPr>
              <w:jc w:val="right"/>
              <w:ind w:right="770"/>
              <w:spacing w:after="0" w:line="194" w:lineRule="exact"/>
              <w:rPr>
                <w:sz w:val="20"/>
                <w:szCs w:val="20"/>
                <w:color w:val="auto"/>
              </w:rPr>
            </w:pPr>
            <w:r>
              <w:rPr>
                <w:rFonts w:ascii="Arial" w:cs="Arial" w:eastAsia="Arial" w:hAnsi="Arial"/>
                <w:sz w:val="17"/>
                <w:szCs w:val="17"/>
                <w:color w:val="auto"/>
              </w:rPr>
              <w:t>$</w:t>
            </w:r>
          </w:p>
        </w:tc>
        <w:tc>
          <w:tcPr>
            <w:tcW w:w="380" w:type="dxa"/>
            <w:vAlign w:val="bottom"/>
          </w:tcPr>
          <w:p>
            <w:pPr>
              <w:jc w:val="right"/>
              <w:spacing w:after="0" w:line="194" w:lineRule="exact"/>
              <w:rPr>
                <w:sz w:val="20"/>
                <w:szCs w:val="20"/>
                <w:color w:val="auto"/>
              </w:rPr>
            </w:pPr>
            <w:r>
              <w:rPr>
                <w:rFonts w:ascii="Arial" w:cs="Arial" w:eastAsia="Arial" w:hAnsi="Arial"/>
                <w:sz w:val="17"/>
                <w:szCs w:val="17"/>
                <w:color w:val="auto"/>
                <w:w w:val="84"/>
              </w:rPr>
              <w:t>7.22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Arial" w:cs="Arial" w:eastAsia="Arial" w:hAnsi="Arial"/>
                <w:sz w:val="17"/>
                <w:szCs w:val="17"/>
                <w:color w:val="auto"/>
              </w:rPr>
              <w:t>4.7</w:t>
            </w:r>
          </w:p>
        </w:tc>
        <w:tc>
          <w:tcPr>
            <w:tcW w:w="100" w:type="dxa"/>
            <w:vAlign w:val="bottom"/>
          </w:tcPr>
          <w:p>
            <w:pPr>
              <w:spacing w:after="0"/>
              <w:rPr>
                <w:sz w:val="16"/>
                <w:szCs w:val="16"/>
                <w:color w:val="auto"/>
              </w:rPr>
            </w:pP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1,292,303</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 vested and exercisable - January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2,591,894</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1,030,680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Stock options vested and expected to vest - January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2,591,894</w:t>
            </w:r>
          </w:p>
        </w:tc>
        <w:tc>
          <w:tcPr>
            <w:tcW w:w="104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1,030,680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There were no options granted during the years ended January 31, 2022 and 2021. The intrinsic value of options exercised for the years ended January 31, 2022, 2021 and 2020 was determined to be $469.1 million, $481.8 million and $293.9 million, respectively.</w:t>
      </w:r>
    </w:p>
    <w:p>
      <w:pPr>
        <w:spacing w:after="0" w:line="106" w:lineRule="exact"/>
        <w:rPr>
          <w:sz w:val="20"/>
          <w:szCs w:val="20"/>
          <w:color w:val="auto"/>
        </w:rPr>
      </w:pPr>
    </w:p>
    <w:p>
      <w:pPr>
        <w:ind w:right="220" w:firstLine="470"/>
        <w:spacing w:after="0" w:line="321" w:lineRule="auto"/>
        <w:rPr>
          <w:sz w:val="20"/>
          <w:szCs w:val="20"/>
          <w:color w:val="auto"/>
        </w:rPr>
      </w:pPr>
      <w:r>
        <w:rPr>
          <w:rFonts w:ascii="Arial" w:cs="Arial" w:eastAsia="Arial" w:hAnsi="Arial"/>
          <w:sz w:val="16"/>
          <w:szCs w:val="16"/>
          <w:color w:val="auto"/>
        </w:rPr>
        <w:t>The aggregate grant date fair value of stock options vested during the years ended January 31, 2022, 2021 and 2020, was $1.3 million, $4.3 million and $6.3 million, respectively. As of January 31, 2022, there was no unrecognized stock-based compensation expense related to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Restricted Stock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 for the years ended January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680" w:type="dxa"/>
            <w:vAlign w:val="bottom"/>
            <w:vMerge w:val="restart"/>
          </w:tcPr>
          <w:p>
            <w:pPr>
              <w:jc w:val="right"/>
              <w:ind w:right="534"/>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Weighted-Average Grant Date</w:t>
            </w:r>
          </w:p>
        </w:tc>
        <w:tc>
          <w:tcPr>
            <w:tcW w:w="0" w:type="dxa"/>
            <w:vAlign w:val="bottom"/>
          </w:tcPr>
          <w:p>
            <w:pPr>
              <w:spacing w:after="0"/>
              <w:rPr>
                <w:sz w:val="1"/>
                <w:szCs w:val="1"/>
                <w:color w:val="auto"/>
              </w:rPr>
            </w:pPr>
          </w:p>
        </w:tc>
      </w:tr>
      <w:tr>
        <w:trPr>
          <w:trHeight w:val="206"/>
        </w:trPr>
        <w:tc>
          <w:tcPr>
            <w:tcW w:w="724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Fair Value per RSU</w:t>
            </w:r>
          </w:p>
        </w:tc>
        <w:tc>
          <w:tcPr>
            <w:tcW w:w="0" w:type="dxa"/>
            <w:vAlign w:val="bottom"/>
          </w:tcPr>
          <w:p>
            <w:pPr>
              <w:spacing w:after="0"/>
              <w:rPr>
                <w:sz w:val="1"/>
                <w:szCs w:val="1"/>
                <w:color w:val="auto"/>
              </w:rPr>
            </w:pPr>
          </w:p>
        </w:tc>
      </w:tr>
      <w:tr>
        <w:trPr>
          <w:trHeight w:val="244"/>
        </w:trPr>
        <w:tc>
          <w:tcPr>
            <w:tcW w:w="7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Unvested - January 31, 2020</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3,281,431</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102.30</w:t>
            </w:r>
          </w:p>
        </w:tc>
        <w:tc>
          <w:tcPr>
            <w:tcW w:w="0" w:type="dxa"/>
            <w:vAlign w:val="bottom"/>
          </w:tcPr>
          <w:p>
            <w:pPr>
              <w:spacing w:after="0"/>
              <w:rPr>
                <w:sz w:val="1"/>
                <w:szCs w:val="1"/>
                <w:color w:val="auto"/>
              </w:rPr>
            </w:pPr>
          </w:p>
        </w:tc>
      </w:tr>
      <w:tr>
        <w:trPr>
          <w:trHeight w:val="261"/>
        </w:trPr>
        <w:tc>
          <w:tcPr>
            <w:tcW w:w="7240" w:type="dxa"/>
            <w:vAlign w:val="bottom"/>
          </w:tcPr>
          <w:p>
            <w:pPr>
              <w:ind w:left="220"/>
              <w:spacing w:after="0"/>
              <w:rPr>
                <w:sz w:val="20"/>
                <w:szCs w:val="20"/>
                <w:color w:val="auto"/>
              </w:rPr>
            </w:pPr>
            <w:r>
              <w:rPr>
                <w:rFonts w:ascii="Arial" w:cs="Arial" w:eastAsia="Arial" w:hAnsi="Arial"/>
                <w:sz w:val="17"/>
                <w:szCs w:val="17"/>
                <w:color w:val="auto"/>
              </w:rPr>
              <w:t>RSUs granted</w:t>
            </w:r>
          </w:p>
        </w:tc>
        <w:tc>
          <w:tcPr>
            <w:tcW w:w="1680" w:type="dxa"/>
            <w:vAlign w:val="bottom"/>
          </w:tcPr>
          <w:p>
            <w:pPr>
              <w:jc w:val="right"/>
              <w:spacing w:after="0"/>
              <w:rPr>
                <w:sz w:val="20"/>
                <w:szCs w:val="20"/>
                <w:color w:val="auto"/>
              </w:rPr>
            </w:pPr>
            <w:r>
              <w:rPr>
                <w:rFonts w:ascii="Arial" w:cs="Arial" w:eastAsia="Arial" w:hAnsi="Arial"/>
                <w:sz w:val="17"/>
                <w:szCs w:val="17"/>
                <w:color w:val="auto"/>
              </w:rPr>
              <w:t>1,785,498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178.60</w:t>
            </w:r>
          </w:p>
        </w:tc>
        <w:tc>
          <w:tcPr>
            <w:tcW w:w="0" w:type="dxa"/>
            <w:vAlign w:val="bottom"/>
          </w:tcPr>
          <w:p>
            <w:pPr>
              <w:spacing w:after="0"/>
              <w:rPr>
                <w:sz w:val="1"/>
                <w:szCs w:val="1"/>
                <w:color w:val="auto"/>
              </w:rPr>
            </w:pPr>
          </w:p>
        </w:tc>
      </w:tr>
      <w:tr>
        <w:trPr>
          <w:trHeight w:val="262"/>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(1,163,259)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102.23</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(430,158)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117.35</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 January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3,473,512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139.68</w:t>
            </w:r>
          </w:p>
        </w:tc>
        <w:tc>
          <w:tcPr>
            <w:tcW w:w="0" w:type="dxa"/>
            <w:vAlign w:val="bottom"/>
          </w:tcPr>
          <w:p>
            <w:pPr>
              <w:spacing w:after="0"/>
              <w:rPr>
                <w:sz w:val="1"/>
                <w:szCs w:val="1"/>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7"/>
                <w:szCs w:val="17"/>
                <w:color w:val="auto"/>
              </w:rPr>
              <w:t>RSUs granted</w:t>
            </w:r>
          </w:p>
        </w:tc>
        <w:tc>
          <w:tcPr>
            <w:tcW w:w="1680" w:type="dxa"/>
            <w:vAlign w:val="bottom"/>
          </w:tcPr>
          <w:p>
            <w:pPr>
              <w:jc w:val="right"/>
              <w:spacing w:after="0"/>
              <w:rPr>
                <w:sz w:val="20"/>
                <w:szCs w:val="20"/>
                <w:color w:val="auto"/>
              </w:rPr>
            </w:pPr>
            <w:r>
              <w:rPr>
                <w:rFonts w:ascii="Arial" w:cs="Arial" w:eastAsia="Arial" w:hAnsi="Arial"/>
                <w:sz w:val="17"/>
                <w:szCs w:val="17"/>
                <w:color w:val="auto"/>
              </w:rPr>
              <w:t>1,578,721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405.46</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149.47</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(388,341)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193.77</w:t>
            </w: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 January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3,226,759</w:t>
            </w:r>
          </w:p>
        </w:tc>
        <w:tc>
          <w:tcPr>
            <w:tcW w:w="3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258.85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As of January 31, 2022, there was $768.0 million of unrecognized stock-based compensation expense related to outstanding RSUs that is expected to be recognized over a weighted-average period of 2.55 years.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2016 China Stock Appreciation Rights Plan</w:t>
      </w:r>
    </w:p>
    <w:p>
      <w:pPr>
        <w:spacing w:after="0" w:line="170"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99" w:lineRule="exact"/>
        <w:rPr>
          <w:sz w:val="20"/>
          <w:szCs w:val="20"/>
          <w:color w:val="auto"/>
        </w:rPr>
      </w:pPr>
    </w:p>
    <w:p>
      <w:pPr>
        <w:ind w:right="140" w:firstLine="470"/>
        <w:spacing w:after="0" w:line="280" w:lineRule="auto"/>
        <w:rPr>
          <w:sz w:val="20"/>
          <w:szCs w:val="20"/>
          <w:color w:val="auto"/>
        </w:rPr>
      </w:pPr>
      <w:r>
        <w:rPr>
          <w:rFonts w:ascii="Arial" w:cs="Arial" w:eastAsia="Arial" w:hAnsi="Arial"/>
          <w:sz w:val="16"/>
          <w:szCs w:val="16"/>
          <w:color w:val="auto"/>
        </w:rPr>
        <w:t>For the years ended January 31, 2022, 2021 and 2020 the Company granted 5,532, 2,763 and 5,975 units of the China SAR Plan, respectively, at a weighted average strike price of $386.23, $165.08 and $129.89 per share, respectively. During the years ended January 31, 2022, 2021 and 2020, upon the vesting of 1,296, 4,316 and 4,958 units, respectively, the total expense recognized related to China SAR was $1.6 million, $2.6 million and $2.1 million, respectively. As of January 31, 2022 and 2021, the Company’s liability balance related to the China SAR Plan was $6.5 million and $5.9 million, respectively. These amounts were recorded as part of the accrued compensation and benefits on the Company’s consolidated balance sheet and recognized as bonus expense in the Company’s consolidated statement of operations. During the year ended January 31, 2022, the Company paid $0.1 million in cash upon the exercise of 479 units. As of January 31, 2022, there were 18,324 China SAR Plan units outstanding of which 1,526 units remained unvested.</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November 1, 2021, the Company does not expect to grant stock appreciation rights in the future and will instead grant RSUs to its employees 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China.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2017 Employee Stock Purchase Plan</w:t>
      </w:r>
    </w:p>
    <w:p>
      <w:pPr>
        <w:spacing w:after="0" w:line="170"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w:t>
      </w:r>
    </w:p>
    <w:p>
      <w:pPr>
        <w:spacing w:after="0" w:line="123" w:lineRule="exact"/>
        <w:rPr>
          <w:sz w:val="20"/>
          <w:szCs w:val="20"/>
          <w:color w:val="auto"/>
        </w:rPr>
      </w:pPr>
    </w:p>
    <w:p>
      <w:pPr>
        <w:ind w:right="220" w:firstLine="470"/>
        <w:spacing w:after="0" w:line="297" w:lineRule="auto"/>
        <w:rPr>
          <w:sz w:val="20"/>
          <w:szCs w:val="20"/>
          <w:color w:val="auto"/>
        </w:rPr>
      </w:pPr>
      <w:r>
        <w:rPr>
          <w:rFonts w:ascii="Arial" w:cs="Arial" w:eastAsia="Arial" w:hAnsi="Arial"/>
          <w:sz w:val="16"/>
          <w:szCs w:val="16"/>
          <w:color w:val="auto"/>
        </w:rPr>
        <w:t>Unless otherwise determined by the Board of Directors, the Company’s Class A common stock will be purchased for the accounts of employees participating in the ESPP at a price per share that is the lesser of (1) 85% of the fair market value of the Company’s Class A common stock on the first trading day of the offering period, or (2) 85% of the fair market value of the Company’s Class A common stock on the last trading day of the offering period.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240" w:firstLine="470"/>
        <w:spacing w:after="0" w:line="358" w:lineRule="auto"/>
        <w:rPr>
          <w:sz w:val="20"/>
          <w:szCs w:val="20"/>
          <w:color w:val="auto"/>
        </w:rPr>
      </w:pPr>
      <w:r>
        <w:rPr>
          <w:rFonts w:ascii="Arial" w:cs="Arial" w:eastAsia="Arial" w:hAnsi="Arial"/>
          <w:sz w:val="15"/>
          <w:szCs w:val="15"/>
          <w:color w:val="auto"/>
        </w:rPr>
        <w:t>Pursuant to the terms of the 2017 ESPP, the shares of the Company’s Class A common stock reserved for issuance was increased by 608,985 shares in April 2021. As of January 31, 2022, there were 2,476,888 shares of the Company’s Class A common stock available for future issuance under the 2017 ESPP.</w:t>
      </w:r>
    </w:p>
    <w:p>
      <w:pPr>
        <w:spacing w:after="0" w:line="60" w:lineRule="exact"/>
        <w:rPr>
          <w:sz w:val="20"/>
          <w:szCs w:val="20"/>
          <w:color w:val="auto"/>
        </w:rPr>
      </w:pPr>
    </w:p>
    <w:p>
      <w:pPr>
        <w:ind w:right="320" w:firstLine="470"/>
        <w:spacing w:after="0" w:line="267" w:lineRule="auto"/>
        <w:rPr>
          <w:sz w:val="20"/>
          <w:szCs w:val="20"/>
          <w:color w:val="auto"/>
        </w:rPr>
      </w:pPr>
      <w:r>
        <w:rPr>
          <w:rFonts w:ascii="Arial" w:cs="Arial" w:eastAsia="Arial" w:hAnsi="Arial"/>
          <w:sz w:val="17"/>
          <w:szCs w:val="17"/>
          <w:color w:val="auto"/>
        </w:rPr>
        <w:t>During the years ended January 31, 2022, 2021 and 2020 there were 85,401, 134,930 and 154,988 shares, respectively, of Class A common stock purchased under the ESPP. The total expense related to the ESPP for years ended January 31, 2022, 2021 and 2020 was $9.4 million, $7.0 million and $5.1 million, respectively. As of January 31, 2022, there was $5.1 million of unrecognized stock-based compensation expense related to the ESPP offering period expected to end in June 2022.</w:t>
      </w:r>
    </w:p>
    <w:p>
      <w:pPr>
        <w:spacing w:after="0" w:line="123"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fair value of the purchase rights granted under the 2017 ESPP was estimated on the first day of the offering period using the Black-Scholes option-pricing model with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6"/>
              </w:rPr>
              <w:t>Years Ended January 31,</w:t>
            </w:r>
          </w:p>
        </w:tc>
        <w:tc>
          <w:tcPr>
            <w:tcW w:w="8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2"/>
        </w:trPr>
        <w:tc>
          <w:tcPr>
            <w:tcW w:w="556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7"/>
                <w:szCs w:val="17"/>
                <w:b w:val="1"/>
                <w:bCs w:val="1"/>
                <w:color w:val="auto"/>
              </w:rPr>
              <w:t>2020</w:t>
            </w:r>
          </w:p>
        </w:tc>
      </w:tr>
      <w:tr>
        <w:trPr>
          <w:trHeight w:val="241"/>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Expected term (in years)</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0.50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- 0.54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- 0.54</w:t>
            </w:r>
          </w:p>
        </w:tc>
      </w:tr>
      <w:tr>
        <w:trPr>
          <w:trHeight w:val="261"/>
        </w:trPr>
        <w:tc>
          <w:tcPr>
            <w:tcW w:w="5560" w:type="dxa"/>
            <w:vAlign w:val="bottom"/>
          </w:tcPr>
          <w:p>
            <w:pPr>
              <w:ind w:left="180"/>
              <w:spacing w:after="0"/>
              <w:rPr>
                <w:sz w:val="20"/>
                <w:szCs w:val="20"/>
                <w:color w:val="auto"/>
              </w:rPr>
            </w:pPr>
            <w:r>
              <w:rPr>
                <w:rFonts w:ascii="Arial" w:cs="Arial" w:eastAsia="Arial" w:hAnsi="Arial"/>
                <w:sz w:val="17"/>
                <w:szCs w:val="17"/>
                <w:color w:val="auto"/>
              </w:rPr>
              <w:t>Expected volatility</w:t>
            </w:r>
          </w:p>
        </w:tc>
        <w:tc>
          <w:tcPr>
            <w:tcW w:w="860" w:type="dxa"/>
            <w:vAlign w:val="bottom"/>
          </w:tcPr>
          <w:p>
            <w:pPr>
              <w:jc w:val="right"/>
              <w:spacing w:after="0"/>
              <w:rPr>
                <w:sz w:val="20"/>
                <w:szCs w:val="20"/>
                <w:color w:val="auto"/>
              </w:rPr>
            </w:pPr>
            <w:r>
              <w:rPr>
                <w:rFonts w:ascii="Arial" w:cs="Arial" w:eastAsia="Arial" w:hAnsi="Arial"/>
                <w:sz w:val="17"/>
                <w:szCs w:val="17"/>
                <w:color w:val="auto"/>
              </w:rPr>
              <w:t>56%</w:t>
            </w:r>
          </w:p>
        </w:tc>
        <w:tc>
          <w:tcPr>
            <w:tcW w:w="960" w:type="dxa"/>
            <w:vAlign w:val="bottom"/>
          </w:tcPr>
          <w:p>
            <w:pPr>
              <w:ind w:left="20"/>
              <w:spacing w:after="0"/>
              <w:rPr>
                <w:sz w:val="20"/>
                <w:szCs w:val="20"/>
                <w:color w:val="auto"/>
              </w:rPr>
            </w:pPr>
            <w:r>
              <w:rPr>
                <w:rFonts w:ascii="Arial" w:cs="Arial" w:eastAsia="Arial" w:hAnsi="Arial"/>
                <w:sz w:val="17"/>
                <w:szCs w:val="17"/>
                <w:color w:val="auto"/>
              </w:rPr>
              <w:t>- 61%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960" w:type="dxa"/>
            <w:vAlign w:val="bottom"/>
          </w:tcPr>
          <w:p>
            <w:pPr>
              <w:ind w:left="20"/>
              <w:spacing w:after="0"/>
              <w:rPr>
                <w:sz w:val="20"/>
                <w:szCs w:val="20"/>
                <w:color w:val="auto"/>
              </w:rPr>
            </w:pPr>
            <w:r>
              <w:rPr>
                <w:rFonts w:ascii="Arial" w:cs="Arial" w:eastAsia="Arial" w:hAnsi="Arial"/>
                <w:sz w:val="17"/>
                <w:szCs w:val="17"/>
                <w:color w:val="auto"/>
              </w:rPr>
              <w:t>- 64%</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960" w:type="dxa"/>
            <w:vAlign w:val="bottom"/>
          </w:tcPr>
          <w:p>
            <w:pPr>
              <w:ind w:left="20"/>
              <w:spacing w:after="0"/>
              <w:rPr>
                <w:sz w:val="20"/>
                <w:szCs w:val="20"/>
                <w:color w:val="auto"/>
              </w:rPr>
            </w:pPr>
            <w:r>
              <w:rPr>
                <w:rFonts w:ascii="Arial" w:cs="Arial" w:eastAsia="Arial" w:hAnsi="Arial"/>
                <w:sz w:val="17"/>
                <w:szCs w:val="17"/>
                <w:color w:val="auto"/>
              </w:rPr>
              <w:t>- 48%</w:t>
            </w:r>
          </w:p>
        </w:tc>
      </w:tr>
      <w:tr>
        <w:trPr>
          <w:trHeight w:val="262"/>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Risk-free interest rate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- 0.19%</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- 2.2%</w:t>
            </w:r>
          </w:p>
        </w:tc>
      </w:tr>
      <w:tr>
        <w:trPr>
          <w:trHeight w:val="261"/>
        </w:trPr>
        <w:tc>
          <w:tcPr>
            <w:tcW w:w="5560" w:type="dxa"/>
            <w:vAlign w:val="bottom"/>
          </w:tcPr>
          <w:p>
            <w:pPr>
              <w:ind w:left="180"/>
              <w:spacing w:after="0"/>
              <w:rPr>
                <w:sz w:val="20"/>
                <w:szCs w:val="20"/>
                <w:color w:val="auto"/>
              </w:rPr>
            </w:pPr>
            <w:r>
              <w:rPr>
                <w:rFonts w:ascii="Arial" w:cs="Arial" w:eastAsia="Arial" w:hAnsi="Arial"/>
                <w:sz w:val="17"/>
                <w:szCs w:val="17"/>
                <w:color w:val="auto"/>
              </w:rPr>
              <w:t>Dividend yield</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22"/>
                <w:szCs w:val="22"/>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7"/>
                <w:szCs w:val="17"/>
                <w:color w:val="auto"/>
                <w:w w:val="99"/>
              </w:rPr>
              <w:t>—%</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Early Exercise of Stock Options</w:t>
      </w:r>
    </w:p>
    <w:p>
      <w:pPr>
        <w:spacing w:after="0" w:line="170"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The Company allowed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(1) the then-current fair market value of the common stock on the date of repurchase and (2) the original purchase price. The proceeds initially are recorded in other current and non-current liabilities from the early exercise of stock options and reclassified to common stock and paid-in capital as the repurchase right lapses.</w:t>
      </w:r>
    </w:p>
    <w:p>
      <w:pPr>
        <w:spacing w:after="0" w:line="127" w:lineRule="exact"/>
        <w:rPr>
          <w:sz w:val="20"/>
          <w:szCs w:val="20"/>
          <w:color w:val="auto"/>
        </w:rPr>
      </w:pPr>
    </w:p>
    <w:p>
      <w:pPr>
        <w:ind w:right="80" w:firstLine="470"/>
        <w:spacing w:after="0" w:line="282" w:lineRule="auto"/>
        <w:rPr>
          <w:sz w:val="20"/>
          <w:szCs w:val="20"/>
          <w:color w:val="auto"/>
        </w:rPr>
      </w:pPr>
      <w:r>
        <w:rPr>
          <w:rFonts w:ascii="Arial" w:cs="Arial" w:eastAsia="Arial" w:hAnsi="Arial"/>
          <w:sz w:val="16"/>
          <w:szCs w:val="16"/>
          <w:color w:val="auto"/>
        </w:rPr>
        <w:t>For the year ended January 31, 2020, the Company issued common stock of 1,064 shares, respectively, for stock options exercised prior to vesting. There were no shares of the Company’s common stock issued during the year ended January 31, 2022 and 2021 for stock options exercised prior to vesting. The Company did not repurchase any shares of common stock related to unvested stock options during the year ended January 31, 2022. For the year ended January 31, 2021, the Company repurchased 960 shares of common stock related to unvested stock options at the original exercise price due to the termination of employees. As of January 31, 2022 there were no shares held by employees and directors that were subject to repurchase. As of January 31, 2021, there were 1,135 shares held by employees and directors that were subject to potential repurchase at an aggregate price of and $0.01 million.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Stock-Based Compensation Expense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20"/>
                <w:szCs w:val="20"/>
                <w:color w:val="auto"/>
              </w:rPr>
            </w:pPr>
          </w:p>
        </w:tc>
      </w:tr>
      <w:tr>
        <w:trPr>
          <w:trHeight w:val="222"/>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41"/>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Cost of revenue—subscription</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w:t>
            </w:r>
          </w:p>
        </w:tc>
      </w:tr>
      <w:tr>
        <w:trPr>
          <w:trHeight w:val="261"/>
        </w:trPr>
        <w:tc>
          <w:tcPr>
            <w:tcW w:w="6360" w:type="dxa"/>
            <w:vAlign w:val="bottom"/>
          </w:tcPr>
          <w:p>
            <w:pPr>
              <w:ind w:left="60"/>
              <w:spacing w:after="0"/>
              <w:rPr>
                <w:sz w:val="20"/>
                <w:szCs w:val="20"/>
                <w:color w:val="auto"/>
              </w:rPr>
            </w:pPr>
            <w:r>
              <w:rPr>
                <w:rFonts w:ascii="Arial" w:cs="Arial" w:eastAsia="Arial" w:hAnsi="Arial"/>
                <w:sz w:val="17"/>
                <w:szCs w:val="17"/>
                <w:color w:val="auto"/>
              </w:rPr>
              <w:t>Cost of revenue—services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3,047</w:t>
            </w:r>
          </w:p>
        </w:tc>
      </w:tr>
      <w:tr>
        <w:trPr>
          <w:trHeight w:val="262"/>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91,947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26,640</w:t>
            </w:r>
          </w:p>
        </w:tc>
      </w:tr>
      <w:tr>
        <w:trPr>
          <w:trHeight w:val="261"/>
        </w:trPr>
        <w:tc>
          <w:tcPr>
            <w:tcW w:w="6360" w:type="dxa"/>
            <w:vAlign w:val="bottom"/>
          </w:tcPr>
          <w:p>
            <w:pPr>
              <w:ind w:left="6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104,335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57,611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26,686</w:t>
            </w:r>
          </w:p>
        </w:tc>
      </w:tr>
      <w:tr>
        <w:trPr>
          <w:trHeight w:val="27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34,075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23,147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14,407</w:t>
            </w:r>
          </w:p>
        </w:tc>
      </w:tr>
      <w:tr>
        <w:trPr>
          <w:trHeight w:val="254"/>
        </w:trPr>
        <w:tc>
          <w:tcPr>
            <w:tcW w:w="6360" w:type="dxa"/>
            <w:vAlign w:val="bottom"/>
          </w:tcPr>
          <w:p>
            <w:pPr>
              <w:ind w:left="260"/>
              <w:spacing w:after="0"/>
              <w:rPr>
                <w:sz w:val="20"/>
                <w:szCs w:val="20"/>
                <w:color w:val="auto"/>
              </w:rPr>
            </w:pPr>
            <w:r>
              <w:rPr>
                <w:rFonts w:ascii="Arial" w:cs="Arial" w:eastAsia="Arial" w:hAnsi="Arial"/>
                <w:sz w:val="17"/>
                <w:szCs w:val="17"/>
                <w:color w:val="auto"/>
              </w:rPr>
              <w:t>Total stock-based compensation expense</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251,069</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149,313</w:t>
            </w:r>
          </w:p>
        </w:tc>
        <w:tc>
          <w:tcPr>
            <w:tcW w:w="100" w:type="dxa"/>
            <w:vAlign w:val="bottom"/>
          </w:tcPr>
          <w:p>
            <w:pPr>
              <w:spacing w:after="0"/>
              <w:rPr>
                <w:sz w:val="22"/>
                <w:szCs w:val="22"/>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75,776</w:t>
            </w: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Net Loss Per Share</w:t>
      </w:r>
    </w:p>
    <w:p>
      <w:pPr>
        <w:spacing w:after="0" w:line="17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details on the Company’s methodology for calculating net loss per share.</w:t>
      </w:r>
    </w:p>
    <w:p>
      <w:pPr>
        <w:spacing w:after="0" w:line="123"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Basic and diluted net loss per share was the same for each year presented, as the inclusion of all potential common shares outstanding would have been anti-dilutive due to the net loss reported for each year presented.</w:t>
      </w:r>
    </w:p>
    <w:p>
      <w:pPr>
        <w:spacing w:after="0" w:line="10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For periods in which there were Class B shares outstanding, the rights, including the liquidation and dividend rights, of the holders of Class A and Class B common stock were identical, except with respect to voting. Each share of Class A common stock was and is entitled to one vote per share and each share of Class B common stock was entitled to ten votes per share. As the liquidation and dividend rights were identical for Class A and Class B common stock, the undistributed earnings were allocated on a proportionate basis and the resulting net loss per share would, therefore, be the same for both Class A and Class B common stock on an individual or combined basis.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computation of basic and diluted net loss per share (in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Years Ended January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i w:val="1"/>
                <w:i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(306,866)</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(266,944)</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(175,522)</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i w:val="1"/>
                <w:iCs w:val="1"/>
                <w:color w:val="auto"/>
              </w:rPr>
              <w:t>Denominator:</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Arial" w:cs="Arial" w:eastAsia="Arial" w:hAnsi="Arial"/>
                <w:sz w:val="17"/>
                <w:szCs w:val="17"/>
                <w:color w:val="auto"/>
              </w:rPr>
              <w:t>Weighted-average shares used to compute net loss per share, basic and diluted</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64,563,032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58,984,604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55,939,032</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6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6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Prior to the adoption of ASU 2020-06, the Company calculated the potential dilutive effect of its 2024 Notes and 2026 Notes under the treasury stock method. As a result, only the amount by which the conversion value exceeded the aggregate principal amount of the 2024 Notes and 2026 Notes (the “conversion spread”) was considered in the diluted earnings per share computation. The conversion spread only had a dilutive impact on diluted net income per share when the average market price of the Company’s Class A common stock for a given period exceeded the initial conversion price of $68.15 per share for the 2024 Notes and $211.20 per share for the 2026 Notes.</w:t>
      </w:r>
    </w:p>
    <w:p>
      <w:pPr>
        <w:spacing w:after="0" w:line="127"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Upon the adoption of ASU 2020-06 on February 1, 2021, the Company calculates the potential dilutive effect of its 2024 Notes and 2026 Notes under the if-converted method. Under this method, diluted earnings per share is determined by assuming that all of the 2024 Notes and 2026 Notes were converted into shares of the Company’s Class A common stock at the beginning of the reporting period.</w:t>
      </w:r>
    </w:p>
    <w:p>
      <w:pPr>
        <w:spacing w:after="0" w:line="119"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Class A common stock upon any conversion of the 2024 Notes and 2026 Notes.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Years Ended January 31,</w:t>
            </w:r>
          </w:p>
        </w:tc>
        <w:tc>
          <w:tcPr>
            <w:tcW w:w="1220" w:type="dxa"/>
            <w:vAlign w:val="bottom"/>
            <w:tcBorders>
              <w:bottom w:val="single" w:sz="8" w:color="auto"/>
            </w:tcBorders>
          </w:tcPr>
          <w:p>
            <w:pPr>
              <w:spacing w:after="0"/>
              <w:rPr>
                <w:sz w:val="20"/>
                <w:szCs w:val="20"/>
                <w:color w:val="auto"/>
              </w:rPr>
            </w:pPr>
          </w:p>
        </w:tc>
      </w:tr>
      <w:tr>
        <w:trPr>
          <w:trHeight w:val="222"/>
        </w:trPr>
        <w:tc>
          <w:tcPr>
            <w:tcW w:w="250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41"/>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2"/>
              </w:rPr>
              <w:t>Stock options pursuant to the 2016</w:t>
            </w: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Incentive Plan</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778,172</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1,340,476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2,145,462</w:t>
            </w:r>
          </w:p>
        </w:tc>
      </w:tr>
      <w:tr>
        <w:trPr>
          <w:trHeight w:val="223"/>
        </w:trPr>
        <w:tc>
          <w:tcPr>
            <w:tcW w:w="2500" w:type="dxa"/>
            <w:vAlign w:val="bottom"/>
          </w:tcPr>
          <w:p>
            <w:pPr>
              <w:ind w:left="60"/>
              <w:spacing w:after="0"/>
              <w:rPr>
                <w:sz w:val="20"/>
                <w:szCs w:val="20"/>
                <w:color w:val="auto"/>
              </w:rPr>
            </w:pPr>
            <w:r>
              <w:rPr>
                <w:rFonts w:ascii="Arial" w:cs="Arial" w:eastAsia="Arial" w:hAnsi="Arial"/>
                <w:sz w:val="17"/>
                <w:szCs w:val="17"/>
                <w:color w:val="auto"/>
                <w:w w:val="92"/>
              </w:rPr>
              <w:t>Stock options pursuant to the 2008</w:t>
            </w:r>
          </w:p>
        </w:tc>
        <w:tc>
          <w:tcPr>
            <w:tcW w:w="3860" w:type="dxa"/>
            <w:vAlign w:val="bottom"/>
          </w:tcPr>
          <w:p>
            <w:pPr>
              <w:ind w:left="20"/>
              <w:spacing w:after="0"/>
              <w:rPr>
                <w:sz w:val="20"/>
                <w:szCs w:val="20"/>
                <w:color w:val="auto"/>
              </w:rPr>
            </w:pPr>
            <w:r>
              <w:rPr>
                <w:rFonts w:ascii="Arial" w:cs="Arial" w:eastAsia="Arial" w:hAnsi="Arial"/>
                <w:sz w:val="17"/>
                <w:szCs w:val="17"/>
                <w:color w:val="auto"/>
                <w:w w:val="96"/>
              </w:rPr>
              <w:t>Stock Incentive Plan (previously options to purchase</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7"/>
        </w:trPr>
        <w:tc>
          <w:tcPr>
            <w:tcW w:w="2500" w:type="dxa"/>
            <w:vAlign w:val="bottom"/>
          </w:tcPr>
          <w:p>
            <w:pPr>
              <w:ind w:left="180"/>
              <w:spacing w:after="0"/>
              <w:rPr>
                <w:sz w:val="20"/>
                <w:szCs w:val="20"/>
                <w:color w:val="auto"/>
              </w:rPr>
            </w:pPr>
            <w:r>
              <w:rPr>
                <w:rFonts w:ascii="Arial" w:cs="Arial" w:eastAsia="Arial" w:hAnsi="Arial"/>
                <w:sz w:val="17"/>
                <w:szCs w:val="17"/>
                <w:color w:val="auto"/>
              </w:rPr>
              <w:t>Class B common stock)</w:t>
            </w:r>
          </w:p>
        </w:tc>
        <w:tc>
          <w:tcPr>
            <w:tcW w:w="38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2,391,439</w:t>
            </w: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3,759,063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5,076,831</w:t>
            </w:r>
          </w:p>
        </w:tc>
      </w:tr>
      <w:tr>
        <w:trPr>
          <w:trHeight w:val="262"/>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Unvested restricted stock units</w:t>
            </w:r>
          </w:p>
        </w:tc>
        <w:tc>
          <w:tcPr>
            <w:tcW w:w="38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3,680,895</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3,864,504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2,914,575</w:t>
            </w:r>
          </w:p>
        </w:tc>
      </w:tr>
      <w:tr>
        <w:trPr>
          <w:trHeight w:val="261"/>
        </w:trPr>
        <w:tc>
          <w:tcPr>
            <w:tcW w:w="2500" w:type="dxa"/>
            <w:vAlign w:val="bottom"/>
          </w:tcPr>
          <w:p>
            <w:pPr>
              <w:ind w:left="60"/>
              <w:spacing w:after="0"/>
              <w:rPr>
                <w:sz w:val="20"/>
                <w:szCs w:val="20"/>
                <w:color w:val="auto"/>
              </w:rPr>
            </w:pPr>
            <w:r>
              <w:rPr>
                <w:rFonts w:ascii="Arial" w:cs="Arial" w:eastAsia="Arial" w:hAnsi="Arial"/>
                <w:sz w:val="17"/>
                <w:szCs w:val="17"/>
                <w:color w:val="auto"/>
              </w:rPr>
              <w:t>Early exercised stock options</w:t>
            </w:r>
          </w:p>
        </w:tc>
        <w:tc>
          <w:tcPr>
            <w:tcW w:w="38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102</w:t>
            </w: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5,032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29,532</w:t>
            </w:r>
          </w:p>
        </w:tc>
      </w:tr>
      <w:tr>
        <w:trPr>
          <w:trHeight w:val="223"/>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Shares underlying the conversion option of the 2024 Notes (conversion spread only prior</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8"/>
        </w:trPr>
        <w:tc>
          <w:tcPr>
            <w:tcW w:w="25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to the adoption of ASU 2020-06)</w:t>
            </w:r>
          </w:p>
        </w:tc>
        <w:tc>
          <w:tcPr>
            <w:tcW w:w="3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231,637</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889,755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2,112,279</w:t>
            </w:r>
          </w:p>
        </w:tc>
      </w:tr>
      <w:tr>
        <w:trPr>
          <w:trHeight w:val="223"/>
        </w:trPr>
        <w:tc>
          <w:tcPr>
            <w:tcW w:w="6360" w:type="dxa"/>
            <w:vAlign w:val="bottom"/>
            <w:gridSpan w:val="2"/>
          </w:tcPr>
          <w:p>
            <w:pPr>
              <w:ind w:left="60"/>
              <w:spacing w:after="0"/>
              <w:rPr>
                <w:sz w:val="20"/>
                <w:szCs w:val="20"/>
                <w:color w:val="auto"/>
              </w:rPr>
            </w:pPr>
            <w:r>
              <w:rPr>
                <w:rFonts w:ascii="Arial" w:cs="Arial" w:eastAsia="Arial" w:hAnsi="Arial"/>
                <w:sz w:val="17"/>
                <w:szCs w:val="17"/>
                <w:color w:val="auto"/>
                <w:w w:val="94"/>
              </w:rPr>
              <w:t>Shares underlying the conversion option of the 2026 Notes (conversion spread only prior</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7"/>
        </w:trPr>
        <w:tc>
          <w:tcPr>
            <w:tcW w:w="25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4"/>
              </w:rPr>
              <w:t>to the adoption of ASU 2020-06)</w:t>
            </w:r>
          </w:p>
        </w:tc>
        <w:tc>
          <w:tcPr>
            <w:tcW w:w="38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5,445,107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38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12,527,352</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10,309,699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12,278,679</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loss before provision for (benefit from) income taxes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(117,943)</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(58,235)</w:t>
            </w:r>
          </w:p>
        </w:tc>
      </w:tr>
      <w:tr>
        <w:trPr>
          <w:trHeight w:val="24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(176,178)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8020" w:type="dxa"/>
            <w:vAlign w:val="bottom"/>
            <w:gridSpan w:val="4"/>
          </w:tcPr>
          <w:p>
            <w:pPr>
              <w:ind w:left="480"/>
              <w:spacing w:after="0"/>
              <w:rPr>
                <w:sz w:val="20"/>
                <w:szCs w:val="20"/>
                <w:color w:val="auto"/>
              </w:rPr>
            </w:pPr>
            <w:r>
              <w:rPr>
                <w:rFonts w:ascii="Arial" w:cs="Arial" w:eastAsia="Arial" w:hAnsi="Arial"/>
                <w:sz w:val="17"/>
                <w:szCs w:val="17"/>
                <w:color w:val="auto"/>
              </w:rPr>
              <w:t>The components of the provision for (benefit from) income taxes were as follows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24"/>
                <w:szCs w:val="24"/>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22"/>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2,028</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(1,336)</w:t>
            </w: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1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(3,292)</w:t>
            </w:r>
          </w:p>
        </w:tc>
      </w:tr>
      <w:tr>
        <w:trPr>
          <w:trHeight w:val="24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items accounting for the difference between income taxes computed at the federal statutory income tax rate and the provision for (benefit from)</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income taxes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at statutory rate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(36,997)</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298</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foreign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Foreign branch income included in the United States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(41,800)</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Non-deductible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2,114</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Officer compensation in excess of $1 million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72,263</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Foreign tax credit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withholding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Prior year true ups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5"/>
        </w:trPr>
        <w:tc>
          <w:tcPr>
            <w:tcW w:w="6360" w:type="dxa"/>
            <w:vAlign w:val="bottom"/>
          </w:tcPr>
          <w:p>
            <w:pPr>
              <w:ind w:left="140"/>
              <w:spacing w:after="0"/>
              <w:rPr>
                <w:sz w:val="20"/>
                <w:szCs w:val="20"/>
                <w:color w:val="auto"/>
              </w:rPr>
            </w:pPr>
            <w:r>
              <w:rPr>
                <w:rFonts w:ascii="Arial" w:cs="Arial" w:eastAsia="Arial" w:hAnsi="Arial"/>
                <w:sz w:val="17"/>
                <w:szCs w:val="17"/>
                <w:color w:val="auto"/>
              </w:rPr>
              <w:t>Provision for (benefit from) income taxes</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(656)</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20" w:firstLine="470"/>
        <w:spacing w:after="0" w:line="251" w:lineRule="auto"/>
        <w:rPr>
          <w:sz w:val="20"/>
          <w:szCs w:val="20"/>
          <w:color w:val="auto"/>
        </w:rPr>
      </w:pPr>
      <w:r>
        <w:rPr>
          <w:rFonts w:ascii="Arial" w:cs="Arial" w:eastAsia="Arial" w:hAnsi="Arial"/>
          <w:sz w:val="17"/>
          <w:szCs w:val="17"/>
          <w:color w:val="auto"/>
        </w:rPr>
        <w:t>The provision for income taxes during the year ended January 31, 2022 and January 31, 2021 was primarily due to foreign taxes as the Company continued its global expansion. The overall provision for income taxes decreased for the year ended January 31, 2022, as compared to prior year, due to a reduction in the valuation allowance as a result of goodwill from an immaterial business combination and the impact from the adoption of ASU 2020-06, partly offset by higher foreign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Income Taxes</w:t>
      </w:r>
    </w:p>
    <w:p>
      <w:pPr>
        <w:spacing w:after="0" w:line="170"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740" w:firstLine="470"/>
        <w:spacing w:after="0" w:line="288" w:lineRule="auto"/>
        <w:rPr>
          <w:sz w:val="20"/>
          <w:szCs w:val="20"/>
          <w:color w:val="auto"/>
        </w:rPr>
      </w:pPr>
      <w:r>
        <w:rPr>
          <w:rFonts w:ascii="Arial" w:cs="Arial" w:eastAsia="Arial" w:hAnsi="Arial"/>
          <w:sz w:val="17"/>
          <w:szCs w:val="17"/>
          <w:color w:val="auto"/>
        </w:rPr>
        <w:t>Significant components of the Company’s deferred tax assets are shown in the following table as of January 31, 2022 and 2021, respectively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7"/>
                <w:szCs w:val="17"/>
                <w:b w:val="1"/>
                <w:bCs w:val="1"/>
                <w:color w:val="auto"/>
              </w:rPr>
              <w:t>Years Ended January 31,</w:t>
            </w:r>
          </w:p>
        </w:tc>
      </w:tr>
      <w:tr>
        <w:trPr>
          <w:trHeight w:val="215"/>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636,011</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416,887</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36,467</w:t>
            </w: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Finance and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23,184</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reserves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18,020</w:t>
            </w:r>
          </w:p>
        </w:tc>
      </w:tr>
      <w:tr>
        <w:trPr>
          <w:trHeight w:val="215"/>
        </w:trPr>
        <w:tc>
          <w:tcPr>
            <w:tcW w:w="8020" w:type="dxa"/>
            <w:vAlign w:val="bottom"/>
          </w:tcPr>
          <w:p>
            <w:pPr>
              <w:ind w:left="220"/>
              <w:spacing w:after="0"/>
              <w:rPr>
                <w:sz w:val="20"/>
                <w:szCs w:val="20"/>
                <w:color w:val="auto"/>
              </w:rPr>
            </w:pPr>
            <w:r>
              <w:rPr>
                <w:rFonts w:ascii="Arial" w:cs="Arial" w:eastAsia="Arial" w:hAnsi="Arial"/>
                <w:sz w:val="17"/>
                <w:szCs w:val="17"/>
                <w:color w:val="auto"/>
              </w:rPr>
              <w:t>Gross deferred tax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747,736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494,558</w:t>
            </w: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(677,283)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(374,790)</w:t>
            </w:r>
          </w:p>
        </w:tc>
      </w:tr>
      <w:tr>
        <w:trPr>
          <w:trHeight w:val="215"/>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deferred tax assets, net of valuation allowance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119,768</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Finance and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(15,907)</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Convertible senior notes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(68,877)</w:t>
            </w: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Deferred commission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(25,605)</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 and accruals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(9,155)</w:t>
            </w:r>
          </w:p>
        </w:tc>
      </w:tr>
      <w:tr>
        <w:trPr>
          <w:trHeight w:val="215"/>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deferred tax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(119,544)</w:t>
            </w:r>
          </w:p>
        </w:tc>
      </w:tr>
      <w:tr>
        <w:trPr>
          <w:trHeight w:val="24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20" w:firstLine="470"/>
        <w:spacing w:after="0" w:line="261" w:lineRule="auto"/>
        <w:rPr>
          <w:sz w:val="20"/>
          <w:szCs w:val="20"/>
          <w:color w:val="auto"/>
        </w:rPr>
      </w:pPr>
      <w:r>
        <w:rPr>
          <w:rFonts w:ascii="Arial" w:cs="Arial" w:eastAsia="Arial" w:hAnsi="Arial"/>
          <w:sz w:val="17"/>
          <w:szCs w:val="17"/>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2022 and 2021 was $677.3 million and $374.8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32"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As of January 31, 2022 the Company had net operating loss carryforwards for U.S. federal, state, Irish and U.K. income tax purposes of $1.9 billion, $1.7 billion, $558.4 million and $44.1 million, respectively, which begin to expire in the year ending January 31, 2028 for U.S. federal purposes and January 31, 2023 for state purposes. Operating losses in the United States, for years after January 31, 2018, in Ireland and the United Kingdom may be carried forward indefinitely. The Company also has U.S. federal and state research credit carryforwards of $70.6 million and $6.6 million, respectively, which begin to expire in the year ending January 31, 2029 for federal purposes and January 31, 2025 for state purposes.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Uncertain Tax Positions</w:t>
      </w:r>
    </w:p>
    <w:p>
      <w:pPr>
        <w:spacing w:after="0" w:line="170"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 xml:space="preserve">The calculation of the Company’s tax obligations involves dealing with uncertainties in the application of complex tax laws and regulations. 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 likely than not that the position will be sustained</w:t>
      </w:r>
      <w:r>
        <w:rPr>
          <w:rFonts w:ascii="Arial" w:cs="Arial" w:eastAsia="Arial" w:hAnsi="Arial"/>
          <w:sz w:val="17"/>
          <w:szCs w:val="17"/>
          <w:i w:val="1"/>
          <w:iCs w:val="1"/>
          <w:color w:val="auto"/>
        </w:rPr>
        <w:t xml:space="preserve"> </w:t>
      </w:r>
      <w:r>
        <w:rPr>
          <w:rFonts w:ascii="Arial" w:cs="Arial" w:eastAsia="Arial" w:hAnsi="Arial"/>
          <w:sz w:val="17"/>
          <w:szCs w:val="17"/>
          <w:color w:val="auto"/>
        </w:rPr>
        <w:t>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7"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its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the Company’s unrecognized gross tax benefits during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at beginning of year</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17,484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w:t>
            </w: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Increase (decrease) in tax positions in prior years</w:t>
            </w:r>
          </w:p>
        </w:tc>
        <w:tc>
          <w:tcPr>
            <w:tcW w:w="9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based on tax positions in the current year</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Unrecognized tax benefits at end of year</w:t>
            </w:r>
          </w:p>
        </w:tc>
        <w:tc>
          <w:tcPr>
            <w:tcW w:w="98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22,698</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17,484</w:t>
            </w:r>
          </w:p>
        </w:tc>
        <w:tc>
          <w:tcPr>
            <w:tcW w:w="100" w:type="dxa"/>
            <w:vAlign w:val="bottom"/>
          </w:tcPr>
          <w:p>
            <w:pPr>
              <w:spacing w:after="0"/>
              <w:rPr>
                <w:sz w:val="18"/>
                <w:szCs w:val="18"/>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5,290</w:t>
            </w:r>
          </w:p>
        </w:tc>
      </w:tr>
      <w:tr>
        <w:trPr>
          <w:trHeight w:val="20"/>
        </w:trPr>
        <w:tc>
          <w:tcPr>
            <w:tcW w:w="6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31, 2022, unrecognized tax benefits would not have any impact on the Company’s effective tax rate if recognized.</w:t>
      </w:r>
    </w:p>
    <w:p>
      <w:pPr>
        <w:spacing w:after="0" w:line="170"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The Company continues to monitor and apply its permanent reinvestment of foreign earnings assertion under the rules of the Tax Act. The Company has not provided for U.S. federal income and foreign withholding taxes on approximately $3.4 million of undistributed earnings from non-U.S. operations as of January 31, 2022 because the Company intends to reinvest such earnings indefinitely outside of the United States. If the Company were to distribute these earnings, foreign tax credits may become available under current law to reduce the resulting U.S. income tax liability. The Company has estimated the amount of unrecognized deferred tax liability related to these earnings to be approximately $0.5 million.</w:t>
      </w:r>
    </w:p>
    <w:p>
      <w:pPr>
        <w:spacing w:after="0" w:line="127"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foreign jurisdictions These foreign returns are open to examination for the fiscal years ending January 31, 2014 through January 31, 2021.</w:t>
      </w:r>
    </w:p>
    <w:p>
      <w:pPr>
        <w:spacing w:after="0" w:line="114" w:lineRule="exact"/>
        <w:rPr>
          <w:sz w:val="20"/>
          <w:szCs w:val="20"/>
          <w:color w:val="auto"/>
        </w:rPr>
      </w:pPr>
    </w:p>
    <w:p>
      <w:pPr>
        <w:ind w:right="120" w:firstLine="470"/>
        <w:spacing w:after="0" w:line="307" w:lineRule="auto"/>
        <w:rPr>
          <w:sz w:val="20"/>
          <w:szCs w:val="20"/>
          <w:color w:val="auto"/>
        </w:rPr>
      </w:pPr>
      <w:r>
        <w:rPr>
          <w:rFonts w:ascii="Arial" w:cs="Arial" w:eastAsia="Arial" w:hAnsi="Arial"/>
          <w:sz w:val="15"/>
          <w:szCs w:val="15"/>
          <w:color w:val="auto"/>
        </w:rPr>
        <w:t>The Coronavirus Aid, Relief, and Economic Security (“CARES”) Act was enacted into U.S. federal law on March 27, 2020. The CARES Act provided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The Company evaluated the provisions of the CARES Act and concluded that there was no material impact on its financial statements. The tax effects of other related foreign government assistance enacted into law in response to the Covid-19 pandemic are also not material to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6"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26" w:lineRule="exact"/>
        <w:rPr>
          <w:sz w:val="20"/>
          <w:szCs w:val="20"/>
          <w:color w:val="auto"/>
        </w:rPr>
      </w:pPr>
    </w:p>
    <w:p>
      <w:pPr>
        <w:ind w:right="180" w:firstLine="470"/>
        <w:spacing w:after="0" w:line="324"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January 31, 2022. Based on the evaluation of our disclosure controls and procedures as of January 31, 2022,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6"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2022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23"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2022. The effectiveness of our internal control over financial reporting as of January 31, 2022 has been audited by PricewaterhouseCoopers LLP, an independent registered public accounting firm, as stated in its report, which is included in Item 8 of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6"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There was no change in our internal control over financial reporting identified in connection with the evaluation required by Rule 13a-15(d) and Rule 15d-15(d) of the Exchange Act that occurred during the fiscal quarter ended January 31, 2022 that has materially affected, or is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7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15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PART III</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6" w:lineRule="exact"/>
        <w:rPr>
          <w:sz w:val="20"/>
          <w:szCs w:val="20"/>
          <w:color w:val="auto"/>
        </w:rPr>
      </w:pPr>
    </w:p>
    <w:p>
      <w:pPr>
        <w:ind w:right="560" w:firstLine="470"/>
        <w:spacing w:after="0" w:line="321"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2022 Proxy Statement to be filed with the SEC within 120 days after the end of our fiscal year ended January 31, 2022 and is incorporated herein by reference.</w:t>
      </w:r>
    </w:p>
    <w:p>
      <w:pPr>
        <w:spacing w:after="0" w:line="83"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IV</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Documents filed as part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All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auto"/>
            </w:tcBorders>
          </w:tcPr>
          <w:p>
            <w:pPr>
              <w:spacing w:after="0"/>
              <w:rPr>
                <w:sz w:val="16"/>
                <w:szCs w:val="16"/>
                <w:color w:val="auto"/>
              </w:rPr>
            </w:pPr>
          </w:p>
        </w:tc>
        <w:tc>
          <w:tcPr>
            <w:tcW w:w="94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1"/>
        </w:trPr>
        <w:tc>
          <w:tcPr>
            <w:tcW w:w="20" w:type="dxa"/>
            <w:vAlign w:val="bottom"/>
          </w:tcPr>
          <w:p>
            <w:pPr>
              <w:spacing w:after="0"/>
              <w:rPr>
                <w:sz w:val="15"/>
                <w:szCs w:val="15"/>
                <w:color w:val="auto"/>
              </w:rPr>
            </w:pPr>
          </w:p>
        </w:tc>
        <w:tc>
          <w:tcPr>
            <w:tcW w:w="5360" w:type="dxa"/>
            <w:vAlign w:val="bottom"/>
            <w:gridSpan w:val="4"/>
          </w:tcPr>
          <w:p>
            <w:pPr>
              <w:spacing w:after="0" w:line="181" w:lineRule="exact"/>
              <w:rPr>
                <w:rFonts w:ascii="Arial" w:cs="Arial" w:eastAsia="Arial" w:hAnsi="Arial"/>
                <w:sz w:val="17"/>
                <w:szCs w:val="17"/>
                <w:color w:val="0000FF"/>
                <w:w w:val="94"/>
              </w:rPr>
            </w:pPr>
            <w:hyperlink w:anchor="page65">
              <w:r>
                <w:rPr>
                  <w:rFonts w:ascii="Arial" w:cs="Arial" w:eastAsia="Arial" w:hAnsi="Arial"/>
                  <w:sz w:val="17"/>
                  <w:szCs w:val="17"/>
                  <w:color w:val="0000FF"/>
                  <w:w w:val="94"/>
                </w:rPr>
                <w:t>Report of Independent Registered Public Accounting Firm (PCAOB ID 238)</w:t>
              </w:r>
            </w:hyperlink>
          </w:p>
        </w:tc>
        <w:tc>
          <w:tcPr>
            <w:tcW w:w="4040" w:type="dxa"/>
            <w:vAlign w:val="bottom"/>
            <w:gridSpan w:val="5"/>
          </w:tcPr>
          <w:p>
            <w:pPr>
              <w:spacing w:after="0"/>
              <w:rPr>
                <w:sz w:val="15"/>
                <w:szCs w:val="15"/>
                <w:color w:val="auto"/>
              </w:rPr>
            </w:pPr>
          </w:p>
        </w:tc>
        <w:tc>
          <w:tcPr>
            <w:tcW w:w="1820" w:type="dxa"/>
            <w:vAlign w:val="bottom"/>
            <w:gridSpan w:val="3"/>
          </w:tcPr>
          <w:p>
            <w:pPr>
              <w:jc w:val="right"/>
              <w:ind w:right="20"/>
              <w:spacing w:after="0" w:line="181" w:lineRule="exact"/>
              <w:rPr>
                <w:rFonts w:ascii="Arial" w:cs="Arial" w:eastAsia="Arial" w:hAnsi="Arial"/>
                <w:sz w:val="17"/>
                <w:szCs w:val="17"/>
                <w:color w:val="0000FF"/>
              </w:rPr>
            </w:pPr>
            <w:hyperlink w:anchor="page65">
              <w:r>
                <w:rPr>
                  <w:rFonts w:ascii="Arial" w:cs="Arial" w:eastAsia="Arial" w:hAnsi="Arial"/>
                  <w:sz w:val="17"/>
                  <w:szCs w:val="17"/>
                  <w:color w:val="0000FF"/>
                </w:rPr>
                <w:t>63</w:t>
              </w:r>
            </w:hyperlink>
          </w:p>
        </w:tc>
      </w:tr>
      <w:tr>
        <w:trPr>
          <w:trHeight w:val="241"/>
        </w:trPr>
        <w:tc>
          <w:tcPr>
            <w:tcW w:w="20" w:type="dxa"/>
            <w:vAlign w:val="bottom"/>
          </w:tcPr>
          <w:p>
            <w:pPr>
              <w:spacing w:after="0"/>
              <w:rPr>
                <w:sz w:val="20"/>
                <w:szCs w:val="20"/>
                <w:color w:val="auto"/>
              </w:rPr>
            </w:pPr>
          </w:p>
        </w:tc>
        <w:tc>
          <w:tcPr>
            <w:tcW w:w="53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Financial Statements:</w:t>
            </w:r>
          </w:p>
        </w:tc>
        <w:tc>
          <w:tcPr>
            <w:tcW w:w="4040" w:type="dxa"/>
            <w:vAlign w:val="bottom"/>
            <w:gridSpan w:val="5"/>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0" w:type="dxa"/>
            <w:vAlign w:val="bottom"/>
            <w:gridSpan w:val="8"/>
          </w:tcPr>
          <w:p>
            <w:pPr>
              <w:spacing w:after="0" w:line="183" w:lineRule="exact"/>
              <w:rPr>
                <w:rFonts w:ascii="Arial" w:cs="Arial" w:eastAsia="Arial" w:hAnsi="Arial"/>
                <w:sz w:val="17"/>
                <w:szCs w:val="17"/>
                <w:color w:val="0000FF"/>
              </w:rPr>
            </w:pPr>
            <w:hyperlink w:anchor="page67">
              <w:r>
                <w:rPr>
                  <w:rFonts w:ascii="Arial" w:cs="Arial" w:eastAsia="Arial" w:hAnsi="Arial"/>
                  <w:sz w:val="17"/>
                  <w:szCs w:val="17"/>
                  <w:color w:val="0000FF"/>
                </w:rPr>
                <w:t>Consolidated Balance Sheets as of January 31, 2022 and 2021</w:t>
              </w:r>
            </w:hyperlink>
          </w:p>
        </w:tc>
        <w:tc>
          <w:tcPr>
            <w:tcW w:w="1820" w:type="dxa"/>
            <w:vAlign w:val="bottom"/>
            <w:gridSpan w:val="3"/>
          </w:tcPr>
          <w:p>
            <w:pPr>
              <w:jc w:val="right"/>
              <w:ind w:right="20"/>
              <w:spacing w:after="0" w:line="183" w:lineRule="exact"/>
              <w:rPr>
                <w:rFonts w:ascii="Arial" w:cs="Arial" w:eastAsia="Arial" w:hAnsi="Arial"/>
                <w:sz w:val="17"/>
                <w:szCs w:val="17"/>
                <w:color w:val="0000FF"/>
              </w:rPr>
            </w:pPr>
            <w:hyperlink w:anchor="page67">
              <w:r>
                <w:rPr>
                  <w:rFonts w:ascii="Arial" w:cs="Arial" w:eastAsia="Arial" w:hAnsi="Arial"/>
                  <w:sz w:val="17"/>
                  <w:szCs w:val="17"/>
                  <w:color w:val="0000FF"/>
                </w:rPr>
                <w:t>65</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rFonts w:ascii="Arial" w:cs="Arial" w:eastAsia="Arial" w:hAnsi="Arial"/>
                <w:sz w:val="17"/>
                <w:szCs w:val="17"/>
                <w:color w:val="0000FF"/>
                <w:w w:val="91"/>
              </w:rPr>
            </w:pPr>
            <w:hyperlink w:anchor="page68">
              <w:r>
                <w:rPr>
                  <w:rFonts w:ascii="Arial" w:cs="Arial" w:eastAsia="Arial" w:hAnsi="Arial"/>
                  <w:sz w:val="17"/>
                  <w:szCs w:val="17"/>
                  <w:color w:val="0000FF"/>
                  <w:w w:val="91"/>
                </w:rPr>
                <w:t>Consolidated Statements of Operations for the years ended January 31, 2022, 2021 and 2020</w:t>
              </w:r>
            </w:hyperlink>
          </w:p>
        </w:tc>
        <w:tc>
          <w:tcPr>
            <w:tcW w:w="2740" w:type="dxa"/>
            <w:vAlign w:val="bottom"/>
            <w:gridSpan w:val="3"/>
          </w:tcPr>
          <w:p>
            <w:pPr>
              <w:spacing w:after="0"/>
              <w:rPr>
                <w:sz w:val="17"/>
                <w:szCs w:val="17"/>
                <w:color w:val="auto"/>
              </w:rPr>
            </w:pPr>
          </w:p>
        </w:tc>
        <w:tc>
          <w:tcPr>
            <w:tcW w:w="1820" w:type="dxa"/>
            <w:vAlign w:val="bottom"/>
            <w:gridSpan w:val="3"/>
          </w:tcPr>
          <w:p>
            <w:pPr>
              <w:jc w:val="right"/>
              <w:ind w:right="20"/>
              <w:spacing w:after="0"/>
              <w:rPr>
                <w:rFonts w:ascii="Arial" w:cs="Arial" w:eastAsia="Arial" w:hAnsi="Arial"/>
                <w:sz w:val="17"/>
                <w:szCs w:val="17"/>
                <w:color w:val="0000FF"/>
              </w:rPr>
            </w:pPr>
            <w:hyperlink w:anchor="page68">
              <w:r>
                <w:rPr>
                  <w:rFonts w:ascii="Arial" w:cs="Arial" w:eastAsia="Arial" w:hAnsi="Arial"/>
                  <w:sz w:val="17"/>
                  <w:szCs w:val="17"/>
                  <w:color w:val="0000FF"/>
                </w:rPr>
                <w:t>66</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rFonts w:ascii="Arial" w:cs="Arial" w:eastAsia="Arial" w:hAnsi="Arial"/>
                <w:sz w:val="17"/>
                <w:szCs w:val="17"/>
                <w:color w:val="0000FF"/>
                <w:w w:val="91"/>
              </w:rPr>
            </w:pPr>
            <w:hyperlink w:anchor="page69">
              <w:r>
                <w:rPr>
                  <w:rFonts w:ascii="Arial" w:cs="Arial" w:eastAsia="Arial" w:hAnsi="Arial"/>
                  <w:sz w:val="17"/>
                  <w:szCs w:val="17"/>
                  <w:color w:val="0000FF"/>
                  <w:w w:val="91"/>
                </w:rPr>
                <w:t>Consolidated Statements of Comprehensive Loss for the years ended January 31, 2022, 2021 and 2020</w:t>
              </w:r>
            </w:hyperlink>
          </w:p>
        </w:tc>
        <w:tc>
          <w:tcPr>
            <w:tcW w:w="2040" w:type="dxa"/>
            <w:vAlign w:val="bottom"/>
            <w:gridSpan w:val="2"/>
          </w:tcPr>
          <w:p>
            <w:pPr>
              <w:spacing w:after="0"/>
              <w:rPr>
                <w:sz w:val="17"/>
                <w:szCs w:val="17"/>
                <w:color w:val="auto"/>
              </w:rPr>
            </w:pPr>
          </w:p>
        </w:tc>
        <w:tc>
          <w:tcPr>
            <w:tcW w:w="1820" w:type="dxa"/>
            <w:vAlign w:val="bottom"/>
            <w:gridSpan w:val="3"/>
          </w:tcPr>
          <w:p>
            <w:pPr>
              <w:jc w:val="right"/>
              <w:ind w:right="20"/>
              <w:spacing w:after="0"/>
              <w:rPr>
                <w:rFonts w:ascii="Arial" w:cs="Arial" w:eastAsia="Arial" w:hAnsi="Arial"/>
                <w:sz w:val="17"/>
                <w:szCs w:val="17"/>
                <w:color w:val="0000FF"/>
              </w:rPr>
            </w:pPr>
            <w:hyperlink w:anchor="page69">
              <w:r>
                <w:rPr>
                  <w:rFonts w:ascii="Arial" w:cs="Arial" w:eastAsia="Arial" w:hAnsi="Arial"/>
                  <w:sz w:val="17"/>
                  <w:szCs w:val="17"/>
                  <w:color w:val="0000FF"/>
                </w:rPr>
                <w:t>67</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gridSpan w:val="8"/>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Consolidated Statements of Stockholders’ Equity (Deficit) for the years ended January 31, 2022, 2021 and 2020</w:t>
              </w:r>
            </w:hyperlink>
          </w:p>
        </w:tc>
        <w:tc>
          <w:tcPr>
            <w:tcW w:w="1820" w:type="dxa"/>
            <w:vAlign w:val="bottom"/>
            <w:gridSpan w:val="3"/>
          </w:tcPr>
          <w:p>
            <w:pPr>
              <w:jc w:val="right"/>
              <w:ind w:right="20"/>
              <w:spacing w:after="0"/>
              <w:rPr>
                <w:rFonts w:ascii="Arial" w:cs="Arial" w:eastAsia="Arial" w:hAnsi="Arial"/>
                <w:sz w:val="17"/>
                <w:szCs w:val="17"/>
                <w:color w:val="0000FF"/>
              </w:rPr>
            </w:pPr>
            <w:hyperlink w:anchor="page70">
              <w:r>
                <w:rPr>
                  <w:rFonts w:ascii="Arial" w:cs="Arial" w:eastAsia="Arial" w:hAnsi="Arial"/>
                  <w:sz w:val="17"/>
                  <w:szCs w:val="17"/>
                  <w:color w:val="0000FF"/>
                </w:rPr>
                <w:t>68</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rFonts w:ascii="Arial" w:cs="Arial" w:eastAsia="Arial" w:hAnsi="Arial"/>
                <w:sz w:val="17"/>
                <w:szCs w:val="17"/>
                <w:color w:val="0000FF"/>
                <w:w w:val="91"/>
              </w:rPr>
            </w:pPr>
            <w:hyperlink w:anchor="page71">
              <w:r>
                <w:rPr>
                  <w:rFonts w:ascii="Arial" w:cs="Arial" w:eastAsia="Arial" w:hAnsi="Arial"/>
                  <w:sz w:val="17"/>
                  <w:szCs w:val="17"/>
                  <w:color w:val="0000FF"/>
                  <w:w w:val="91"/>
                </w:rPr>
                <w:t>Consolidated Statements of Cash Flows for years ended January 31, 2022, 2021 and 2020</w:t>
              </w:r>
            </w:hyperlink>
          </w:p>
        </w:tc>
        <w:tc>
          <w:tcPr>
            <w:tcW w:w="2940" w:type="dxa"/>
            <w:vAlign w:val="bottom"/>
            <w:gridSpan w:val="4"/>
          </w:tcPr>
          <w:p>
            <w:pPr>
              <w:spacing w:after="0"/>
              <w:rPr>
                <w:sz w:val="17"/>
                <w:szCs w:val="17"/>
                <w:color w:val="auto"/>
              </w:rPr>
            </w:pPr>
          </w:p>
        </w:tc>
        <w:tc>
          <w:tcPr>
            <w:tcW w:w="1820" w:type="dxa"/>
            <w:vAlign w:val="bottom"/>
            <w:gridSpan w:val="3"/>
          </w:tcPr>
          <w:p>
            <w:pPr>
              <w:jc w:val="right"/>
              <w:ind w:right="20"/>
              <w:spacing w:after="0"/>
              <w:rPr>
                <w:rFonts w:ascii="Arial" w:cs="Arial" w:eastAsia="Arial" w:hAnsi="Arial"/>
                <w:sz w:val="17"/>
                <w:szCs w:val="17"/>
                <w:color w:val="0000FF"/>
              </w:rPr>
            </w:pPr>
            <w:hyperlink w:anchor="page71">
              <w:r>
                <w:rPr>
                  <w:rFonts w:ascii="Arial" w:cs="Arial" w:eastAsia="Arial" w:hAnsi="Arial"/>
                  <w:sz w:val="17"/>
                  <w:szCs w:val="17"/>
                  <w:color w:val="0000FF"/>
                </w:rPr>
                <w:t>69</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rFonts w:ascii="Arial" w:cs="Arial" w:eastAsia="Arial" w:hAnsi="Arial"/>
                <w:sz w:val="17"/>
                <w:szCs w:val="17"/>
                <w:color w:val="0000FF"/>
              </w:rPr>
            </w:pPr>
            <w:hyperlink w:anchor="page73">
              <w:r>
                <w:rPr>
                  <w:rFonts w:ascii="Arial" w:cs="Arial" w:eastAsia="Arial" w:hAnsi="Arial"/>
                  <w:sz w:val="17"/>
                  <w:szCs w:val="17"/>
                  <w:color w:val="0000FF"/>
                </w:rPr>
                <w:t>Notes to Consolidated Financial Statements</w:t>
              </w:r>
            </w:hyperlink>
          </w:p>
        </w:tc>
        <w:tc>
          <w:tcPr>
            <w:tcW w:w="2940" w:type="dxa"/>
            <w:vAlign w:val="bottom"/>
            <w:gridSpan w:val="4"/>
          </w:tcPr>
          <w:p>
            <w:pPr>
              <w:spacing w:after="0"/>
              <w:rPr>
                <w:sz w:val="17"/>
                <w:szCs w:val="17"/>
                <w:color w:val="auto"/>
              </w:rPr>
            </w:pPr>
          </w:p>
        </w:tc>
        <w:tc>
          <w:tcPr>
            <w:tcW w:w="1820" w:type="dxa"/>
            <w:vAlign w:val="bottom"/>
            <w:gridSpan w:val="3"/>
          </w:tcPr>
          <w:p>
            <w:pPr>
              <w:jc w:val="right"/>
              <w:ind w:right="20"/>
              <w:spacing w:after="0"/>
              <w:rPr>
                <w:rFonts w:ascii="Arial" w:cs="Arial" w:eastAsia="Arial" w:hAnsi="Arial"/>
                <w:sz w:val="17"/>
                <w:szCs w:val="17"/>
                <w:color w:val="0000FF"/>
              </w:rPr>
            </w:pPr>
            <w:hyperlink w:anchor="page73">
              <w:r>
                <w:rPr>
                  <w:rFonts w:ascii="Arial" w:cs="Arial" w:eastAsia="Arial" w:hAnsi="Arial"/>
                  <w:sz w:val="17"/>
                  <w:szCs w:val="17"/>
                  <w:color w:val="0000FF"/>
                </w:rPr>
                <w:t>71</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II: Valuation and Qualifying Accounts</w:t>
      </w:r>
    </w:p>
    <w:p>
      <w:pPr>
        <w:spacing w:after="0" w:line="176"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table below details the activity of the allowance for doubtful accounts and the deferred tax asset valuation allowance for the years ended January 31, 2022, 2021 and 2020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140" w:type="dxa"/>
            <w:vAlign w:val="bottom"/>
            <w:gridSpan w:val="3"/>
          </w:tcPr>
          <w:p>
            <w:pPr>
              <w:ind w:left="60"/>
              <w:spacing w:after="0"/>
              <w:rPr>
                <w:sz w:val="20"/>
                <w:szCs w:val="20"/>
                <w:color w:val="auto"/>
              </w:rPr>
            </w:pPr>
            <w:r>
              <w:rPr>
                <w:rFonts w:ascii="Arial" w:cs="Arial" w:eastAsia="Arial" w:hAnsi="Arial"/>
                <w:sz w:val="16"/>
                <w:szCs w:val="16"/>
                <w:b w:val="1"/>
                <w:bCs w:val="1"/>
                <w:color w:val="auto"/>
                <w:w w:val="93"/>
              </w:rPr>
              <w:t>Balance at Beginning of Year</w:t>
            </w:r>
          </w:p>
        </w:tc>
        <w:tc>
          <w:tcPr>
            <w:tcW w:w="34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Usage (Deductions)</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Balance at End of Year</w:t>
            </w:r>
          </w:p>
        </w:tc>
      </w:tr>
      <w:tr>
        <w:trPr>
          <w:trHeight w:val="205"/>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January 31, 2022</w:t>
            </w:r>
          </w:p>
        </w:tc>
        <w:tc>
          <w:tcPr>
            <w:tcW w:w="7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2"/>
        </w:trPr>
        <w:tc>
          <w:tcPr>
            <w:tcW w:w="3680" w:type="dxa"/>
            <w:vAlign w:val="bottom"/>
          </w:tcPr>
          <w:p>
            <w:pPr>
              <w:ind w:left="140"/>
              <w:spacing w:after="0"/>
              <w:rPr>
                <w:sz w:val="20"/>
                <w:szCs w:val="20"/>
                <w:color w:val="auto"/>
              </w:rPr>
            </w:pPr>
            <w:r>
              <w:rPr>
                <w:rFonts w:ascii="Arial" w:cs="Arial" w:eastAsia="Arial" w:hAnsi="Arial"/>
                <w:sz w:val="17"/>
                <w:szCs w:val="17"/>
                <w:color w:val="auto"/>
              </w:rPr>
              <w:t>Allowance for doubtful accounts</w:t>
            </w:r>
          </w:p>
        </w:tc>
        <w:tc>
          <w:tcPr>
            <w:tcW w:w="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6,024</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4,749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(5,807)</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4,966</w:t>
            </w:r>
          </w:p>
        </w:tc>
      </w:tr>
      <w:tr>
        <w:trPr>
          <w:trHeight w:val="222"/>
        </w:trPr>
        <w:tc>
          <w:tcPr>
            <w:tcW w:w="3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asset valuation allowance</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302,493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677,283</w:t>
            </w:r>
          </w:p>
        </w:tc>
      </w:tr>
      <w:tr>
        <w:trPr>
          <w:trHeight w:val="222"/>
        </w:trPr>
        <w:tc>
          <w:tcPr>
            <w:tcW w:w="3680" w:type="dxa"/>
            <w:vAlign w:val="bottom"/>
          </w:tcPr>
          <w:p>
            <w:pPr>
              <w:ind w:left="20"/>
              <w:spacing w:after="0"/>
              <w:rPr>
                <w:sz w:val="20"/>
                <w:szCs w:val="20"/>
                <w:color w:val="auto"/>
              </w:rPr>
            </w:pPr>
            <w:r>
              <w:rPr>
                <w:rFonts w:ascii="Arial" w:cs="Arial" w:eastAsia="Arial" w:hAnsi="Arial"/>
                <w:sz w:val="17"/>
                <w:szCs w:val="17"/>
                <w:b w:val="1"/>
                <w:bCs w:val="1"/>
                <w:color w:val="auto"/>
              </w:rPr>
              <w:t>Year ended January 31, 2021</w:t>
            </w: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3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Allowance for doubtful accounts</w:t>
            </w:r>
          </w:p>
        </w:tc>
        <w:tc>
          <w:tcPr>
            <w:tcW w:w="76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6,024</w:t>
            </w:r>
          </w:p>
        </w:tc>
      </w:tr>
      <w:tr>
        <w:trPr>
          <w:trHeight w:val="222"/>
        </w:trPr>
        <w:tc>
          <w:tcPr>
            <w:tcW w:w="3680" w:type="dxa"/>
            <w:vAlign w:val="bottom"/>
          </w:tcPr>
          <w:p>
            <w:pPr>
              <w:ind w:left="140"/>
              <w:spacing w:after="0"/>
              <w:rPr>
                <w:sz w:val="20"/>
                <w:szCs w:val="20"/>
                <w:color w:val="auto"/>
              </w:rPr>
            </w:pPr>
            <w:r>
              <w:rPr>
                <w:rFonts w:ascii="Arial" w:cs="Arial" w:eastAsia="Arial" w:hAnsi="Arial"/>
                <w:sz w:val="17"/>
                <w:szCs w:val="17"/>
                <w:color w:val="auto"/>
              </w:rPr>
              <w:t>Deferred tax asset valuation allowance</w:t>
            </w: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136,876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237,914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374,790</w:t>
            </w:r>
          </w:p>
        </w:tc>
      </w:tr>
      <w:tr>
        <w:trPr>
          <w:trHeight w:val="22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January 31, 2020</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3680" w:type="dxa"/>
            <w:vAlign w:val="bottom"/>
          </w:tcPr>
          <w:p>
            <w:pPr>
              <w:ind w:left="140"/>
              <w:spacing w:after="0"/>
              <w:rPr>
                <w:sz w:val="20"/>
                <w:szCs w:val="20"/>
                <w:color w:val="auto"/>
              </w:rPr>
            </w:pPr>
            <w:r>
              <w:rPr>
                <w:rFonts w:ascii="Arial" w:cs="Arial" w:eastAsia="Arial" w:hAnsi="Arial"/>
                <w:sz w:val="17"/>
                <w:szCs w:val="17"/>
                <w:color w:val="auto"/>
              </w:rPr>
              <w:t>Allowance for doubtful accounts</w:t>
            </w:r>
          </w:p>
        </w:tc>
        <w:tc>
          <w:tcPr>
            <w:tcW w:w="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1,539</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4,502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(3,526)</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222"/>
        </w:trPr>
        <w:tc>
          <w:tcPr>
            <w:tcW w:w="3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asset valuation allowance</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136,876</w:t>
            </w:r>
          </w:p>
        </w:tc>
      </w:tr>
    </w:tbl>
    <w:p>
      <w:pPr>
        <w:spacing w:after="0" w:line="144" w:lineRule="exact"/>
        <w:rPr>
          <w:sz w:val="20"/>
          <w:szCs w:val="20"/>
          <w:color w:val="auto"/>
        </w:rPr>
      </w:pPr>
    </w:p>
    <w:p>
      <w:pPr>
        <w:ind w:right="300" w:firstLine="470"/>
        <w:spacing w:after="0" w:line="272" w:lineRule="auto"/>
        <w:rPr>
          <w:sz w:val="20"/>
          <w:szCs w:val="20"/>
          <w:color w:val="auto"/>
        </w:rPr>
      </w:pPr>
      <w:r>
        <w:rPr>
          <w:rFonts w:ascii="Arial" w:cs="Arial" w:eastAsia="Arial" w:hAnsi="Arial"/>
          <w:sz w:val="17"/>
          <w:szCs w:val="17"/>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Incorporated by Reference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gridSpan w:val="37"/>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4"/>
        </w:trPr>
        <w:tc>
          <w:tcPr>
            <w:tcW w:w="980" w:type="dxa"/>
            <w:vAlign w:val="bottom"/>
            <w:tcBorders>
              <w:bottom w:val="single" w:sz="8" w:color="auto"/>
            </w:tcBorders>
          </w:tcPr>
          <w:p>
            <w:pPr>
              <w:ind w:left="240"/>
              <w:spacing w:after="0" w:line="144"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8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37"/>
          </w:tcPr>
          <w:p>
            <w:pPr>
              <w:spacing w:after="0"/>
              <w:rPr>
                <w:rFonts w:ascii="Arial" w:cs="Arial" w:eastAsia="Arial" w:hAnsi="Arial"/>
                <w:sz w:val="17"/>
                <w:szCs w:val="17"/>
                <w:color w:val="0000FF"/>
                <w:w w:val="97"/>
              </w:rPr>
            </w:pPr>
            <w:hyperlink r:id="rId124">
              <w:r>
                <w:rPr>
                  <w:rFonts w:ascii="Arial" w:cs="Arial" w:eastAsia="Arial" w:hAnsi="Arial"/>
                  <w:sz w:val="17"/>
                  <w:szCs w:val="17"/>
                  <w:color w:val="0000FF"/>
                  <w:w w:val="97"/>
                </w:rPr>
                <w:t>Agreement and Plan of Merger, dated as of October 9, 2018, by and among</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10-Q</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2.1</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12/16/18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9"/>
          </w:tcPr>
          <w:p>
            <w:pPr>
              <w:spacing w:after="0" w:line="150" w:lineRule="exact"/>
              <w:rPr>
                <w:rFonts w:ascii="Arial" w:cs="Arial" w:eastAsia="Arial" w:hAnsi="Arial"/>
                <w:sz w:val="17"/>
                <w:szCs w:val="17"/>
                <w:color w:val="0000FF"/>
                <w:w w:val="96"/>
              </w:rPr>
            </w:pPr>
            <w:hyperlink r:id="rId124">
              <w:r>
                <w:rPr>
                  <w:rFonts w:ascii="Arial" w:cs="Arial" w:eastAsia="Arial" w:hAnsi="Arial"/>
                  <w:sz w:val="17"/>
                  <w:szCs w:val="17"/>
                  <w:color w:val="0000FF"/>
                  <w:w w:val="96"/>
                </w:rPr>
                <w:t>the Company, Mammoth Merger Sub, Inc., ObjectLabs Corporation and</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w w:val="91"/>
              </w:rPr>
            </w:pPr>
            <w:hyperlink r:id="rId124">
              <w:r>
                <w:rPr>
                  <w:rFonts w:ascii="Arial" w:cs="Arial" w:eastAsia="Arial" w:hAnsi="Arial"/>
                  <w:sz w:val="17"/>
                  <w:szCs w:val="17"/>
                  <w:color w:val="0000FF"/>
                  <w:w w:val="91"/>
                </w:rPr>
                <w:t>Shareholder Representative Services LLC</w:t>
              </w:r>
            </w:hyperlink>
          </w:p>
        </w:tc>
        <w:tc>
          <w:tcPr>
            <w:tcW w:w="2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25">
              <w:r>
                <w:rPr>
                  <w:rFonts w:ascii="Arial" w:cs="Arial" w:eastAsia="Arial" w:hAnsi="Arial"/>
                  <w:sz w:val="17"/>
                  <w:szCs w:val="17"/>
                  <w:color w:val="0000FF"/>
                </w:rPr>
                <w:t>Amended and Restated Certificate of Incorporation of Registrant</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3.1</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10/25/17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92"/>
              </w:rPr>
            </w:pPr>
            <w:hyperlink r:id="rId126">
              <w:r>
                <w:rPr>
                  <w:rFonts w:ascii="Arial" w:cs="Arial" w:eastAsia="Arial" w:hAnsi="Arial"/>
                  <w:sz w:val="17"/>
                  <w:szCs w:val="17"/>
                  <w:color w:val="0000FF"/>
                  <w:w w:val="92"/>
                </w:rPr>
                <w:t>Amended and Restated Bylaws of Registrant</w:t>
              </w:r>
            </w:hyperlink>
          </w:p>
        </w:tc>
        <w:tc>
          <w:tcPr>
            <w:tcW w:w="1380" w:type="dxa"/>
            <w:vAlign w:val="bottom"/>
            <w:tcBorders>
              <w:top w:val="single" w:sz="8" w:color="0000FF"/>
            </w:tcBorders>
            <w:gridSpan w:val="7"/>
          </w:tcPr>
          <w:p>
            <w:pPr>
              <w:spacing w:after="0"/>
              <w:rPr>
                <w:sz w:val="22"/>
                <w:szCs w:val="22"/>
                <w:color w:val="auto"/>
              </w:rPr>
            </w:pPr>
          </w:p>
        </w:tc>
        <w:tc>
          <w:tcPr>
            <w:tcW w:w="1060" w:type="dxa"/>
            <w:vAlign w:val="bottom"/>
            <w:gridSpan w:val="19"/>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3.4</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27">
              <w:r>
                <w:rPr>
                  <w:rFonts w:ascii="Arial" w:cs="Arial" w:eastAsia="Arial" w:hAnsi="Arial"/>
                  <w:sz w:val="17"/>
                  <w:szCs w:val="17"/>
                  <w:color w:val="0000FF"/>
                </w:rPr>
                <w:t>Certificate of Retirement</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6/16/20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tcBorders>
              <w:bottom w:val="single" w:sz="8" w:color="0000FF"/>
            </w:tcBorders>
            <w:gridSpan w:val="15"/>
          </w:tcPr>
          <w:p>
            <w:pPr>
              <w:spacing w:after="0"/>
              <w:rPr>
                <w:rFonts w:ascii="Arial" w:cs="Arial" w:eastAsia="Arial" w:hAnsi="Arial"/>
                <w:sz w:val="17"/>
                <w:szCs w:val="17"/>
                <w:color w:val="0000FF"/>
                <w:w w:val="94"/>
              </w:rPr>
            </w:pPr>
            <w:hyperlink r:id="rId128">
              <w:r>
                <w:rPr>
                  <w:rFonts w:ascii="Arial" w:cs="Arial" w:eastAsia="Arial" w:hAnsi="Arial"/>
                  <w:sz w:val="17"/>
                  <w:szCs w:val="17"/>
                  <w:color w:val="0000FF"/>
                  <w:w w:val="94"/>
                </w:rPr>
                <w:t>Form of Class A common stock certificate of Registrant</w:t>
              </w:r>
            </w:hyperlink>
          </w:p>
        </w:tc>
        <w:tc>
          <w:tcPr>
            <w:tcW w:w="1660" w:type="dxa"/>
            <w:vAlign w:val="bottom"/>
            <w:gridSpan w:val="22"/>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6"/>
              </w:rPr>
            </w:pPr>
            <w:hyperlink r:id="rId129">
              <w:r>
                <w:rPr>
                  <w:rFonts w:ascii="Arial" w:cs="Arial" w:eastAsia="Arial" w:hAnsi="Arial"/>
                  <w:sz w:val="17"/>
                  <w:szCs w:val="17"/>
                  <w:color w:val="0000FF"/>
                  <w:w w:val="96"/>
                </w:rPr>
                <w:t>Fifth Amended and Restated Investors’ Rights Agreement by and among the</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7"/>
          </w:tcPr>
          <w:p>
            <w:pPr>
              <w:spacing w:after="0" w:line="150" w:lineRule="exact"/>
              <w:rPr>
                <w:rFonts w:ascii="Arial" w:cs="Arial" w:eastAsia="Arial" w:hAnsi="Arial"/>
                <w:sz w:val="17"/>
                <w:szCs w:val="17"/>
                <w:color w:val="0000FF"/>
                <w:w w:val="92"/>
              </w:rPr>
            </w:pPr>
            <w:hyperlink r:id="rId129">
              <w:r>
                <w:rPr>
                  <w:rFonts w:ascii="Arial" w:cs="Arial" w:eastAsia="Arial" w:hAnsi="Arial"/>
                  <w:sz w:val="17"/>
                  <w:szCs w:val="17"/>
                  <w:color w:val="0000FF"/>
                  <w:w w:val="92"/>
                </w:rPr>
                <w:t>Registrant and certain of its stockholders, dated October 2, 2013</w:t>
              </w:r>
            </w:hyperlink>
          </w:p>
        </w:tc>
        <w:tc>
          <w:tcPr>
            <w:tcW w:w="8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0" w:type="dxa"/>
            <w:vAlign w:val="bottom"/>
            <w:tcBorders>
              <w:bottom w:val="single" w:sz="8" w:color="0000FF"/>
            </w:tcBorders>
            <w:gridSpan w:val="34"/>
          </w:tcPr>
          <w:p>
            <w:pPr>
              <w:spacing w:after="0"/>
              <w:rPr>
                <w:rFonts w:ascii="Arial" w:cs="Arial" w:eastAsia="Arial" w:hAnsi="Arial"/>
                <w:sz w:val="17"/>
                <w:szCs w:val="17"/>
                <w:color w:val="0000FF"/>
                <w:w w:val="92"/>
              </w:rPr>
            </w:pPr>
            <w:hyperlink r:id="rId130">
              <w:r>
                <w:rPr>
                  <w:rFonts w:ascii="Arial" w:cs="Arial" w:eastAsia="Arial" w:hAnsi="Arial"/>
                  <w:sz w:val="17"/>
                  <w:szCs w:val="17"/>
                  <w:color w:val="0000FF"/>
                  <w:w w:val="92"/>
                </w:rPr>
                <w:t>Indenture, dated as of January 14, 2020, by and between MongoDB, Inc. and</w:t>
              </w:r>
            </w:hyperlink>
          </w:p>
        </w:tc>
        <w:tc>
          <w:tcPr>
            <w:tcW w:w="180" w:type="dxa"/>
            <w:vAlign w:val="bottom"/>
            <w:gridSpan w:val="3"/>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1/14/20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580" w:type="dxa"/>
            <w:vAlign w:val="bottom"/>
            <w:gridSpan w:val="37"/>
            <w:vMerge w:val="restart"/>
          </w:tcPr>
          <w:p>
            <w:pPr>
              <w:spacing w:after="0" w:line="150" w:lineRule="exact"/>
              <w:rPr>
                <w:rFonts w:ascii="Arial" w:cs="Arial" w:eastAsia="Arial" w:hAnsi="Arial"/>
                <w:sz w:val="17"/>
                <w:szCs w:val="17"/>
                <w:color w:val="0000FF"/>
              </w:rPr>
            </w:pPr>
            <w:hyperlink r:id="rId130">
              <w:r>
                <w:rPr>
                  <w:rFonts w:ascii="Arial" w:cs="Arial" w:eastAsia="Arial" w:hAnsi="Arial"/>
                  <w:sz w:val="17"/>
                  <w:szCs w:val="17"/>
                  <w:color w:val="0000FF"/>
                </w:rPr>
                <w:t>U.S. Bank National Association, as Trustee</w:t>
              </w:r>
            </w:hyperlink>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580" w:type="dxa"/>
            <w:vAlign w:val="bottom"/>
            <w:gridSpan w:val="37"/>
            <w:vMerge w:val="continue"/>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30">
              <w:r>
                <w:rPr>
                  <w:rFonts w:ascii="Arial" w:cs="Arial" w:eastAsia="Arial" w:hAnsi="Arial"/>
                  <w:sz w:val="17"/>
                  <w:szCs w:val="17"/>
                  <w:color w:val="0000FF"/>
                </w:rPr>
                <w:t>Form of Global Note, representing MongoDB, Inc.’s 0.25% Convertible</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1/14/20</w:t>
            </w:r>
          </w:p>
        </w:tc>
        <w:tc>
          <w:tcPr>
            <w:tcW w:w="0" w:type="dxa"/>
            <w:vAlign w:val="bottom"/>
          </w:tcPr>
          <w:p>
            <w:pPr>
              <w:spacing w:after="0"/>
              <w:rPr>
                <w:sz w:val="1"/>
                <w:szCs w:val="1"/>
                <w:color w:val="auto"/>
              </w:rPr>
            </w:pPr>
          </w:p>
        </w:tc>
      </w:tr>
      <w:tr>
        <w:trPr>
          <w:trHeight w:val="150"/>
        </w:trPr>
        <w:tc>
          <w:tcPr>
            <w:tcW w:w="980" w:type="dxa"/>
            <w:vAlign w:val="bottom"/>
          </w:tcPr>
          <w:p>
            <w:pPr>
              <w:jc w:val="center"/>
              <w:spacing w:after="0" w:line="150" w:lineRule="exact"/>
              <w:rPr>
                <w:sz w:val="20"/>
                <w:szCs w:val="20"/>
                <w:color w:val="auto"/>
              </w:rPr>
            </w:pPr>
            <w:r>
              <w:rPr>
                <w:rFonts w:ascii="Arial" w:cs="Arial" w:eastAsia="Arial" w:hAnsi="Arial"/>
                <w:sz w:val="17"/>
                <w:szCs w:val="17"/>
                <w:color w:val="auto"/>
                <w:w w:val="92"/>
              </w:rPr>
              <w:t>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24"/>
          </w:tcPr>
          <w:p>
            <w:pPr>
              <w:spacing w:after="0" w:line="150" w:lineRule="exact"/>
              <w:rPr>
                <w:rFonts w:ascii="Arial" w:cs="Arial" w:eastAsia="Arial" w:hAnsi="Arial"/>
                <w:sz w:val="17"/>
                <w:szCs w:val="17"/>
                <w:color w:val="0000FF"/>
                <w:w w:val="96"/>
              </w:rPr>
            </w:pPr>
            <w:hyperlink r:id="rId130">
              <w:r>
                <w:rPr>
                  <w:rFonts w:ascii="Arial" w:cs="Arial" w:eastAsia="Arial" w:hAnsi="Arial"/>
                  <w:sz w:val="17"/>
                  <w:szCs w:val="17"/>
                  <w:color w:val="0000FF"/>
                  <w:w w:val="96"/>
                </w:rPr>
                <w:t>Senior Notes due 2026 (included as Exhibit A to the Indenture filed as</w:t>
              </w:r>
            </w:hyperlink>
          </w:p>
        </w:tc>
        <w:tc>
          <w:tcPr>
            <w:tcW w:w="520" w:type="dxa"/>
            <w:vAlign w:val="bottom"/>
            <w:gridSpan w:val="13"/>
          </w:tcPr>
          <w:p>
            <w:pPr>
              <w:spacing w:after="0" w:line="150" w:lineRule="exact"/>
              <w:rPr>
                <w:rFonts w:ascii="Arial" w:cs="Arial" w:eastAsia="Arial" w:hAnsi="Arial"/>
                <w:sz w:val="17"/>
                <w:szCs w:val="17"/>
                <w:color w:val="0000FF"/>
                <w:w w:val="97"/>
              </w:rPr>
            </w:pPr>
            <w:hyperlink r:id="rId130">
              <w:r>
                <w:rPr>
                  <w:rFonts w:ascii="Arial" w:cs="Arial" w:eastAsia="Arial" w:hAnsi="Arial"/>
                  <w:sz w:val="17"/>
                  <w:szCs w:val="17"/>
                  <w:color w:val="0000FF"/>
                  <w:w w:val="97"/>
                </w:rPr>
                <w:t>Exhibit</w:t>
              </w:r>
            </w:hyperlink>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88"/>
              </w:rPr>
            </w:pPr>
            <w:hyperlink r:id="rId130">
              <w:r>
                <w:rPr>
                  <w:rFonts w:ascii="Arial" w:cs="Arial" w:eastAsia="Arial" w:hAnsi="Arial"/>
                  <w:sz w:val="17"/>
                  <w:szCs w:val="17"/>
                  <w:color w:val="0000FF"/>
                  <w:w w:val="88"/>
                </w:rPr>
                <w:t>4.</w:t>
              </w:r>
              <w:r>
                <w:rPr>
                  <w:rFonts w:ascii="Arial" w:cs="Arial" w:eastAsia="Arial" w:hAnsi="Arial"/>
                  <w:sz w:val="17"/>
                  <w:szCs w:val="17"/>
                  <w:u w:val="single" w:color="auto"/>
                  <w:color w:val="0000FF"/>
                  <w:w w:val="88"/>
                </w:rPr>
                <w:t>5)</w:t>
              </w:r>
            </w:hyperlink>
          </w:p>
        </w:tc>
        <w:tc>
          <w:tcPr>
            <w:tcW w:w="1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31">
              <w:r>
                <w:rPr>
                  <w:rFonts w:ascii="Arial" w:cs="Arial" w:eastAsia="Arial" w:hAnsi="Arial"/>
                  <w:sz w:val="17"/>
                  <w:szCs w:val="17"/>
                  <w:color w:val="0000FF"/>
                </w:rPr>
                <w:t>Description of Registered Securities</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4.7</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3/22/21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32">
              <w:r>
                <w:rPr>
                  <w:rFonts w:ascii="Arial" w:cs="Arial" w:eastAsia="Arial" w:hAnsi="Arial"/>
                  <w:sz w:val="17"/>
                  <w:szCs w:val="17"/>
                  <w:color w:val="0000FF"/>
                </w:rPr>
                <w:t>2008 Stock Incentive Plan and Forms of Option Agreement and Exercise</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6"/>
          </w:tcPr>
          <w:p>
            <w:pPr>
              <w:spacing w:after="0" w:line="150" w:lineRule="exact"/>
              <w:rPr>
                <w:rFonts w:ascii="Arial" w:cs="Arial" w:eastAsia="Arial" w:hAnsi="Arial"/>
                <w:sz w:val="17"/>
                <w:szCs w:val="17"/>
                <w:color w:val="0000FF"/>
              </w:rPr>
            </w:pPr>
            <w:hyperlink r:id="rId132">
              <w:r>
                <w:rPr>
                  <w:rFonts w:ascii="Arial" w:cs="Arial" w:eastAsia="Arial" w:hAnsi="Arial"/>
                  <w:sz w:val="17"/>
                  <w:szCs w:val="17"/>
                  <w:color w:val="0000FF"/>
                </w:rPr>
                <w:t>Notice thereunder, as amended to date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r:id="rId133">
              <w:r>
                <w:rPr>
                  <w:rFonts w:ascii="Arial" w:cs="Arial" w:eastAsia="Arial" w:hAnsi="Arial"/>
                  <w:sz w:val="17"/>
                  <w:szCs w:val="17"/>
                  <w:color w:val="0000FF"/>
                </w:rPr>
                <w:t>Amended and Restated 2016 Equity Incentive Plan and Forms of Stock</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2"/>
          </w:tcPr>
          <w:p>
            <w:pPr>
              <w:spacing w:after="0" w:line="150" w:lineRule="exact"/>
              <w:rPr>
                <w:rFonts w:ascii="Arial" w:cs="Arial" w:eastAsia="Arial" w:hAnsi="Arial"/>
                <w:sz w:val="17"/>
                <w:szCs w:val="17"/>
                <w:color w:val="0000FF"/>
                <w:w w:val="94"/>
              </w:rPr>
            </w:pPr>
            <w:hyperlink r:id="rId133">
              <w:r>
                <w:rPr>
                  <w:rFonts w:ascii="Arial" w:cs="Arial" w:eastAsia="Arial" w:hAnsi="Arial"/>
                  <w:sz w:val="17"/>
                  <w:szCs w:val="17"/>
                  <w:color w:val="0000FF"/>
                  <w:w w:val="94"/>
                </w:rPr>
                <w:t>Option Agreement, Notice of Exercise, Stock Option Grant Notice and</w:t>
              </w:r>
            </w:hyperlink>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4"/>
          </w:tcPr>
          <w:p>
            <w:pPr>
              <w:spacing w:after="0" w:line="150" w:lineRule="exact"/>
              <w:rPr>
                <w:rFonts w:ascii="Arial" w:cs="Arial" w:eastAsia="Arial" w:hAnsi="Arial"/>
                <w:sz w:val="17"/>
                <w:szCs w:val="17"/>
                <w:color w:val="0000FF"/>
                <w:w w:val="93"/>
              </w:rPr>
            </w:pPr>
            <w:hyperlink r:id="rId133">
              <w:r>
                <w:rPr>
                  <w:rFonts w:ascii="Arial" w:cs="Arial" w:eastAsia="Arial" w:hAnsi="Arial"/>
                  <w:sz w:val="17"/>
                  <w:szCs w:val="17"/>
                  <w:color w:val="0000FF"/>
                  <w:w w:val="93"/>
                </w:rPr>
                <w:t>Restricted Stock Unit Award Agreement thereunder</w:t>
              </w:r>
            </w:hyperlink>
          </w:p>
        </w:tc>
        <w:tc>
          <w:tcPr>
            <w:tcW w:w="1320" w:type="dxa"/>
            <w:vAlign w:val="bottom"/>
            <w:tcBorders>
              <w:top w:val="single" w:sz="8" w:color="0000FF"/>
            </w:tcBorders>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w:anchor="page114">
              <w:r>
                <w:rPr>
                  <w:rFonts w:ascii="Arial" w:cs="Arial" w:eastAsia="Arial" w:hAnsi="Arial"/>
                  <w:sz w:val="17"/>
                  <w:szCs w:val="17"/>
                  <w:color w:val="0000FF"/>
                </w:rPr>
                <w:t>Amended and Restated Form of Restricted Stock Unit Award Agreement,</w:t>
              </w:r>
            </w:hyperlink>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3"/>
              </w:rPr>
            </w:pPr>
            <w:hyperlink w:anchor="page114">
              <w:r>
                <w:rPr>
                  <w:rFonts w:ascii="Arial" w:cs="Arial" w:eastAsia="Arial" w:hAnsi="Arial"/>
                  <w:sz w:val="17"/>
                  <w:szCs w:val="17"/>
                  <w:color w:val="0000FF"/>
                  <w:w w:val="93"/>
                </w:rPr>
                <w:t>effective as of March 1, 2022</w:t>
              </w:r>
            </w:hyperlink>
          </w:p>
        </w:tc>
        <w:tc>
          <w:tcPr>
            <w:tcW w:w="3080" w:type="dxa"/>
            <w:vAlign w:val="bottom"/>
            <w:tcBorders>
              <w:top w:val="single" w:sz="8" w:color="0000FF"/>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8"/>
              </w:rPr>
            </w:pPr>
            <w:hyperlink r:id="rId134">
              <w:r>
                <w:rPr>
                  <w:rFonts w:ascii="Arial" w:cs="Arial" w:eastAsia="Arial" w:hAnsi="Arial"/>
                  <w:sz w:val="17"/>
                  <w:szCs w:val="17"/>
                  <w:color w:val="0000FF"/>
                  <w:w w:val="98"/>
                </w:rPr>
                <w:t>Forms of Restricted Stock Award Grant Notice and Restricted Stock Award</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10.3</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3/30/18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30"/>
          </w:tcPr>
          <w:p>
            <w:pPr>
              <w:spacing w:after="0" w:line="150" w:lineRule="exact"/>
              <w:rPr>
                <w:rFonts w:ascii="Arial" w:cs="Arial" w:eastAsia="Arial" w:hAnsi="Arial"/>
                <w:sz w:val="17"/>
                <w:szCs w:val="17"/>
                <w:color w:val="0000FF"/>
                <w:w w:val="95"/>
              </w:rPr>
            </w:pPr>
            <w:hyperlink r:id="rId134">
              <w:r>
                <w:rPr>
                  <w:rFonts w:ascii="Arial" w:cs="Arial" w:eastAsia="Arial" w:hAnsi="Arial"/>
                  <w:sz w:val="17"/>
                  <w:szCs w:val="17"/>
                  <w:color w:val="0000FF"/>
                  <w:w w:val="95"/>
                </w:rPr>
                <w:t>Agreement under the Amended and Restated 2016 Equity Incentive Plan</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80" w:type="dxa"/>
            <w:vAlign w:val="bottom"/>
            <w:tcBorders>
              <w:top w:val="single" w:sz="8" w:color="0000FF"/>
            </w:tcBorders>
            <w:gridSpan w:val="25"/>
          </w:tcPr>
          <w:p>
            <w:pPr>
              <w:spacing w:after="0"/>
              <w:rPr>
                <w:rFonts w:ascii="Arial" w:cs="Arial" w:eastAsia="Arial" w:hAnsi="Arial"/>
                <w:sz w:val="17"/>
                <w:szCs w:val="17"/>
                <w:color w:val="0000FF"/>
                <w:w w:val="97"/>
              </w:rPr>
            </w:pPr>
            <w:hyperlink r:id="rId135">
              <w:r>
                <w:rPr>
                  <w:rFonts w:ascii="Arial" w:cs="Arial" w:eastAsia="Arial" w:hAnsi="Arial"/>
                  <w:sz w:val="17"/>
                  <w:szCs w:val="17"/>
                  <w:color w:val="0000FF"/>
                  <w:w w:val="97"/>
                </w:rPr>
                <w:t>2016 China Stock Appreciation Rights Plan and Form of China Stock</w:t>
              </w:r>
            </w:hyperlink>
          </w:p>
        </w:tc>
        <w:tc>
          <w:tcPr>
            <w:tcW w:w="500" w:type="dxa"/>
            <w:vAlign w:val="bottom"/>
            <w:gridSpan w:val="12"/>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10.3</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Appreciation Rights Award Agreement</w:t>
              </w:r>
            </w:hyperlink>
          </w:p>
        </w:tc>
        <w:tc>
          <w:tcPr>
            <w:tcW w:w="212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tcBorders>
              <w:bottom w:val="single" w:sz="8" w:color="0000FF"/>
            </w:tcBorders>
            <w:gridSpan w:val="5"/>
          </w:tcPr>
          <w:p>
            <w:pPr>
              <w:spacing w:after="0"/>
              <w:rPr>
                <w:rFonts w:ascii="Arial" w:cs="Arial" w:eastAsia="Arial" w:hAnsi="Arial"/>
                <w:sz w:val="17"/>
                <w:szCs w:val="17"/>
                <w:color w:val="0000FF"/>
                <w:w w:val="91"/>
              </w:rPr>
            </w:pPr>
            <w:hyperlink r:id="rId136">
              <w:r>
                <w:rPr>
                  <w:rFonts w:ascii="Arial" w:cs="Arial" w:eastAsia="Arial" w:hAnsi="Arial"/>
                  <w:sz w:val="17"/>
                  <w:szCs w:val="17"/>
                  <w:color w:val="0000FF"/>
                  <w:w w:val="91"/>
                </w:rPr>
                <w:t>2017 Employee Stock Purchase Plan</w:t>
              </w:r>
            </w:hyperlink>
          </w:p>
        </w:tc>
        <w:tc>
          <w:tcPr>
            <w:tcW w:w="3000" w:type="dxa"/>
            <w:vAlign w:val="bottom"/>
            <w:gridSpan w:val="32"/>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10.4</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6"/>
              </w:rPr>
            </w:pPr>
            <w:hyperlink r:id="rId137">
              <w:r>
                <w:rPr>
                  <w:rFonts w:ascii="Arial" w:cs="Arial" w:eastAsia="Arial" w:hAnsi="Arial"/>
                  <w:sz w:val="17"/>
                  <w:szCs w:val="17"/>
                  <w:color w:val="0000FF"/>
                  <w:w w:val="96"/>
                </w:rPr>
                <w:t>Form of Indemnification Agreement by and between the Registrant and each</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10.5</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6"/>
          </w:tcPr>
          <w:p>
            <w:pPr>
              <w:spacing w:after="0" w:line="150" w:lineRule="exact"/>
              <w:rPr>
                <w:rFonts w:ascii="Arial" w:cs="Arial" w:eastAsia="Arial" w:hAnsi="Arial"/>
                <w:sz w:val="17"/>
                <w:szCs w:val="17"/>
                <w:color w:val="0000FF"/>
                <w:w w:val="95"/>
              </w:rPr>
            </w:pPr>
            <w:hyperlink r:id="rId137">
              <w:r>
                <w:rPr>
                  <w:rFonts w:ascii="Arial" w:cs="Arial" w:eastAsia="Arial" w:hAnsi="Arial"/>
                  <w:sz w:val="17"/>
                  <w:szCs w:val="17"/>
                  <w:color w:val="0000FF"/>
                  <w:w w:val="95"/>
                </w:rPr>
                <w:t>of its directors and executive officers</w:t>
              </w:r>
            </w:hyperlink>
          </w:p>
        </w:tc>
        <w:tc>
          <w:tcPr>
            <w:tcW w:w="2720" w:type="dxa"/>
            <w:vAlign w:val="bottom"/>
            <w:tcBorders>
              <w:top w:val="single" w:sz="8" w:color="0000FF"/>
            </w:tcBorders>
            <w:gridSpan w:val="27"/>
          </w:tcPr>
          <w:p>
            <w:pPr>
              <w:spacing w:after="0"/>
              <w:rPr>
                <w:sz w:val="13"/>
                <w:szCs w:val="13"/>
                <w:color w:val="auto"/>
              </w:rPr>
            </w:pPr>
          </w:p>
        </w:tc>
        <w:tc>
          <w:tcPr>
            <w:tcW w:w="20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8"/>
              </w:rPr>
            </w:pPr>
            <w:hyperlink w:anchor="page140">
              <w:r>
                <w:rPr>
                  <w:rFonts w:ascii="Arial" w:cs="Arial" w:eastAsia="Arial" w:hAnsi="Arial"/>
                  <w:sz w:val="17"/>
                  <w:szCs w:val="17"/>
                  <w:color w:val="0000FF"/>
                  <w:w w:val="98"/>
                </w:rPr>
                <w:t>Second Amended and Restated Offer Letter, dated December 20, 2021, by</w:t>
              </w:r>
            </w:hyperlink>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2"/>
          </w:tcPr>
          <w:p>
            <w:pPr>
              <w:spacing w:after="0" w:line="150" w:lineRule="exact"/>
              <w:rPr>
                <w:rFonts w:ascii="Arial" w:cs="Arial" w:eastAsia="Arial" w:hAnsi="Arial"/>
                <w:sz w:val="17"/>
                <w:szCs w:val="17"/>
                <w:color w:val="0000FF"/>
                <w:w w:val="92"/>
              </w:rPr>
            </w:pPr>
            <w:hyperlink w:anchor="page140">
              <w:r>
                <w:rPr>
                  <w:rFonts w:ascii="Arial" w:cs="Arial" w:eastAsia="Arial" w:hAnsi="Arial"/>
                  <w:sz w:val="17"/>
                  <w:szCs w:val="17"/>
                  <w:color w:val="0000FF"/>
                  <w:w w:val="92"/>
                </w:rPr>
                <w:t>and between the Registrant and Dev Ittycheria</w:t>
              </w:r>
            </w:hyperlink>
          </w:p>
        </w:tc>
        <w:tc>
          <w:tcPr>
            <w:tcW w:w="1940" w:type="dxa"/>
            <w:vAlign w:val="bottom"/>
            <w:tcBorders>
              <w:top w:val="single" w:sz="8" w:color="0000FF"/>
            </w:tcBorders>
            <w:gridSpan w:val="16"/>
          </w:tcPr>
          <w:p>
            <w:pPr>
              <w:spacing w:after="0"/>
              <w:rPr>
                <w:sz w:val="13"/>
                <w:szCs w:val="13"/>
                <w:color w:val="auto"/>
              </w:rPr>
            </w:pPr>
          </w:p>
        </w:tc>
        <w:tc>
          <w:tcPr>
            <w:tcW w:w="160" w:type="dxa"/>
            <w:vAlign w:val="bottom"/>
            <w:gridSpan w:val="3"/>
          </w:tcPr>
          <w:p>
            <w:pPr>
              <w:spacing w:after="0"/>
              <w:rPr>
                <w:sz w:val="13"/>
                <w:szCs w:val="13"/>
                <w:color w:val="auto"/>
              </w:rPr>
            </w:pPr>
          </w:p>
        </w:tc>
        <w:tc>
          <w:tcPr>
            <w:tcW w:w="24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8"/>
              </w:rPr>
            </w:pPr>
            <w:hyperlink w:anchor="page149">
              <w:r>
                <w:rPr>
                  <w:rFonts w:ascii="Arial" w:cs="Arial" w:eastAsia="Arial" w:hAnsi="Arial"/>
                  <w:sz w:val="17"/>
                  <w:szCs w:val="17"/>
                  <w:color w:val="0000FF"/>
                  <w:w w:val="98"/>
                </w:rPr>
                <w:t>Second Amended and Restated Offer Letter, dated December 21, 2021, by</w:t>
              </w:r>
            </w:hyperlink>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w:anchor="page149">
              <w:r>
                <w:rPr>
                  <w:rFonts w:ascii="Arial" w:cs="Arial" w:eastAsia="Arial" w:hAnsi="Arial"/>
                  <w:sz w:val="17"/>
                  <w:szCs w:val="17"/>
                  <w:color w:val="0000FF"/>
                </w:rPr>
                <w:t>and between the Registrant and Michael Gordon</w:t>
              </w:r>
            </w:hyperlink>
          </w:p>
        </w:tc>
        <w:tc>
          <w:tcPr>
            <w:tcW w:w="160" w:type="dxa"/>
            <w:vAlign w:val="bottom"/>
            <w:gridSpan w:val="3"/>
          </w:tcPr>
          <w:p>
            <w:pPr>
              <w:spacing w:after="0"/>
              <w:rPr>
                <w:sz w:val="13"/>
                <w:szCs w:val="13"/>
                <w:color w:val="auto"/>
              </w:rPr>
            </w:pPr>
          </w:p>
        </w:tc>
        <w:tc>
          <w:tcPr>
            <w:tcW w:w="24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w w:val="95"/>
              </w:rPr>
            </w:pPr>
            <w:hyperlink w:anchor="page156">
              <w:r>
                <w:rPr>
                  <w:rFonts w:ascii="Arial" w:cs="Arial" w:eastAsia="Arial" w:hAnsi="Arial"/>
                  <w:sz w:val="17"/>
                  <w:szCs w:val="17"/>
                  <w:color w:val="0000FF"/>
                  <w:w w:val="95"/>
                </w:rPr>
                <w:t>Amended and Restated Employment Agreement, dated January 10, 2022, by</w:t>
              </w:r>
            </w:hyperlink>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31"/>
          </w:tcPr>
          <w:p>
            <w:pPr>
              <w:spacing w:after="0" w:line="150" w:lineRule="exact"/>
              <w:rPr>
                <w:rFonts w:ascii="Arial" w:cs="Arial" w:eastAsia="Arial" w:hAnsi="Arial"/>
                <w:sz w:val="17"/>
                <w:szCs w:val="17"/>
                <w:color w:val="0000FF"/>
              </w:rPr>
            </w:pPr>
            <w:hyperlink w:anchor="page156">
              <w:r>
                <w:rPr>
                  <w:rFonts w:ascii="Arial" w:cs="Arial" w:eastAsia="Arial" w:hAnsi="Arial"/>
                  <w:sz w:val="17"/>
                  <w:szCs w:val="17"/>
                  <w:color w:val="0000FF"/>
                </w:rPr>
                <w:t>and between MongoDB Switzerland GmbH and Cedric Pech</w:t>
              </w:r>
            </w:hyperlink>
          </w:p>
        </w:tc>
        <w:tc>
          <w:tcPr>
            <w:tcW w:w="24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shd w:val="clear" w:color="auto" w:fill="0000FF"/>
          </w:tcPr>
          <w:p>
            <w:pPr>
              <w:spacing w:after="0" w:line="20" w:lineRule="exact"/>
              <w:rPr>
                <w:sz w:val="1"/>
                <w:szCs w:val="1"/>
                <w:color w:val="auto"/>
              </w:rPr>
            </w:pPr>
          </w:p>
        </w:tc>
        <w:tc>
          <w:tcPr>
            <w:tcW w:w="1460" w:type="dxa"/>
            <w:vAlign w:val="bottom"/>
            <w:gridSpan w:val="8"/>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6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7"/>
          </w:tcPr>
          <w:p>
            <w:pPr>
              <w:spacing w:after="0"/>
              <w:rPr>
                <w:rFonts w:ascii="Arial" w:cs="Arial" w:eastAsia="Arial" w:hAnsi="Arial"/>
                <w:sz w:val="17"/>
                <w:szCs w:val="17"/>
                <w:color w:val="0000FF"/>
              </w:rPr>
            </w:pPr>
            <w:hyperlink w:anchor="page171">
              <w:r>
                <w:rPr>
                  <w:rFonts w:ascii="Arial" w:cs="Arial" w:eastAsia="Arial" w:hAnsi="Arial"/>
                  <w:sz w:val="17"/>
                  <w:szCs w:val="17"/>
                  <w:color w:val="0000FF"/>
                </w:rPr>
                <w:t>Amended and Restated Offer Letter, dated December 21, 2021, by and</w:t>
              </w:r>
            </w:hyperlink>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20"/>
          </w:tcPr>
          <w:p>
            <w:pPr>
              <w:spacing w:after="0" w:line="150" w:lineRule="exact"/>
              <w:rPr>
                <w:rFonts w:ascii="Arial" w:cs="Arial" w:eastAsia="Arial" w:hAnsi="Arial"/>
                <w:sz w:val="17"/>
                <w:szCs w:val="17"/>
                <w:color w:val="0000FF"/>
              </w:rPr>
            </w:pPr>
            <w:hyperlink w:anchor="page171">
              <w:r>
                <w:rPr>
                  <w:rFonts w:ascii="Arial" w:cs="Arial" w:eastAsia="Arial" w:hAnsi="Arial"/>
                  <w:sz w:val="17"/>
                  <w:szCs w:val="17"/>
                  <w:color w:val="0000FF"/>
                </w:rPr>
                <w:t>between the Registrant and Mark Porter</w:t>
              </w:r>
            </w:hyperlink>
          </w:p>
        </w:tc>
        <w:tc>
          <w:tcPr>
            <w:tcW w:w="660" w:type="dxa"/>
            <w:vAlign w:val="bottom"/>
            <w:gridSpan w:val="17"/>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5"/>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top w:val="single" w:sz="8" w:color="0000FF"/>
            </w:tcBorders>
            <w:gridSpan w:val="8"/>
          </w:tcPr>
          <w:p>
            <w:pPr>
              <w:spacing w:after="0"/>
              <w:rPr>
                <w:sz w:val="24"/>
                <w:szCs w:val="24"/>
                <w:color w:val="auto"/>
              </w:rPr>
            </w:pPr>
          </w:p>
        </w:tc>
        <w:tc>
          <w:tcPr>
            <w:tcW w:w="2140" w:type="dxa"/>
            <w:vAlign w:val="bottom"/>
            <w:gridSpan w:val="12"/>
          </w:tcPr>
          <w:p>
            <w:pPr>
              <w:jc w:val="right"/>
              <w:ind w:right="40"/>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282575</wp:posOffset>
            </wp:positionV>
            <wp:extent cx="564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74930</wp:posOffset>
            </wp:positionV>
            <wp:extent cx="564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10260" w:space="260"/>
            <w:col w:w="560"/>
          </w:cols>
          <w:pgMar w:left="320" w:top="121" w:right="49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8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Incorporated by Reference</w:t>
            </w:r>
          </w:p>
        </w:tc>
        <w:tc>
          <w:tcPr>
            <w:tcW w:w="980" w:type="dxa"/>
            <w:vAlign w:val="bottom"/>
          </w:tcPr>
          <w:p>
            <w:pPr>
              <w:spacing w:after="0"/>
              <w:rPr>
                <w:sz w:val="15"/>
                <w:szCs w:val="15"/>
                <w:color w:val="auto"/>
              </w:rPr>
            </w:pPr>
          </w:p>
        </w:tc>
      </w:tr>
      <w:tr>
        <w:trPr>
          <w:trHeight w:val="167"/>
        </w:trPr>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3"/>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gridSpan w:val="22"/>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File No.</w:t>
            </w: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w w:val="89"/>
              </w:rPr>
              <w:t>Filing Date</w:t>
            </w:r>
          </w:p>
        </w:tc>
      </w:tr>
      <w:tr>
        <w:trPr>
          <w:trHeight w:val="144"/>
        </w:trPr>
        <w:tc>
          <w:tcPr>
            <w:tcW w:w="9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22"/>
          </w:tcPr>
          <w:p>
            <w:pPr>
              <w:spacing w:after="0"/>
              <w:rPr>
                <w:rFonts w:ascii="Arial" w:cs="Arial" w:eastAsia="Arial" w:hAnsi="Arial"/>
                <w:sz w:val="17"/>
                <w:szCs w:val="17"/>
                <w:color w:val="0000FF"/>
                <w:w w:val="98"/>
              </w:rPr>
            </w:pPr>
            <w:hyperlink r:id="rId141">
              <w:r>
                <w:rPr>
                  <w:rFonts w:ascii="Arial" w:cs="Arial" w:eastAsia="Arial" w:hAnsi="Arial"/>
                  <w:sz w:val="17"/>
                  <w:szCs w:val="17"/>
                  <w:color w:val="0000FF"/>
                  <w:w w:val="98"/>
                </w:rPr>
                <w:t>Lease, between PGREF I 1633 Broadway Tower, L.P. and MongoDB, Inc.,</w:t>
              </w:r>
            </w:hyperlink>
          </w:p>
        </w:tc>
        <w:tc>
          <w:tcPr>
            <w:tcW w:w="52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center"/>
              <w:ind w:left="116"/>
              <w:spacing w:after="0"/>
              <w:rPr>
                <w:sz w:val="20"/>
                <w:szCs w:val="20"/>
                <w:color w:val="auto"/>
              </w:rPr>
            </w:pPr>
            <w:r>
              <w:rPr>
                <w:rFonts w:ascii="Arial" w:cs="Arial" w:eastAsia="Arial" w:hAnsi="Arial"/>
                <w:sz w:val="17"/>
                <w:szCs w:val="17"/>
                <w:color w:val="auto"/>
                <w:w w:val="89"/>
              </w:rPr>
              <w:t>10.12</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3/30/18</w:t>
            </w: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0"/>
              </w:rPr>
            </w:pPr>
            <w:hyperlink r:id="rId141">
              <w:r>
                <w:rPr>
                  <w:rFonts w:ascii="Arial" w:cs="Arial" w:eastAsia="Arial" w:hAnsi="Arial"/>
                  <w:sz w:val="17"/>
                  <w:szCs w:val="17"/>
                  <w:color w:val="0000FF"/>
                  <w:w w:val="90"/>
                </w:rPr>
                <w:t>dated December 14, 2017</w:t>
              </w:r>
            </w:hyperlink>
          </w:p>
        </w:tc>
        <w:tc>
          <w:tcPr>
            <w:tcW w:w="344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w w:val="93"/>
              </w:rPr>
            </w:pPr>
            <w:hyperlink r:id="rId142">
              <w:r>
                <w:rPr>
                  <w:rFonts w:ascii="Arial" w:cs="Arial" w:eastAsia="Arial" w:hAnsi="Arial"/>
                  <w:sz w:val="17"/>
                  <w:szCs w:val="17"/>
                  <w:color w:val="0000FF"/>
                  <w:w w:val="93"/>
                </w:rPr>
                <w:t>Purchase Agreement, dated June 25, 2018, by and among MongoDB, Inc. and</w:t>
              </w:r>
            </w:hyperlink>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center"/>
              <w:ind w:left="116"/>
              <w:spacing w:after="0"/>
              <w:rPr>
                <w:sz w:val="20"/>
                <w:szCs w:val="20"/>
                <w:color w:val="auto"/>
              </w:rPr>
            </w:pPr>
            <w:r>
              <w:rPr>
                <w:rFonts w:ascii="Arial" w:cs="Arial" w:eastAsia="Arial" w:hAnsi="Arial"/>
                <w:sz w:val="17"/>
                <w:szCs w:val="17"/>
                <w:color w:val="auto"/>
                <w:w w:val="90"/>
              </w:rPr>
              <w:t>99.1</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6/28/18</w:t>
            </w: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0"/>
          </w:tcPr>
          <w:p>
            <w:pPr>
              <w:spacing w:after="0" w:line="150" w:lineRule="exact"/>
              <w:rPr>
                <w:rFonts w:ascii="Arial" w:cs="Arial" w:eastAsia="Arial" w:hAnsi="Arial"/>
                <w:sz w:val="17"/>
                <w:szCs w:val="17"/>
                <w:color w:val="0000FF"/>
              </w:rPr>
            </w:pPr>
            <w:hyperlink r:id="rId142">
              <w:r>
                <w:rPr>
                  <w:rFonts w:ascii="Arial" w:cs="Arial" w:eastAsia="Arial" w:hAnsi="Arial"/>
                  <w:sz w:val="17"/>
                  <w:szCs w:val="17"/>
                  <w:color w:val="0000FF"/>
                </w:rPr>
                <w:t>Morgan Stanley &amp; Co. LLC, Goldman Sachs &amp; Co. LLC and Barclays</w:t>
              </w:r>
            </w:hyperlink>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4"/>
              </w:rPr>
            </w:pPr>
            <w:hyperlink r:id="rId142">
              <w:r>
                <w:rPr>
                  <w:rFonts w:ascii="Arial" w:cs="Arial" w:eastAsia="Arial" w:hAnsi="Arial"/>
                  <w:sz w:val="17"/>
                  <w:szCs w:val="17"/>
                  <w:color w:val="0000FF"/>
                  <w:w w:val="94"/>
                </w:rPr>
                <w:t>Capital Inc.</w:t>
              </w:r>
            </w:hyperlink>
          </w:p>
        </w:tc>
        <w:tc>
          <w:tcPr>
            <w:tcW w:w="412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8"/>
          </w:tcPr>
          <w:p>
            <w:pPr>
              <w:spacing w:after="0"/>
              <w:rPr>
                <w:rFonts w:ascii="Arial" w:cs="Arial" w:eastAsia="Arial" w:hAnsi="Arial"/>
                <w:sz w:val="17"/>
                <w:szCs w:val="17"/>
                <w:color w:val="0000FF"/>
                <w:w w:val="94"/>
              </w:rPr>
            </w:pPr>
            <w:hyperlink r:id="rId143">
              <w:r>
                <w:rPr>
                  <w:rFonts w:ascii="Arial" w:cs="Arial" w:eastAsia="Arial" w:hAnsi="Arial"/>
                  <w:sz w:val="17"/>
                  <w:szCs w:val="17"/>
                  <w:color w:val="0000FF"/>
                  <w:w w:val="94"/>
                </w:rPr>
                <w:t>Form of Confirmation for 2018 Capped Call Transactions</w:t>
              </w:r>
            </w:hyperlink>
          </w:p>
        </w:tc>
        <w:tc>
          <w:tcPr>
            <w:tcW w:w="1540" w:type="dxa"/>
            <w:vAlign w:val="bottom"/>
            <w:gridSpan w:val="14"/>
          </w:tcPr>
          <w:p>
            <w:pPr>
              <w:spacing w:after="0"/>
              <w:rPr>
                <w:sz w:val="22"/>
                <w:szCs w:val="22"/>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center"/>
              <w:ind w:left="116"/>
              <w:spacing w:after="0"/>
              <w:rPr>
                <w:sz w:val="20"/>
                <w:szCs w:val="20"/>
                <w:color w:val="auto"/>
              </w:rPr>
            </w:pPr>
            <w:r>
              <w:rPr>
                <w:rFonts w:ascii="Arial" w:cs="Arial" w:eastAsia="Arial" w:hAnsi="Arial"/>
                <w:sz w:val="17"/>
                <w:szCs w:val="17"/>
                <w:color w:val="auto"/>
                <w:w w:val="90"/>
              </w:rPr>
              <w:t>99.2</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6/28/18</w:t>
            </w: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w w:val="97"/>
              </w:rPr>
            </w:pPr>
            <w:hyperlink r:id="rId144">
              <w:r>
                <w:rPr>
                  <w:rFonts w:ascii="Arial" w:cs="Arial" w:eastAsia="Arial" w:hAnsi="Arial"/>
                  <w:sz w:val="17"/>
                  <w:szCs w:val="17"/>
                  <w:color w:val="0000FF"/>
                  <w:w w:val="97"/>
                </w:rPr>
                <w:t>Purchase Agreement, dated January 9, 2020, by and among MongoDB, Inc.</w:t>
              </w:r>
            </w:hyperlink>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center"/>
              <w:ind w:left="116"/>
              <w:spacing w:after="0"/>
              <w:rPr>
                <w:sz w:val="20"/>
                <w:szCs w:val="20"/>
                <w:color w:val="auto"/>
              </w:rPr>
            </w:pPr>
            <w:r>
              <w:rPr>
                <w:rFonts w:ascii="Arial" w:cs="Arial" w:eastAsia="Arial" w:hAnsi="Arial"/>
                <w:sz w:val="17"/>
                <w:szCs w:val="17"/>
                <w:color w:val="auto"/>
                <w:w w:val="90"/>
              </w:rPr>
              <w:t>99.1</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1/14/20</w:t>
            </w: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144">
              <w:r>
                <w:rPr>
                  <w:rFonts w:ascii="Arial" w:cs="Arial" w:eastAsia="Arial" w:hAnsi="Arial"/>
                  <w:sz w:val="17"/>
                  <w:szCs w:val="17"/>
                  <w:color w:val="0000FF"/>
                </w:rPr>
                <w:t>and Morgan Stanley &amp; Co. LLC, Goldman Sachs &amp; Co. LLC, Barclays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6"/>
          </w:tcPr>
          <w:p>
            <w:pPr>
              <w:spacing w:after="0" w:line="150" w:lineRule="exact"/>
              <w:rPr>
                <w:rFonts w:ascii="Arial" w:cs="Arial" w:eastAsia="Arial" w:hAnsi="Arial"/>
                <w:sz w:val="17"/>
                <w:szCs w:val="17"/>
                <w:color w:val="0000FF"/>
                <w:w w:val="95"/>
              </w:rPr>
            </w:pPr>
            <w:hyperlink r:id="rId144">
              <w:r>
                <w:rPr>
                  <w:rFonts w:ascii="Arial" w:cs="Arial" w:eastAsia="Arial" w:hAnsi="Arial"/>
                  <w:sz w:val="17"/>
                  <w:szCs w:val="17"/>
                  <w:color w:val="0000FF"/>
                  <w:w w:val="95"/>
                </w:rPr>
                <w:t>Capital, Inc. and Citigroup Global Markets, Inc.</w:t>
              </w:r>
            </w:hyperlink>
          </w:p>
        </w:tc>
        <w:tc>
          <w:tcPr>
            <w:tcW w:w="162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rPr>
            </w:pPr>
            <w:hyperlink r:id="rId145">
              <w:r>
                <w:rPr>
                  <w:rFonts w:ascii="Arial" w:cs="Arial" w:eastAsia="Arial" w:hAnsi="Arial"/>
                  <w:sz w:val="17"/>
                  <w:szCs w:val="17"/>
                  <w:color w:val="0000FF"/>
                </w:rPr>
                <w:t>Form of Confirmation for 2020 Capped Call Transactions</w:t>
              </w:r>
            </w:hyperlink>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center"/>
              <w:ind w:left="116"/>
              <w:spacing w:after="0"/>
              <w:rPr>
                <w:sz w:val="20"/>
                <w:szCs w:val="20"/>
                <w:color w:val="auto"/>
              </w:rPr>
            </w:pPr>
            <w:r>
              <w:rPr>
                <w:rFonts w:ascii="Arial" w:cs="Arial" w:eastAsia="Arial" w:hAnsi="Arial"/>
                <w:sz w:val="17"/>
                <w:szCs w:val="17"/>
                <w:color w:val="auto"/>
                <w:w w:val="90"/>
              </w:rPr>
              <w:t>99.2</w:t>
            </w:r>
          </w:p>
        </w:tc>
        <w:tc>
          <w:tcPr>
            <w:tcW w:w="980" w:type="dxa"/>
            <w:vAlign w:val="bottom"/>
          </w:tcPr>
          <w:p>
            <w:pPr>
              <w:jc w:val="right"/>
              <w:ind w:right="136"/>
              <w:spacing w:after="0"/>
              <w:rPr>
                <w:sz w:val="20"/>
                <w:szCs w:val="20"/>
                <w:color w:val="auto"/>
              </w:rPr>
            </w:pPr>
            <w:r>
              <w:rPr>
                <w:rFonts w:ascii="Arial" w:cs="Arial" w:eastAsia="Arial" w:hAnsi="Arial"/>
                <w:sz w:val="17"/>
                <w:szCs w:val="17"/>
                <w:color w:val="auto"/>
              </w:rPr>
              <w:t>1/14/20</w:t>
            </w: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20" w:type="dxa"/>
            <w:vAlign w:val="bottom"/>
            <w:tcBorders>
              <w:top w:val="single" w:sz="8" w:color="0000FF"/>
            </w:tcBorders>
            <w:gridSpan w:val="7"/>
          </w:tcPr>
          <w:p>
            <w:pPr>
              <w:spacing w:after="0"/>
              <w:rPr>
                <w:rFonts w:ascii="Arial" w:cs="Arial" w:eastAsia="Arial" w:hAnsi="Arial"/>
                <w:sz w:val="17"/>
                <w:szCs w:val="17"/>
                <w:color w:val="0000FF"/>
              </w:rPr>
            </w:pPr>
            <w:hyperlink w:anchor="page180">
              <w:r>
                <w:rPr>
                  <w:rFonts w:ascii="Arial" w:cs="Arial" w:eastAsia="Arial" w:hAnsi="Arial"/>
                  <w:sz w:val="17"/>
                  <w:szCs w:val="17"/>
                  <w:color w:val="0000FF"/>
                </w:rPr>
                <w:t>Subsidiaries of the Registrant</w:t>
              </w:r>
            </w:hyperlink>
          </w:p>
        </w:tc>
        <w:tc>
          <w:tcPr>
            <w:tcW w:w="1560" w:type="dxa"/>
            <w:vAlign w:val="bottom"/>
            <w:gridSpan w:val="15"/>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rPr>
            </w:pPr>
            <w:hyperlink w:anchor="page181">
              <w:r>
                <w:rPr>
                  <w:rFonts w:ascii="Arial" w:cs="Arial" w:eastAsia="Arial" w:hAnsi="Arial"/>
                  <w:sz w:val="17"/>
                  <w:szCs w:val="17"/>
                  <w:color w:val="0000FF"/>
                </w:rPr>
                <w:t>Consent of PricewaterhouseCoopers LLP, independent registered public</w:t>
              </w:r>
            </w:hyperlink>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5"/>
              </w:rPr>
            </w:pPr>
            <w:hyperlink w:anchor="page181">
              <w:r>
                <w:rPr>
                  <w:rFonts w:ascii="Arial" w:cs="Arial" w:eastAsia="Arial" w:hAnsi="Arial"/>
                  <w:sz w:val="17"/>
                  <w:szCs w:val="17"/>
                  <w:color w:val="0000FF"/>
                  <w:w w:val="95"/>
                </w:rPr>
                <w:t>accounting firm</w:t>
              </w:r>
            </w:hyperlink>
          </w:p>
        </w:tc>
        <w:tc>
          <w:tcPr>
            <w:tcW w:w="39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w w:val="98"/>
              </w:rPr>
            </w:pPr>
            <w:hyperlink w:anchor="page182">
              <w:r>
                <w:rPr>
                  <w:rFonts w:ascii="Arial" w:cs="Arial" w:eastAsia="Arial" w:hAnsi="Arial"/>
                  <w:sz w:val="17"/>
                  <w:szCs w:val="17"/>
                  <w:color w:val="0000FF"/>
                  <w:w w:val="98"/>
                </w:rPr>
                <w:t>Certification of Principal Executive Officer Pursuant to Rules 13a-14(a) and</w:t>
              </w:r>
            </w:hyperlink>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7"/>
          </w:tcPr>
          <w:p>
            <w:pPr>
              <w:spacing w:after="0" w:line="150" w:lineRule="exact"/>
              <w:rPr>
                <w:rFonts w:ascii="Arial" w:cs="Arial" w:eastAsia="Arial" w:hAnsi="Arial"/>
                <w:sz w:val="17"/>
                <w:szCs w:val="17"/>
                <w:color w:val="0000FF"/>
                <w:w w:val="93"/>
              </w:rPr>
            </w:pPr>
            <w:hyperlink w:anchor="page182">
              <w:r>
                <w:rPr>
                  <w:rFonts w:ascii="Arial" w:cs="Arial" w:eastAsia="Arial" w:hAnsi="Arial"/>
                  <w:sz w:val="17"/>
                  <w:szCs w:val="17"/>
                  <w:color w:val="0000FF"/>
                  <w:w w:val="93"/>
                </w:rPr>
                <w:t>15d-14(a) under the Securities Exchange Act of 1934, as Adopted Pursuant</w:t>
              </w:r>
            </w:hyperlink>
          </w:p>
        </w:tc>
        <w:tc>
          <w:tcPr>
            <w:tcW w:w="260" w:type="dxa"/>
            <w:vAlign w:val="bottom"/>
            <w:gridSpan w:val="5"/>
          </w:tcPr>
          <w:p>
            <w:pPr>
              <w:jc w:val="right"/>
              <w:ind w:right="140"/>
              <w:spacing w:after="0" w:line="150" w:lineRule="exact"/>
              <w:rPr>
                <w:rFonts w:ascii="Arial" w:cs="Arial" w:eastAsia="Arial" w:hAnsi="Arial"/>
                <w:sz w:val="17"/>
                <w:szCs w:val="17"/>
                <w:color w:val="0000FF"/>
                <w:w w:val="70"/>
              </w:rPr>
            </w:pPr>
            <w:hyperlink w:anchor="page182">
              <w:r>
                <w:rPr>
                  <w:rFonts w:ascii="Arial" w:cs="Arial" w:eastAsia="Arial" w:hAnsi="Arial"/>
                  <w:sz w:val="17"/>
                  <w:szCs w:val="17"/>
                  <w:color w:val="0000FF"/>
                  <w:w w:val="70"/>
                </w:rPr>
                <w:t>to</w:t>
              </w:r>
            </w:hyperlink>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3"/>
              </w:rPr>
            </w:pPr>
            <w:hyperlink w:anchor="page182">
              <w:r>
                <w:rPr>
                  <w:rFonts w:ascii="Arial" w:cs="Arial" w:eastAsia="Arial" w:hAnsi="Arial"/>
                  <w:sz w:val="17"/>
                  <w:szCs w:val="17"/>
                  <w:color w:val="0000FF"/>
                  <w:w w:val="93"/>
                </w:rPr>
                <w:t>Section 302 of the Sarbanes-Oxley Act of 2002</w:t>
              </w:r>
            </w:hyperlink>
          </w:p>
        </w:tc>
        <w:tc>
          <w:tcPr>
            <w:tcW w:w="2120" w:type="dxa"/>
            <w:vAlign w:val="bottom"/>
            <w:tcBorders>
              <w:top w:val="single" w:sz="8" w:color="0000FF"/>
            </w:tcBorders>
            <w:gridSpan w:val="14"/>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w w:val="99"/>
              </w:rPr>
            </w:pPr>
            <w:hyperlink w:anchor="page183">
              <w:r>
                <w:rPr>
                  <w:rFonts w:ascii="Arial" w:cs="Arial" w:eastAsia="Arial" w:hAnsi="Arial"/>
                  <w:sz w:val="17"/>
                  <w:szCs w:val="17"/>
                  <w:color w:val="0000FF"/>
                  <w:w w:val="99"/>
                </w:rPr>
                <w:t>Certification of Principal Financial Officer Pursuant to Rules 13a-14(a) and</w:t>
              </w:r>
            </w:hyperlink>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5"/>
          </w:tcPr>
          <w:p>
            <w:pPr>
              <w:spacing w:after="0" w:line="150" w:lineRule="exact"/>
              <w:rPr>
                <w:rFonts w:ascii="Arial" w:cs="Arial" w:eastAsia="Arial" w:hAnsi="Arial"/>
                <w:sz w:val="17"/>
                <w:szCs w:val="17"/>
                <w:color w:val="0000FF"/>
                <w:w w:val="92"/>
              </w:rPr>
            </w:pPr>
            <w:hyperlink w:anchor="page183">
              <w:r>
                <w:rPr>
                  <w:rFonts w:ascii="Arial" w:cs="Arial" w:eastAsia="Arial" w:hAnsi="Arial"/>
                  <w:sz w:val="17"/>
                  <w:szCs w:val="17"/>
                  <w:color w:val="0000FF"/>
                  <w:w w:val="92"/>
                </w:rPr>
                <w:t>15d-14(a) under the Securities Exchange Act of 1934, as Adopted Pursuant</w:t>
              </w:r>
            </w:hyperlink>
          </w:p>
        </w:tc>
        <w:tc>
          <w:tcPr>
            <w:tcW w:w="300" w:type="dxa"/>
            <w:vAlign w:val="bottom"/>
            <w:gridSpan w:val="7"/>
          </w:tcPr>
          <w:p>
            <w:pPr>
              <w:jc w:val="right"/>
              <w:ind w:right="140"/>
              <w:spacing w:after="0" w:line="150" w:lineRule="exact"/>
              <w:rPr>
                <w:rFonts w:ascii="Arial" w:cs="Arial" w:eastAsia="Arial" w:hAnsi="Arial"/>
                <w:sz w:val="17"/>
                <w:szCs w:val="17"/>
                <w:color w:val="0000FF"/>
                <w:w w:val="98"/>
              </w:rPr>
            </w:pPr>
            <w:hyperlink w:anchor="page183">
              <w:r>
                <w:rPr>
                  <w:rFonts w:ascii="Arial" w:cs="Arial" w:eastAsia="Arial" w:hAnsi="Arial"/>
                  <w:sz w:val="17"/>
                  <w:szCs w:val="17"/>
                  <w:color w:val="0000FF"/>
                  <w:w w:val="98"/>
                </w:rPr>
                <w:t>to</w:t>
              </w:r>
            </w:hyperlink>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3"/>
              </w:rPr>
            </w:pPr>
            <w:hyperlink w:anchor="page183">
              <w:r>
                <w:rPr>
                  <w:rFonts w:ascii="Arial" w:cs="Arial" w:eastAsia="Arial" w:hAnsi="Arial"/>
                  <w:sz w:val="17"/>
                  <w:szCs w:val="17"/>
                  <w:color w:val="0000FF"/>
                  <w:w w:val="93"/>
                </w:rPr>
                <w:t>Section 302 of the Sarbanes-Oxley Act of 2002</w:t>
              </w:r>
            </w:hyperlink>
          </w:p>
        </w:tc>
        <w:tc>
          <w:tcPr>
            <w:tcW w:w="2120" w:type="dxa"/>
            <w:vAlign w:val="bottom"/>
            <w:tcBorders>
              <w:top w:val="single" w:sz="8" w:color="0000FF"/>
            </w:tcBorders>
            <w:gridSpan w:val="14"/>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tcBorders>
              <w:bottom w:val="single" w:sz="8" w:color="0000FF"/>
            </w:tcBorders>
            <w:gridSpan w:val="13"/>
          </w:tcPr>
          <w:p>
            <w:pPr>
              <w:spacing w:after="0"/>
              <w:rPr>
                <w:rFonts w:ascii="Arial" w:cs="Arial" w:eastAsia="Arial" w:hAnsi="Arial"/>
                <w:sz w:val="17"/>
                <w:szCs w:val="17"/>
                <w:color w:val="0000FF"/>
                <w:w w:val="94"/>
              </w:rPr>
            </w:pPr>
            <w:hyperlink w:anchor="page184">
              <w:r>
                <w:rPr>
                  <w:rFonts w:ascii="Arial" w:cs="Arial" w:eastAsia="Arial" w:hAnsi="Arial"/>
                  <w:sz w:val="17"/>
                  <w:szCs w:val="17"/>
                  <w:color w:val="0000FF"/>
                  <w:w w:val="94"/>
                </w:rPr>
                <w:t>Certification of Principal Executive Officer Pursuant to 18 U.S.C. Section</w:t>
              </w:r>
            </w:hyperlink>
          </w:p>
        </w:tc>
        <w:tc>
          <w:tcPr>
            <w:tcW w:w="42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bottom w:val="single" w:sz="8" w:color="0000FF"/>
            </w:tcBorders>
            <w:gridSpan w:val="18"/>
          </w:tcPr>
          <w:p>
            <w:pPr>
              <w:spacing w:after="0" w:line="150" w:lineRule="exact"/>
              <w:rPr>
                <w:rFonts w:ascii="Arial" w:cs="Arial" w:eastAsia="Arial" w:hAnsi="Arial"/>
                <w:sz w:val="17"/>
                <w:szCs w:val="17"/>
                <w:color w:val="0000FF"/>
                <w:w w:val="92"/>
              </w:rPr>
            </w:pPr>
            <w:hyperlink w:anchor="page184">
              <w:r>
                <w:rPr>
                  <w:rFonts w:ascii="Arial" w:cs="Arial" w:eastAsia="Arial" w:hAnsi="Arial"/>
                  <w:sz w:val="17"/>
                  <w:szCs w:val="17"/>
                  <w:color w:val="0000FF"/>
                  <w:w w:val="92"/>
                </w:rPr>
                <w:t>1350, as Adopted Pursuant to Section 906 of the Sarbanes-Oxley Act of 2002</w:t>
              </w:r>
            </w:hyperlink>
          </w:p>
        </w:tc>
        <w:tc>
          <w:tcPr>
            <w:tcW w:w="16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22"/>
          </w:tcPr>
          <w:p>
            <w:pPr>
              <w:spacing w:after="0"/>
              <w:rPr>
                <w:rFonts w:ascii="Arial" w:cs="Arial" w:eastAsia="Arial" w:hAnsi="Arial"/>
                <w:sz w:val="17"/>
                <w:szCs w:val="17"/>
                <w:color w:val="0000FF"/>
              </w:rPr>
            </w:pPr>
            <w:hyperlink w:anchor="page185">
              <w:r>
                <w:rPr>
                  <w:rFonts w:ascii="Arial" w:cs="Arial" w:eastAsia="Arial" w:hAnsi="Arial"/>
                  <w:sz w:val="17"/>
                  <w:szCs w:val="17"/>
                  <w:color w:val="0000FF"/>
                </w:rPr>
                <w:t>Certification of Principal Financial Officer Pursuant to 18 U.S.C. Section</w:t>
              </w:r>
            </w:hyperlink>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2"/>
          </w:tcPr>
          <w:p>
            <w:pPr>
              <w:spacing w:after="0" w:line="150" w:lineRule="exact"/>
              <w:rPr>
                <w:rFonts w:ascii="Arial" w:cs="Arial" w:eastAsia="Arial" w:hAnsi="Arial"/>
                <w:sz w:val="17"/>
                <w:szCs w:val="17"/>
                <w:color w:val="0000FF"/>
                <w:w w:val="94"/>
              </w:rPr>
            </w:pPr>
            <w:hyperlink w:anchor="page185">
              <w:r>
                <w:rPr>
                  <w:rFonts w:ascii="Arial" w:cs="Arial" w:eastAsia="Arial" w:hAnsi="Arial"/>
                  <w:sz w:val="17"/>
                  <w:szCs w:val="17"/>
                  <w:color w:val="0000FF"/>
                  <w:w w:val="94"/>
                </w:rPr>
                <w:t>1350, as Adopted Pursuant to Section 906 of the Sarbanes-Oxley Act of</w:t>
              </w:r>
            </w:hyperlink>
          </w:p>
        </w:tc>
        <w:tc>
          <w:tcPr>
            <w:tcW w:w="300" w:type="dxa"/>
            <w:vAlign w:val="bottom"/>
            <w:tcBorders>
              <w:bottom w:val="single" w:sz="8" w:color="0000FF"/>
            </w:tcBorders>
            <w:gridSpan w:val="6"/>
          </w:tcPr>
          <w:p>
            <w:pPr>
              <w:jc w:val="right"/>
              <w:spacing w:after="0" w:line="150" w:lineRule="exact"/>
              <w:rPr>
                <w:rFonts w:ascii="Arial" w:cs="Arial" w:eastAsia="Arial" w:hAnsi="Arial"/>
                <w:sz w:val="17"/>
                <w:szCs w:val="17"/>
                <w:color w:val="0000FF"/>
                <w:w w:val="73"/>
              </w:rPr>
            </w:pPr>
            <w:hyperlink w:anchor="page185">
              <w:r>
                <w:rPr>
                  <w:rFonts w:ascii="Arial" w:cs="Arial" w:eastAsia="Arial" w:hAnsi="Arial"/>
                  <w:sz w:val="17"/>
                  <w:szCs w:val="17"/>
                  <w:color w:val="0000FF"/>
                  <w:w w:val="73"/>
                </w:rPr>
                <w:t>2002</w:t>
              </w:r>
            </w:hyperlink>
          </w:p>
        </w:tc>
        <w:tc>
          <w:tcPr>
            <w:tcW w:w="16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93"/>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Instance Document</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4"/>
        </w:trPr>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3"/>
                <w:szCs w:val="23"/>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Taxonomy Extension Schema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101.CAL</w:t>
            </w:r>
          </w:p>
        </w:tc>
        <w:tc>
          <w:tcPr>
            <w:tcW w:w="20" w:type="dxa"/>
            <w:vAlign w:val="bottom"/>
          </w:tcPr>
          <w:p>
            <w:pPr>
              <w:spacing w:after="0"/>
              <w:rPr>
                <w:sz w:val="23"/>
                <w:szCs w:val="23"/>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101.DEF</w:t>
            </w:r>
          </w:p>
        </w:tc>
        <w:tc>
          <w:tcPr>
            <w:tcW w:w="20" w:type="dxa"/>
            <w:vAlign w:val="bottom"/>
          </w:tcPr>
          <w:p>
            <w:pPr>
              <w:spacing w:after="0"/>
              <w:rPr>
                <w:sz w:val="23"/>
                <w:szCs w:val="23"/>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3"/>
                <w:szCs w:val="23"/>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3"/>
                <w:szCs w:val="23"/>
                <w:color w:val="auto"/>
              </w:rPr>
            </w:pPr>
          </w:p>
        </w:tc>
        <w:tc>
          <w:tcPr>
            <w:tcW w:w="5580" w:type="dxa"/>
            <w:vAlign w:val="bottom"/>
            <w:gridSpan w:val="22"/>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53" w:lineRule="exact"/>
        <w:rPr>
          <w:sz w:val="20"/>
          <w:szCs w:val="20"/>
          <w:color w:val="auto"/>
        </w:rPr>
      </w:pPr>
    </w:p>
    <w:p>
      <w:pPr>
        <w:ind w:left="1100" w:right="3840" w:hanging="736"/>
        <w:spacing w:after="0" w:line="185" w:lineRule="auto"/>
        <w:tabs>
          <w:tab w:leader="none" w:pos="1100" w:val="left"/>
        </w:tabs>
        <w:numPr>
          <w:ilvl w:val="0"/>
          <w:numId w:val="44"/>
        </w:numPr>
        <w:rPr>
          <w:rFonts w:ascii="Arial" w:cs="Arial" w:eastAsia="Arial" w:hAnsi="Arial"/>
          <w:sz w:val="29"/>
          <w:szCs w:val="29"/>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75565</wp:posOffset>
            </wp:positionV>
            <wp:extent cx="689927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689927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Filed</w:t>
      </w:r>
    </w:p>
    <w:p>
      <w:pPr>
        <w:jc w:val="center"/>
        <w:ind w:right="26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282575</wp:posOffset>
            </wp:positionV>
            <wp:extent cx="564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74930</wp:posOffset>
            </wp:positionV>
            <wp:extent cx="564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4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4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431" w:lineRule="exact"/>
        <w:rPr>
          <w:sz w:val="20"/>
          <w:szCs w:val="20"/>
          <w:color w:val="auto"/>
        </w:rPr>
      </w:pPr>
    </w:p>
    <w:p>
      <w:pPr>
        <w:sectPr>
          <w:pgSz w:w="11900" w:h="16838" w:orient="portrait"/>
          <w:cols w:equalWidth="0" w:num="2">
            <w:col w:w="10260" w:space="260"/>
            <w:col w:w="820"/>
          </w:cols>
          <w:pgMar w:left="320" w:top="121" w:right="239" w:bottom="1440" w:gutter="0" w:footer="0" w:header="0"/>
        </w:sectPr>
      </w:pPr>
    </w:p>
    <w:p>
      <w:pPr>
        <w:ind w:left="2040" w:hanging="1314"/>
        <w:spacing w:after="0"/>
        <w:tabs>
          <w:tab w:leader="none" w:pos="2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7" w:lineRule="exact"/>
        <w:rPr>
          <w:sz w:val="20"/>
          <w:szCs w:val="20"/>
          <w:color w:val="auto"/>
        </w:rPr>
      </w:pPr>
    </w:p>
    <w:p>
      <w:pPr>
        <w:jc w:val="both"/>
        <w:ind w:left="1580" w:hanging="854"/>
        <w:spacing w:after="0" w:line="229" w:lineRule="auto"/>
        <w:tabs>
          <w:tab w:leader="none" w:pos="20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certification is deemed not filed for purposes of Section 18 of the Securities Exchange Act of 1934, as amended, or otherwise su to the liability of that section, nor shall it be deemed incorporated by reference into any filing under the Securities Act of 1933, as amended,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15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2" w:name="page113"/>
    <w:bookmarkEnd w:id="112"/>
    <w:p>
      <w:pPr>
        <w:jc w:val="center"/>
        <w:ind w:left="460"/>
        <w:spacing w:after="0"/>
        <w:rPr>
          <w:sz w:val="20"/>
          <w:szCs w:val="20"/>
          <w:color w:val="auto"/>
        </w:rPr>
      </w:pPr>
      <w:r>
        <w:rPr>
          <w:rFonts w:ascii="Arial" w:cs="Arial" w:eastAsia="Arial" w:hAnsi="Arial"/>
          <w:sz w:val="21"/>
          <w:szCs w:val="21"/>
          <w:b w:val="1"/>
          <w:bCs w:val="1"/>
          <w:color w:val="auto"/>
        </w:rPr>
        <w:t>SIGNATURES</w:t>
      </w:r>
    </w:p>
    <w:p>
      <w:pPr>
        <w:spacing w:after="0" w:line="166" w:lineRule="exact"/>
        <w:rPr>
          <w:sz w:val="20"/>
          <w:szCs w:val="20"/>
          <w:color w:val="auto"/>
        </w:rPr>
      </w:pPr>
    </w:p>
    <w:p>
      <w:pPr>
        <w:ind w:right="240" w:firstLine="431"/>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196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5740" w:type="dxa"/>
            <w:vAlign w:val="bottom"/>
            <w:gridSpan w:val="3"/>
          </w:tcPr>
          <w:p>
            <w:pPr>
              <w:ind w:left="1020"/>
              <w:spacing w:after="0"/>
              <w:rPr>
                <w:sz w:val="20"/>
                <w:szCs w:val="20"/>
                <w:color w:val="auto"/>
              </w:rPr>
            </w:pPr>
            <w:r>
              <w:rPr>
                <w:rFonts w:ascii="Arial" w:cs="Arial" w:eastAsia="Arial" w:hAnsi="Arial"/>
                <w:sz w:val="17"/>
                <w:szCs w:val="17"/>
                <w:b w:val="1"/>
                <w:bCs w:val="1"/>
                <w:color w:val="auto"/>
              </w:rPr>
              <w:t>MONGODB, INC.</w:t>
            </w:r>
          </w:p>
        </w:tc>
        <w:tc>
          <w:tcPr>
            <w:tcW w:w="0" w:type="dxa"/>
            <w:vAlign w:val="bottom"/>
          </w:tcPr>
          <w:p>
            <w:pPr>
              <w:spacing w:after="0"/>
              <w:rPr>
                <w:sz w:val="1"/>
                <w:szCs w:val="1"/>
                <w:color w:val="auto"/>
              </w:rPr>
            </w:pPr>
          </w:p>
        </w:tc>
      </w:tr>
      <w:tr>
        <w:trPr>
          <w:trHeight w:val="536"/>
        </w:trPr>
        <w:tc>
          <w:tcPr>
            <w:tcW w:w="2560" w:type="dxa"/>
            <w:vAlign w:val="bottom"/>
          </w:tcPr>
          <w:p>
            <w:pPr>
              <w:spacing w:after="0"/>
              <w:rPr>
                <w:sz w:val="20"/>
                <w:szCs w:val="20"/>
                <w:color w:val="auto"/>
              </w:rPr>
            </w:pPr>
            <w:r>
              <w:rPr>
                <w:rFonts w:ascii="Arial" w:cs="Arial" w:eastAsia="Arial" w:hAnsi="Arial"/>
                <w:sz w:val="17"/>
                <w:szCs w:val="17"/>
                <w:color w:val="auto"/>
              </w:rPr>
              <w:t>Date: March 18, 2022</w:t>
            </w:r>
          </w:p>
        </w:tc>
        <w:tc>
          <w:tcPr>
            <w:tcW w:w="2300" w:type="dxa"/>
            <w:vAlign w:val="bottom"/>
            <w:gridSpan w:val="2"/>
          </w:tcPr>
          <w:p>
            <w:pPr>
              <w:ind w:left="1020"/>
              <w:spacing w:after="0"/>
              <w:rPr>
                <w:sz w:val="20"/>
                <w:szCs w:val="20"/>
                <w:color w:val="auto"/>
              </w:rPr>
            </w:pPr>
            <w:r>
              <w:rPr>
                <w:rFonts w:ascii="Arial" w:cs="Arial" w:eastAsia="Arial" w:hAnsi="Arial"/>
                <w:sz w:val="17"/>
                <w:szCs w:val="17"/>
                <w:color w:val="auto"/>
              </w:rPr>
              <w:t>By:</w:t>
            </w:r>
          </w:p>
        </w:tc>
        <w:tc>
          <w:tcPr>
            <w:tcW w:w="3440" w:type="dxa"/>
            <w:vAlign w:val="bottom"/>
          </w:tcPr>
          <w:p>
            <w:pPr>
              <w:ind w:left="500"/>
              <w:spacing w:after="0"/>
              <w:rPr>
                <w:sz w:val="20"/>
                <w:szCs w:val="20"/>
                <w:color w:val="auto"/>
              </w:rPr>
            </w:pPr>
            <w:r>
              <w:rPr>
                <w:rFonts w:ascii="Arial" w:cs="Arial" w:eastAsia="Arial" w:hAnsi="Arial"/>
                <w:sz w:val="17"/>
                <w:szCs w:val="17"/>
                <w:color w:val="auto"/>
              </w:rPr>
              <w:t>/s/ Dev Ittycheria</w:t>
            </w:r>
          </w:p>
        </w:tc>
        <w:tc>
          <w:tcPr>
            <w:tcW w:w="0" w:type="dxa"/>
            <w:vAlign w:val="bottom"/>
          </w:tcPr>
          <w:p>
            <w:pPr>
              <w:spacing w:after="0"/>
              <w:rPr>
                <w:sz w:val="1"/>
                <w:szCs w:val="1"/>
                <w:color w:val="auto"/>
              </w:rPr>
            </w:pPr>
          </w:p>
        </w:tc>
      </w:tr>
      <w:tr>
        <w:trPr>
          <w:trHeight w:val="254"/>
        </w:trPr>
        <w:tc>
          <w:tcPr>
            <w:tcW w:w="2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Borders>
              <w:top w:val="single" w:sz="8" w:color="auto"/>
            </w:tcBorders>
          </w:tcPr>
          <w:p>
            <w:pPr>
              <w:ind w:left="480"/>
              <w:spacing w:after="0"/>
              <w:rPr>
                <w:sz w:val="20"/>
                <w:szCs w:val="20"/>
                <w:color w:val="auto"/>
              </w:rPr>
            </w:pPr>
            <w:r>
              <w:rPr>
                <w:rFonts w:ascii="Arial" w:cs="Arial" w:eastAsia="Arial" w:hAnsi="Arial"/>
                <w:sz w:val="17"/>
                <w:szCs w:val="17"/>
                <w:b w:val="1"/>
                <w:bCs w:val="1"/>
                <w:color w:val="auto"/>
                <w:w w:val="96"/>
              </w:rPr>
              <w:t>Name:</w:t>
            </w:r>
          </w:p>
        </w:tc>
        <w:tc>
          <w:tcPr>
            <w:tcW w:w="34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Dev Ittycheria</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vMerge w:val="restart"/>
          </w:tcPr>
          <w:p>
            <w:pPr>
              <w:ind w:left="480"/>
              <w:spacing w:after="0"/>
              <w:rPr>
                <w:sz w:val="20"/>
                <w:szCs w:val="20"/>
                <w:color w:val="auto"/>
              </w:rPr>
            </w:pPr>
            <w:r>
              <w:rPr>
                <w:rFonts w:ascii="Arial" w:cs="Arial" w:eastAsia="Arial" w:hAnsi="Arial"/>
                <w:sz w:val="17"/>
                <w:szCs w:val="17"/>
                <w:b w:val="1"/>
                <w:bCs w:val="1"/>
                <w:color w:val="auto"/>
              </w:rPr>
              <w:t>Title:</w:t>
            </w:r>
          </w:p>
        </w:tc>
        <w:tc>
          <w:tcPr>
            <w:tcW w:w="3440" w:type="dxa"/>
            <w:vAlign w:val="bottom"/>
          </w:tcPr>
          <w:p>
            <w:pPr>
              <w:ind w:left="500"/>
              <w:spacing w:after="0" w:line="171" w:lineRule="exact"/>
              <w:rPr>
                <w:sz w:val="20"/>
                <w:szCs w:val="20"/>
                <w:color w:val="auto"/>
              </w:rPr>
            </w:pPr>
            <w:r>
              <w:rPr>
                <w:rFonts w:ascii="Arial" w:cs="Arial" w:eastAsia="Arial" w:hAnsi="Arial"/>
                <w:sz w:val="17"/>
                <w:szCs w:val="17"/>
                <w:color w:val="auto"/>
              </w:rPr>
              <w:t>President, Chief Executive Officer and</w:t>
            </w:r>
          </w:p>
        </w:tc>
        <w:tc>
          <w:tcPr>
            <w:tcW w:w="0" w:type="dxa"/>
            <w:vAlign w:val="bottom"/>
          </w:tcPr>
          <w:p>
            <w:pPr>
              <w:spacing w:after="0"/>
              <w:rPr>
                <w:sz w:val="1"/>
                <w:szCs w:val="1"/>
                <w:color w:val="auto"/>
              </w:rPr>
            </w:pPr>
          </w:p>
        </w:tc>
      </w:tr>
      <w:tr>
        <w:trPr>
          <w:trHeight w:val="221"/>
        </w:trPr>
        <w:tc>
          <w:tcPr>
            <w:tcW w:w="2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60"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4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8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6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Dev Ittycheria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President, Chief Executive Officer and 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Dev Ittycheria</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Michael Gordon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Chief Operating Officer and Chief Financial Officer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Michael Gordon</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Financial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Thomas Bull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Corporate Controller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Thomas Bull</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Accounting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Tom Killalea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Tom Killalea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Archana Agrawal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Archana Agrawal</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Roelof Botha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Roelof Botha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Hope Cochran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Hope Cochran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Francisco D’Souza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Francisco D’Souza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Charles M. Hazard, Jr.</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Charles M. Hazard, Jr.</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Dwight Merriman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Dwight Merriman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McMahon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18, 2022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John McMahon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240"/>
          </w:cols>
          <w:pgMar w:left="320" w:top="122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MongoDB, Inc.</w:t>
      </w:r>
    </w:p>
    <w:p>
      <w:pPr>
        <w:jc w:val="center"/>
        <w:spacing w:after="0" w:line="200" w:lineRule="auto"/>
        <w:rPr>
          <w:sz w:val="20"/>
          <w:szCs w:val="20"/>
          <w:color w:val="auto"/>
        </w:rPr>
      </w:pPr>
      <w:r>
        <w:rPr>
          <w:rFonts w:ascii="Arial" w:cs="Arial" w:eastAsia="Arial" w:hAnsi="Arial"/>
          <w:sz w:val="19"/>
          <w:szCs w:val="19"/>
          <w:b w:val="1"/>
          <w:bCs w:val="1"/>
          <w:color w:val="auto"/>
        </w:rPr>
        <w:t>Restricted Stock Unit Grant Notice (International)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(2016 Equity Incentive Plan)</w:t>
      </w:r>
    </w:p>
    <w:p>
      <w:pPr>
        <w:spacing w:after="0" w:line="184"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MongoDB,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2016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a Restricted Stock Unit Award for the number of shares of the Company’s Common Stock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in this notice of grant (this “</w:t>
      </w:r>
      <w:r>
        <w:rPr>
          <w:rFonts w:ascii="Arial" w:cs="Arial" w:eastAsia="Arial" w:hAnsi="Arial"/>
          <w:sz w:val="19"/>
          <w:szCs w:val="19"/>
          <w:b w:val="1"/>
          <w:bCs w:val="1"/>
          <w:i w:val="1"/>
          <w:iCs w:val="1"/>
          <w:color w:val="auto"/>
        </w:rPr>
        <w:t>Restricted Stock Unit Grant Notice</w:t>
      </w:r>
      <w:r>
        <w:rPr>
          <w:rFonts w:ascii="Arial" w:cs="Arial" w:eastAsia="Arial" w:hAnsi="Arial"/>
          <w:sz w:val="19"/>
          <w:szCs w:val="19"/>
          <w:color w:val="auto"/>
        </w:rPr>
        <w:t>”) and in the Plan and the Restricted Stock Unit Agreement (the “</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both of which are attached hereto and incorporated herein in their entirety. Capitalized terms not otherwise defined herein will have the meanings set forth in the Plan or the Award Agreement. In the event of any conflict between the terms in the Award and the Plan, the terms of the Plan will control.</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Participant:</w:t>
      </w:r>
    </w:p>
    <w:p>
      <w:pPr>
        <w:ind w:left="640"/>
        <w:spacing w:after="0" w:line="200" w:lineRule="auto"/>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-114300</wp:posOffset>
            </wp:positionV>
            <wp:extent cx="1219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ind w:left="640"/>
        <w:spacing w:after="0" w:line="201" w:lineRule="auto"/>
        <w:rPr>
          <w:sz w:val="20"/>
          <w:szCs w:val="20"/>
          <w:color w:val="auto"/>
        </w:rPr>
      </w:pPr>
      <w:r>
        <w:rPr>
          <w:rFonts w:ascii="Arial" w:cs="Arial" w:eastAsia="Arial" w:hAnsi="Arial"/>
          <w:sz w:val="19"/>
          <w:szCs w:val="19"/>
          <w:color w:val="auto"/>
        </w:rPr>
        <w:t>Vesting Base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-114300</wp:posOffset>
            </wp:positionV>
            <wp:extent cx="121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9"/>
          <w:szCs w:val="19"/>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-137795</wp:posOffset>
            </wp:positionV>
            <wp:extent cx="1219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-21590</wp:posOffset>
            </wp:positionV>
            <wp:extent cx="121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Base Date:</w:t>
      </w:r>
    </w:p>
    <w:p>
      <w:pPr>
        <w:spacing w:after="0" w:line="200"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b w:val="1"/>
          <w:bCs w:val="1"/>
          <w:color w:val="auto"/>
        </w:rPr>
        <w:t>Vesting Schedule:</w:t>
      </w:r>
      <w:r>
        <w:rPr>
          <w:sz w:val="20"/>
          <w:szCs w:val="20"/>
          <w:color w:val="auto"/>
        </w:rPr>
        <w:tab/>
      </w:r>
      <w:r>
        <w:rPr>
          <w:rFonts w:ascii="Arial" w:cs="Arial" w:eastAsia="Arial" w:hAnsi="Arial"/>
          <w:sz w:val="17"/>
          <w:szCs w:val="17"/>
          <w:color w:val="auto"/>
        </w:rPr>
        <w:t>[___________________]</w:t>
      </w:r>
    </w:p>
    <w:p>
      <w:pPr>
        <w:spacing w:after="0" w:line="200" w:lineRule="exact"/>
        <w:rPr>
          <w:sz w:val="20"/>
          <w:szCs w:val="20"/>
          <w:color w:val="auto"/>
        </w:rPr>
      </w:pPr>
    </w:p>
    <w:p>
      <w:pPr>
        <w:spacing w:after="0" w:line="235" w:lineRule="exact"/>
        <w:rPr>
          <w:sz w:val="20"/>
          <w:szCs w:val="20"/>
          <w:color w:val="auto"/>
        </w:rPr>
      </w:pPr>
    </w:p>
    <w:p>
      <w:pPr>
        <w:jc w:val="both"/>
        <w:ind w:left="1780" w:hanging="1881"/>
        <w:spacing w:after="0" w:line="233" w:lineRule="auto"/>
        <w:tabs>
          <w:tab w:leader="none" w:pos="1760" w:val="left"/>
        </w:tabs>
        <w:rPr>
          <w:sz w:val="20"/>
          <w:szCs w:val="20"/>
          <w:color w:val="auto"/>
        </w:rPr>
      </w:pPr>
      <w:r>
        <w:rPr>
          <w:rFonts w:ascii="Arial" w:cs="Arial" w:eastAsia="Arial" w:hAnsi="Arial"/>
          <w:sz w:val="19"/>
          <w:szCs w:val="19"/>
          <w:b w:val="1"/>
          <w:bCs w:val="1"/>
          <w:color w:val="auto"/>
        </w:rPr>
        <w:t>Issuance Schedule:</w:t>
      </w:r>
      <w:r>
        <w:rPr>
          <w:sz w:val="20"/>
          <w:szCs w:val="20"/>
          <w:color w:val="auto"/>
        </w:rPr>
        <w:tab/>
      </w:r>
      <w:r>
        <w:rPr>
          <w:rFonts w:ascii="Arial" w:cs="Arial" w:eastAsia="Arial" w:hAnsi="Arial"/>
          <w:sz w:val="19"/>
          <w:szCs w:val="19"/>
          <w:color w:val="auto"/>
        </w:rPr>
        <w:t>The shares of Common Stock to be issued in respect of the Award will be issued in accordance with the issuance schedule set forth in Section 6 of the Restricted Stock Unit Agreement.</w:t>
      </w:r>
    </w:p>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Restricted Stock Unit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Award Agreement, including any country-specific appendices, and the Plan. Participant acknowledges and agrees that this Restricted Stock Unit Grant Notice and the Award Agreement may not be modified, amended or revised except as provided in the Plan. Participant further acknowledges that as of the Date of Grant, this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w:t>
      </w:r>
    </w:p>
    <w:p>
      <w:pPr>
        <w:spacing w:after="0" w:line="1" w:lineRule="exact"/>
        <w:rPr>
          <w:sz w:val="20"/>
          <w:szCs w:val="20"/>
          <w:color w:val="auto"/>
        </w:rPr>
      </w:pPr>
    </w:p>
    <w:p>
      <w:pPr>
        <w:ind w:firstLine="5"/>
        <w:spacing w:after="0" w:line="262" w:lineRule="auto"/>
        <w:tabs>
          <w:tab w:leader="none" w:pos="3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compensation recovery 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158"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w:t>
      </w:r>
    </w:p>
    <w:p>
      <w:pPr>
        <w:sectPr>
          <w:pgSz w:w="11900" w:h="16838" w:orient="portrait"/>
          <w:cols w:equalWidth="0" w:num="1">
            <w:col w:w="11240"/>
          </w:cols>
          <w:pgMar w:left="320" w:top="138" w:right="339" w:bottom="1440" w:gutter="0" w:footer="0" w:header="0"/>
        </w:sectPr>
      </w:pPr>
    </w:p>
    <w:bookmarkStart w:id="114" w:name="page115"/>
    <w:bookmarkEnd w:id="114"/>
    <w:p>
      <w:pPr>
        <w:spacing w:after="0"/>
        <w:tabs>
          <w:tab w:leader="none" w:pos="1420" w:val="left"/>
        </w:tabs>
        <w:rPr>
          <w:sz w:val="20"/>
          <w:szCs w:val="20"/>
          <w:color w:val="auto"/>
        </w:rPr>
      </w:pPr>
      <w:r>
        <w:rPr>
          <w:rFonts w:ascii="Arial" w:cs="Arial" w:eastAsia="Arial" w:hAnsi="Arial"/>
          <w:sz w:val="19"/>
          <w:szCs w:val="19"/>
          <w:b w:val="1"/>
          <w:bCs w:val="1"/>
          <w:color w:val="auto"/>
        </w:rPr>
        <w:t>MongoDB, Inc.</w:t>
      </w:r>
      <w:r>
        <w:rPr>
          <w:sz w:val="20"/>
          <w:szCs w:val="20"/>
          <w:color w:val="auto"/>
        </w:rPr>
        <w:tab/>
      </w:r>
      <w:r>
        <w:rPr>
          <w:rFonts w:ascii="Arial" w:cs="Arial" w:eastAsia="Arial" w:hAnsi="Arial"/>
          <w:sz w:val="18"/>
          <w:szCs w:val="18"/>
          <w:b w:val="1"/>
          <w:bCs w:val="1"/>
          <w:color w:val="auto"/>
        </w:rPr>
        <w:t>Participant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ind w:left="200"/>
        <w:spacing w:after="0"/>
        <w:tabs>
          <w:tab w:leader="none" w:pos="110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-137795</wp:posOffset>
            </wp:positionV>
            <wp:extent cx="1219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-137795</wp:posOffset>
            </wp:positionV>
            <wp:extent cx="121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38"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-11430</wp:posOffset>
            </wp:positionV>
            <wp:extent cx="1219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829310</wp:posOffset>
            </wp:positionH>
            <wp:positionV relativeFrom="paragraph">
              <wp:posOffset>-11430</wp:posOffset>
            </wp:positionV>
            <wp:extent cx="1219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-11430</wp:posOffset>
            </wp:positionV>
            <wp:extent cx="1219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tabs>
          <w:tab w:leader="none" w:pos="1300" w:val="left"/>
        </w:tabs>
        <w:rPr>
          <w:sz w:val="20"/>
          <w:szCs w:val="20"/>
          <w:color w:val="auto"/>
        </w:rPr>
      </w:pPr>
      <w:r>
        <w:rPr>
          <w:rFonts w:ascii="Arial" w:cs="Arial" w:eastAsia="Arial" w:hAnsi="Arial"/>
          <w:sz w:val="19"/>
          <w:szCs w:val="19"/>
          <w:b w:val="1"/>
          <w:bCs w:val="1"/>
          <w:color w:val="auto"/>
        </w:rPr>
        <w:t>Attachments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Award Agreement, 2016 Equity Incentive Plan</w:t>
      </w:r>
    </w:p>
    <w:p>
      <w:pPr>
        <w:sectPr>
          <w:pgSz w:w="11900" w:h="16838" w:orient="portrait"/>
          <w:cols w:equalWidth="0" w:num="1">
            <w:col w:w="10139"/>
          </w:cols>
          <w:pgMar w:left="320" w:top="1280"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9"/>
          <w:szCs w:val="19"/>
          <w:b w:val="1"/>
          <w:bCs w:val="1"/>
          <w:color w:val="auto"/>
        </w:rPr>
        <w:t>MongoDB, Inc.</w:t>
      </w:r>
    </w:p>
    <w:p>
      <w:pPr>
        <w:jc w:val="center"/>
        <w:spacing w:after="0" w:line="200" w:lineRule="auto"/>
        <w:rPr>
          <w:sz w:val="20"/>
          <w:szCs w:val="20"/>
          <w:color w:val="auto"/>
        </w:rPr>
      </w:pPr>
      <w:r>
        <w:rPr>
          <w:rFonts w:ascii="Arial" w:cs="Arial" w:eastAsia="Arial" w:hAnsi="Arial"/>
          <w:sz w:val="19"/>
          <w:szCs w:val="19"/>
          <w:b w:val="1"/>
          <w:bCs w:val="1"/>
          <w:color w:val="auto"/>
        </w:rPr>
        <w:t>2016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spacing w:after="0" w:line="184"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17"/>
          <w:szCs w:val="17"/>
          <w:color w:val="auto"/>
        </w:rPr>
        <w:t>Pursuant to the Restricted Stock Unit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Restricted Stock Unit Agreement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in consideration of your services, MongoDB,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you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 Restricted Stock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pursuant to Section 6 of the Company’s 2016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spacing w:after="0" w:line="145" w:lineRule="exact"/>
        <w:rPr>
          <w:sz w:val="20"/>
          <w:szCs w:val="20"/>
          <w:color w:val="auto"/>
        </w:rPr>
      </w:pPr>
    </w:p>
    <w:p>
      <w:pPr>
        <w:jc w:val="both"/>
        <w:ind w:firstLine="632"/>
        <w:spacing w:after="0" w:line="232" w:lineRule="auto"/>
        <w:tabs>
          <w:tab w:leader="none" w:pos="1254"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the Award. </w:t>
      </w:r>
      <w:r>
        <w:rPr>
          <w:rFonts w:ascii="Arial" w:cs="Arial" w:eastAsia="Arial" w:hAnsi="Arial"/>
          <w:sz w:val="17"/>
          <w:szCs w:val="17"/>
          <w:color w:val="auto"/>
        </w:rPr>
        <w:t>This Award represents the right to be issued on a future date one (1) share of Common Stock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spacing w:after="0" w:line="149" w:lineRule="exact"/>
        <w:rPr>
          <w:rFonts w:ascii="Arial" w:cs="Arial" w:eastAsia="Arial" w:hAnsi="Arial"/>
          <w:sz w:val="17"/>
          <w:szCs w:val="17"/>
          <w:b w:val="1"/>
          <w:bCs w:val="1"/>
          <w:color w:val="auto"/>
        </w:rPr>
      </w:pPr>
    </w:p>
    <w:p>
      <w:pPr>
        <w:jc w:val="both"/>
        <w:ind w:firstLine="632"/>
        <w:spacing w:after="0" w:line="215" w:lineRule="auto"/>
        <w:tabs>
          <w:tab w:leader="none" w:pos="125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Subject to the limitations contained herein, your Award will vest, if at all, in accordance with the vesting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45" w:lineRule="exact"/>
        <w:rPr>
          <w:rFonts w:ascii="Arial" w:cs="Arial" w:eastAsia="Arial" w:hAnsi="Arial"/>
          <w:sz w:val="19"/>
          <w:szCs w:val="19"/>
          <w:b w:val="1"/>
          <w:bCs w:val="1"/>
          <w:color w:val="auto"/>
        </w:rPr>
      </w:pPr>
    </w:p>
    <w:p>
      <w:pPr>
        <w:jc w:val="both"/>
        <w:ind w:firstLine="632"/>
        <w:spacing w:after="0" w:line="224" w:lineRule="auto"/>
        <w:tabs>
          <w:tab w:leader="none" w:pos="125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The number of Restricted Stock Units/shares subject to your Award may be adjusted from time to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47" w:lineRule="exact"/>
        <w:rPr>
          <w:rFonts w:ascii="Arial" w:cs="Arial" w:eastAsia="Arial" w:hAnsi="Arial"/>
          <w:sz w:val="18"/>
          <w:szCs w:val="18"/>
          <w:b w:val="1"/>
          <w:bCs w:val="1"/>
          <w:color w:val="auto"/>
        </w:rPr>
      </w:pPr>
    </w:p>
    <w:p>
      <w:pPr>
        <w:jc w:val="both"/>
        <w:ind w:firstLine="632"/>
        <w:spacing w:after="0" w:line="215" w:lineRule="auto"/>
        <w:tabs>
          <w:tab w:leader="none" w:pos="125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US Securities Law Compliance</w:t>
      </w:r>
      <w:r>
        <w:rPr>
          <w:rFonts w:ascii="Arial" w:cs="Arial" w:eastAsia="Arial" w:hAnsi="Arial"/>
          <w:sz w:val="19"/>
          <w:szCs w:val="19"/>
          <w:color w:val="auto"/>
        </w:rPr>
        <w:t>. You may not be issued any Common Stock under your Award unless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200" w:lineRule="exact"/>
        <w:rPr>
          <w:rFonts w:ascii="Arial" w:cs="Arial" w:eastAsia="Arial" w:hAnsi="Arial"/>
          <w:sz w:val="19"/>
          <w:szCs w:val="19"/>
          <w:b w:val="1"/>
          <w:bCs w:val="1"/>
          <w:color w:val="auto"/>
        </w:rPr>
      </w:pPr>
    </w:p>
    <w:p>
      <w:pPr>
        <w:spacing w:after="0" w:line="389" w:lineRule="exact"/>
        <w:rPr>
          <w:rFonts w:ascii="Arial" w:cs="Arial" w:eastAsia="Arial" w:hAnsi="Arial"/>
          <w:sz w:val="19"/>
          <w:szCs w:val="19"/>
          <w:b w:val="1"/>
          <w:bCs w:val="1"/>
          <w:color w:val="auto"/>
        </w:rPr>
      </w:pPr>
    </w:p>
    <w:p>
      <w:pPr>
        <w:jc w:val="both"/>
        <w:ind w:firstLine="632"/>
        <w:spacing w:after="0" w:line="219" w:lineRule="auto"/>
        <w:tabs>
          <w:tab w:leader="none" w:pos="125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Transfer Restrictions</w:t>
      </w:r>
      <w:r>
        <w:rPr>
          <w:rFonts w:ascii="Arial" w:cs="Arial" w:eastAsia="Arial" w:hAnsi="Arial"/>
          <w:sz w:val="19"/>
          <w:szCs w:val="19"/>
          <w:color w:val="auto"/>
        </w:rPr>
        <w:t>. Prior to the time that shares of Common Stock have been delivered to you, you may not transfer, pledge,</w:t>
      </w:r>
      <w:r>
        <w:rPr>
          <w:rFonts w:ascii="Arial" w:cs="Arial" w:eastAsia="Arial" w:hAnsi="Arial"/>
          <w:sz w:val="19"/>
          <w:szCs w:val="19"/>
          <w:b w:val="1"/>
          <w:bCs w:val="1"/>
          <w:color w:val="auto"/>
        </w:rPr>
        <w:t xml:space="preserve"> </w:t>
      </w:r>
      <w:r>
        <w:rPr>
          <w:rFonts w:ascii="Arial" w:cs="Arial" w:eastAsia="Arial" w:hAnsi="Arial"/>
          <w:sz w:val="19"/>
          <w:szCs w:val="19"/>
          <w:color w:val="auto"/>
        </w:rPr>
        <w:t>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45" w:right="339" w:bottom="1440" w:gutter="0" w:footer="0" w:header="0"/>
        </w:sectPr>
      </w:pPr>
    </w:p>
    <w:bookmarkStart w:id="116" w:name="page117"/>
    <w:bookmarkEnd w:id="116"/>
    <w:p>
      <w:pPr>
        <w:jc w:val="both"/>
        <w:spacing w:after="0" w:line="217" w:lineRule="auto"/>
        <w:rPr>
          <w:sz w:val="20"/>
          <w:szCs w:val="20"/>
          <w:color w:val="auto"/>
        </w:rPr>
      </w:pPr>
      <w:r>
        <w:rPr>
          <w:rFonts w:ascii="Arial" w:cs="Arial" w:eastAsia="Arial" w:hAnsi="Arial"/>
          <w:sz w:val="19"/>
          <w:szCs w:val="19"/>
          <w:color w:val="auto"/>
        </w:rPr>
        <w:t>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145" w:lineRule="exact"/>
        <w:rPr>
          <w:sz w:val="20"/>
          <w:szCs w:val="20"/>
          <w:color w:val="auto"/>
        </w:rPr>
      </w:pPr>
    </w:p>
    <w:p>
      <w:pPr>
        <w:jc w:val="both"/>
        <w:ind w:firstLine="1259"/>
        <w:spacing w:after="0" w:line="225" w:lineRule="auto"/>
        <w:tabs>
          <w:tab w:leader="none" w:pos="1872" w:val="left"/>
        </w:tabs>
        <w:numPr>
          <w:ilvl w:val="1"/>
          <w:numId w:val="49"/>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Your Award is transferable by will and by the laws of descent and distribution. At your death, vesting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cease and your executor or administrator of your estate will be entitled to receive, on behalf of your estate, any Common Stock or other consideration that vested but was not issued before your death.</w:t>
      </w:r>
    </w:p>
    <w:p>
      <w:pPr>
        <w:spacing w:after="0" w:line="143" w:lineRule="exact"/>
        <w:rPr>
          <w:rFonts w:ascii="Arial" w:cs="Arial" w:eastAsia="Arial" w:hAnsi="Arial"/>
          <w:sz w:val="19"/>
          <w:szCs w:val="19"/>
          <w:color w:val="auto"/>
        </w:rPr>
      </w:pPr>
    </w:p>
    <w:p>
      <w:pPr>
        <w:jc w:val="both"/>
        <w:ind w:firstLine="1259"/>
        <w:spacing w:after="0" w:line="223" w:lineRule="auto"/>
        <w:tabs>
          <w:tab w:leader="none" w:pos="187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43" w:lineRule="exact"/>
        <w:rPr>
          <w:rFonts w:ascii="Arial" w:cs="Arial" w:eastAsia="Arial" w:hAnsi="Arial"/>
          <w:sz w:val="18"/>
          <w:szCs w:val="18"/>
          <w:color w:val="auto"/>
        </w:rPr>
      </w:pPr>
    </w:p>
    <w:p>
      <w:pPr>
        <w:ind w:left="1260" w:hanging="628"/>
        <w:spacing w:after="0"/>
        <w:tabs>
          <w:tab w:leader="none" w:pos="126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Date of Issuance.</w:t>
      </w:r>
    </w:p>
    <w:p>
      <w:pPr>
        <w:spacing w:after="0" w:line="179" w:lineRule="exact"/>
        <w:rPr>
          <w:rFonts w:ascii="Arial" w:cs="Arial" w:eastAsia="Arial" w:hAnsi="Arial"/>
          <w:sz w:val="19"/>
          <w:szCs w:val="19"/>
          <w:b w:val="1"/>
          <w:bCs w:val="1"/>
          <w:color w:val="auto"/>
        </w:rPr>
      </w:pPr>
    </w:p>
    <w:p>
      <w:pPr>
        <w:jc w:val="both"/>
        <w:ind w:firstLine="1259"/>
        <w:spacing w:after="0" w:line="239" w:lineRule="auto"/>
        <w:tabs>
          <w:tab w:leader="none" w:pos="1872"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ind w:firstLine="1259"/>
        <w:spacing w:after="0" w:line="233" w:lineRule="auto"/>
        <w:tabs>
          <w:tab w:leader="none" w:pos="1870"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the Original Issuance Date falls on a date that is not a business day, delivery will instead occur on the next following business day. In addition, if:</w:t>
      </w:r>
    </w:p>
    <w:p>
      <w:pPr>
        <w:spacing w:after="0" w:line="163" w:lineRule="exact"/>
        <w:rPr>
          <w:rFonts w:ascii="Arial" w:cs="Arial" w:eastAsia="Arial" w:hAnsi="Arial"/>
          <w:sz w:val="19"/>
          <w:szCs w:val="19"/>
          <w:color w:val="auto"/>
        </w:rPr>
      </w:pPr>
    </w:p>
    <w:p>
      <w:pPr>
        <w:jc w:val="both"/>
        <w:ind w:firstLine="1886"/>
        <w:spacing w:after="0" w:line="212" w:lineRule="auto"/>
        <w:tabs>
          <w:tab w:leader="none" w:pos="2497" w:val="left"/>
        </w:tabs>
        <w:numPr>
          <w:ilvl w:val="2"/>
          <w:numId w:val="50"/>
        </w:numPr>
        <w:rPr>
          <w:rFonts w:ascii="Arial" w:cs="Arial" w:eastAsia="Arial" w:hAnsi="Arial"/>
          <w:sz w:val="21"/>
          <w:szCs w:val="21"/>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64" w:lineRule="exact"/>
        <w:rPr>
          <w:rFonts w:ascii="Arial" w:cs="Arial" w:eastAsia="Arial" w:hAnsi="Arial"/>
          <w:sz w:val="21"/>
          <w:szCs w:val="21"/>
          <w:b w:val="1"/>
          <w:bCs w:val="1"/>
          <w:color w:val="auto"/>
        </w:rPr>
      </w:pPr>
    </w:p>
    <w:p>
      <w:pPr>
        <w:jc w:val="both"/>
        <w:ind w:firstLine="1886"/>
        <w:spacing w:after="0" w:line="212" w:lineRule="auto"/>
        <w:tabs>
          <w:tab w:leader="none" w:pos="2503" w:val="left"/>
        </w:tabs>
        <w:numPr>
          <w:ilvl w:val="2"/>
          <w:numId w:val="50"/>
        </w:numPr>
        <w:rPr>
          <w:rFonts w:ascii="Arial" w:cs="Arial" w:eastAsia="Arial" w:hAnsi="Arial"/>
          <w:sz w:val="21"/>
          <w:szCs w:val="21"/>
          <w:b w:val="1"/>
          <w:bCs w:val="1"/>
          <w:color w:val="auto"/>
        </w:rPr>
      </w:pPr>
      <w:r>
        <w:rPr>
          <w:rFonts w:ascii="Arial" w:cs="Arial" w:eastAsia="Arial" w:hAnsi="Arial"/>
          <w:sz w:val="19"/>
          <w:szCs w:val="19"/>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w:t>
      </w:r>
    </w:p>
    <w:p>
      <w:pPr>
        <w:spacing w:after="0" w:line="152" w:lineRule="exact"/>
        <w:rPr>
          <w:sz w:val="20"/>
          <w:szCs w:val="20"/>
          <w:color w:val="auto"/>
        </w:rPr>
      </w:pPr>
    </w:p>
    <w:p>
      <w:pPr>
        <w:jc w:val="both"/>
        <w:ind w:firstLine="627"/>
        <w:spacing w:after="0" w:line="214" w:lineRule="auto"/>
        <w:rPr>
          <w:sz w:val="20"/>
          <w:szCs w:val="20"/>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64" w:right="339" w:bottom="1440" w:gutter="0" w:footer="0" w:header="0"/>
        </w:sectPr>
      </w:pPr>
    </w:p>
    <w:bookmarkStart w:id="117" w:name="page118"/>
    <w:bookmarkEnd w:id="117"/>
    <w:p>
      <w:pPr>
        <w:spacing w:after="0" w:line="233" w:lineRule="auto"/>
        <w:rPr>
          <w:sz w:val="20"/>
          <w:szCs w:val="20"/>
          <w:color w:val="auto"/>
        </w:rPr>
      </w:pPr>
      <w:r>
        <w:rPr>
          <w:rFonts w:ascii="Arial" w:cs="Arial" w:eastAsia="Arial" w:hAnsi="Arial"/>
          <w:sz w:val="19"/>
          <w:szCs w:val="19"/>
          <w:color w:val="auto"/>
        </w:rPr>
        <w:t>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51" w:lineRule="exact"/>
        <w:rPr>
          <w:sz w:val="20"/>
          <w:szCs w:val="20"/>
          <w:color w:val="auto"/>
        </w:rPr>
      </w:pPr>
    </w:p>
    <w:p>
      <w:pPr>
        <w:ind w:firstLine="1259"/>
        <w:spacing w:after="0" w:line="233" w:lineRule="auto"/>
        <w:tabs>
          <w:tab w:leader="none" w:pos="1872"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form of delivery of the shares of Common Stock in respect of your Award (</w:t>
      </w:r>
      <w:r>
        <w:rPr>
          <w:rFonts w:ascii="Arial" w:cs="Arial" w:eastAsia="Arial" w:hAnsi="Arial"/>
          <w:sz w:val="19"/>
          <w:szCs w:val="19"/>
          <w:i w:val="1"/>
          <w:iCs w:val="1"/>
          <w:color w:val="auto"/>
        </w:rPr>
        <w:t>e.g.</w:t>
      </w:r>
      <w:r>
        <w:rPr>
          <w:rFonts w:ascii="Arial" w:cs="Arial" w:eastAsia="Arial" w:hAnsi="Arial"/>
          <w:sz w:val="19"/>
          <w:szCs w:val="19"/>
          <w:color w:val="auto"/>
        </w:rPr>
        <w:t>, a stock certificate or electronic entry evidencing such shares) will be determined by the Company.</w:t>
      </w:r>
    </w:p>
    <w:p>
      <w:pPr>
        <w:spacing w:after="0" w:line="144" w:lineRule="exact"/>
        <w:rPr>
          <w:rFonts w:ascii="Arial" w:cs="Arial" w:eastAsia="Arial" w:hAnsi="Arial"/>
          <w:sz w:val="19"/>
          <w:szCs w:val="19"/>
          <w:color w:val="auto"/>
        </w:rPr>
      </w:pPr>
    </w:p>
    <w:p>
      <w:pPr>
        <w:jc w:val="both"/>
        <w:ind w:firstLine="632"/>
        <w:spacing w:after="0" w:line="237" w:lineRule="auto"/>
        <w:tabs>
          <w:tab w:leader="none" w:pos="125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You will receive no benefit or adjustment to your Award with respect to any cash dividend, stock dividend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44" w:lineRule="exact"/>
        <w:rPr>
          <w:rFonts w:ascii="Arial" w:cs="Arial" w:eastAsia="Arial" w:hAnsi="Arial"/>
          <w:sz w:val="18"/>
          <w:szCs w:val="18"/>
          <w:b w:val="1"/>
          <w:bCs w:val="1"/>
          <w:color w:val="auto"/>
        </w:rPr>
      </w:pPr>
    </w:p>
    <w:p>
      <w:pPr>
        <w:ind w:firstLine="632"/>
        <w:spacing w:after="0" w:line="237" w:lineRule="auto"/>
        <w:tabs>
          <w:tab w:leader="none" w:pos="1254"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Restrictive Legends. </w:t>
      </w:r>
      <w:r>
        <w:rPr>
          <w:rFonts w:ascii="Arial" w:cs="Arial" w:eastAsia="Arial" w:hAnsi="Arial"/>
          <w:sz w:val="19"/>
          <w:szCs w:val="19"/>
          <w:color w:val="auto"/>
        </w:rPr>
        <w:t>The shares of Common Stock issued under your Award will be endorsed with appropriate legends 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Company.</w:t>
      </w:r>
    </w:p>
    <w:p>
      <w:pPr>
        <w:spacing w:after="0" w:line="143" w:lineRule="exact"/>
        <w:rPr>
          <w:rFonts w:ascii="Arial" w:cs="Arial" w:eastAsia="Arial" w:hAnsi="Arial"/>
          <w:sz w:val="19"/>
          <w:szCs w:val="19"/>
          <w:b w:val="1"/>
          <w:bCs w:val="1"/>
          <w:color w:val="auto"/>
        </w:rPr>
      </w:pPr>
    </w:p>
    <w:p>
      <w:pPr>
        <w:jc w:val="both"/>
        <w:ind w:firstLine="632"/>
        <w:spacing w:after="0" w:line="219" w:lineRule="auto"/>
        <w:tabs>
          <w:tab w:leader="none" w:pos="1254"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Execution of Documents. </w:t>
      </w:r>
      <w:r>
        <w:rPr>
          <w:rFonts w:ascii="Arial" w:cs="Arial" w:eastAsia="Arial" w:hAnsi="Arial"/>
          <w:sz w:val="19"/>
          <w:szCs w:val="19"/>
          <w:color w:val="auto"/>
        </w:rPr>
        <w:t>You hereby acknowledge and agree that the manner selected by the Company by which you indicate</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143" w:lineRule="exact"/>
        <w:rPr>
          <w:rFonts w:ascii="Arial" w:cs="Arial" w:eastAsia="Arial" w:hAnsi="Arial"/>
          <w:sz w:val="19"/>
          <w:szCs w:val="19"/>
          <w:b w:val="1"/>
          <w:bCs w:val="1"/>
          <w:color w:val="auto"/>
        </w:rPr>
      </w:pPr>
    </w:p>
    <w:p>
      <w:pPr>
        <w:ind w:left="1260" w:hanging="628"/>
        <w:spacing w:after="0"/>
        <w:tabs>
          <w:tab w:leader="none" w:pos="126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Award not a Service Contract</w:t>
      </w:r>
      <w:r>
        <w:rPr>
          <w:rFonts w:ascii="Arial" w:cs="Arial" w:eastAsia="Arial" w:hAnsi="Arial"/>
          <w:sz w:val="19"/>
          <w:szCs w:val="19"/>
          <w:color w:val="auto"/>
        </w:rPr>
        <w:t>.</w:t>
      </w:r>
    </w:p>
    <w:p>
      <w:pPr>
        <w:spacing w:after="0" w:line="179" w:lineRule="exact"/>
        <w:rPr>
          <w:rFonts w:ascii="Arial" w:cs="Arial" w:eastAsia="Arial" w:hAnsi="Arial"/>
          <w:sz w:val="19"/>
          <w:szCs w:val="19"/>
          <w:b w:val="1"/>
          <w:bCs w:val="1"/>
          <w:color w:val="auto"/>
        </w:rPr>
      </w:pPr>
    </w:p>
    <w:p>
      <w:pPr>
        <w:jc w:val="both"/>
        <w:ind w:firstLine="1259"/>
        <w:spacing w:after="0" w:line="219" w:lineRule="auto"/>
        <w:tabs>
          <w:tab w:leader="none" w:pos="18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w:t>
      </w:r>
    </w:p>
    <w:p>
      <w:pPr>
        <w:spacing w:after="0" w:line="155" w:lineRule="exact"/>
        <w:rPr>
          <w:rFonts w:ascii="Arial" w:cs="Arial" w:eastAsia="Arial" w:hAnsi="Arial"/>
          <w:sz w:val="18"/>
          <w:szCs w:val="18"/>
          <w:color w:val="auto"/>
        </w:rPr>
      </w:pPr>
    </w:p>
    <w:p>
      <w:pPr>
        <w:jc w:val="both"/>
        <w:ind w:firstLine="1259"/>
        <w:spacing w:after="0" w:line="218" w:lineRule="auto"/>
        <w:tabs>
          <w:tab w:leader="none" w:pos="18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w:t>
      </w:r>
    </w:p>
    <w:p>
      <w:pPr>
        <w:spacing w:after="0" w:line="147" w:lineRule="exact"/>
        <w:rPr>
          <w:rFonts w:ascii="Arial" w:cs="Arial" w:eastAsia="Arial" w:hAnsi="Arial"/>
          <w:sz w:val="18"/>
          <w:szCs w:val="18"/>
          <w:color w:val="auto"/>
        </w:rPr>
      </w:pPr>
    </w:p>
    <w:p>
      <w:pPr>
        <w:ind w:left="1240" w:hanging="608"/>
        <w:spacing w:after="0"/>
        <w:tabs>
          <w:tab w:leader="none" w:pos="124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Tax Withholding Obligations.</w:t>
      </w:r>
    </w:p>
    <w:p>
      <w:pPr>
        <w:spacing w:after="0" w:line="179" w:lineRule="exact"/>
        <w:rPr>
          <w:rFonts w:ascii="Arial" w:cs="Arial" w:eastAsia="Arial" w:hAnsi="Arial"/>
          <w:sz w:val="19"/>
          <w:szCs w:val="19"/>
          <w:b w:val="1"/>
          <w:bCs w:val="1"/>
          <w:color w:val="auto"/>
        </w:rPr>
      </w:pPr>
    </w:p>
    <w:p>
      <w:pPr>
        <w:jc w:val="both"/>
        <w:ind w:firstLine="1259"/>
        <w:spacing w:after="0" w:line="222" w:lineRule="auto"/>
        <w:tabs>
          <w:tab w:leader="none" w:pos="1872" w:val="left"/>
        </w:tabs>
        <w:numPr>
          <w:ilvl w:val="1"/>
          <w:numId w:val="52"/>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64" w:right="339" w:bottom="1440" w:gutter="0" w:footer="0" w:header="0"/>
        </w:sectPr>
      </w:pPr>
    </w:p>
    <w:bookmarkStart w:id="118" w:name="page119"/>
    <w:bookmarkEnd w:id="118"/>
    <w:p>
      <w:pPr>
        <w:jc w:val="both"/>
        <w:spacing w:after="0" w:line="215" w:lineRule="auto"/>
        <w:rPr>
          <w:sz w:val="20"/>
          <w:szCs w:val="20"/>
          <w:color w:val="auto"/>
        </w:rPr>
      </w:pPr>
      <w:r>
        <w:rPr>
          <w:rFonts w:ascii="Arial" w:cs="Arial" w:eastAsia="Arial" w:hAnsi="Arial"/>
          <w:sz w:val="18"/>
          <w:szCs w:val="18"/>
          <w:color w:val="auto"/>
        </w:rPr>
        <w:t>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xml:space="preserve">”)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165" w:lineRule="exact"/>
        <w:rPr>
          <w:sz w:val="20"/>
          <w:szCs w:val="20"/>
          <w:color w:val="auto"/>
        </w:rPr>
      </w:pPr>
    </w:p>
    <w:p>
      <w:pPr>
        <w:ind w:firstLine="1259"/>
        <w:spacing w:after="0" w:line="233" w:lineRule="auto"/>
        <w:tabs>
          <w:tab w:leader="none" w:pos="1870" w:val="left"/>
        </w:tabs>
        <w:numPr>
          <w:ilvl w:val="1"/>
          <w:numId w:val="53"/>
        </w:numPr>
        <w:rPr>
          <w:rFonts w:ascii="Arial" w:cs="Arial" w:eastAsia="Arial" w:hAnsi="Arial"/>
          <w:sz w:val="19"/>
          <w:szCs w:val="19"/>
          <w:color w:val="auto"/>
        </w:rPr>
      </w:pPr>
      <w:r>
        <w:rPr>
          <w:rFonts w:ascii="Arial" w:cs="Arial" w:eastAsia="Arial" w:hAnsi="Arial"/>
          <w:sz w:val="19"/>
          <w:szCs w:val="19"/>
          <w:color w:val="auto"/>
        </w:rPr>
        <w:t>Unless the tax withholding obligations of the Company and any Affiliate are satisfied, the Company will have no obligation to deliver to you any Common Stock or other consideration pursuant to this Award.</w:t>
      </w:r>
    </w:p>
    <w:p>
      <w:pPr>
        <w:spacing w:after="0" w:line="150" w:lineRule="exact"/>
        <w:rPr>
          <w:rFonts w:ascii="Arial" w:cs="Arial" w:eastAsia="Arial" w:hAnsi="Arial"/>
          <w:sz w:val="19"/>
          <w:szCs w:val="19"/>
          <w:color w:val="auto"/>
        </w:rPr>
      </w:pPr>
    </w:p>
    <w:p>
      <w:pPr>
        <w:jc w:val="both"/>
        <w:ind w:firstLine="1259"/>
        <w:spacing w:after="0" w:line="253" w:lineRule="auto"/>
        <w:tabs>
          <w:tab w:leader="none" w:pos="1872"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jc w:val="both"/>
        <w:ind w:firstLine="632"/>
        <w:spacing w:after="0" w:line="227" w:lineRule="auto"/>
        <w:tabs>
          <w:tab w:leader="none" w:pos="124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Company has no duty or obligation to minimize the tax consequences to you of this Award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liable to 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45" w:lineRule="exact"/>
        <w:rPr>
          <w:rFonts w:ascii="Arial" w:cs="Arial" w:eastAsia="Arial" w:hAnsi="Arial"/>
          <w:sz w:val="18"/>
          <w:szCs w:val="18"/>
          <w:b w:val="1"/>
          <w:bCs w:val="1"/>
          <w:color w:val="auto"/>
        </w:rPr>
      </w:pPr>
    </w:p>
    <w:p>
      <w:pPr>
        <w:ind w:left="1260" w:hanging="628"/>
        <w:spacing w:after="0"/>
        <w:tabs>
          <w:tab w:leader="none" w:pos="126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Data Privacy</w:t>
      </w:r>
      <w:r>
        <w:rPr>
          <w:rFonts w:ascii="Arial" w:cs="Arial" w:eastAsia="Arial" w:hAnsi="Arial"/>
          <w:sz w:val="19"/>
          <w:szCs w:val="19"/>
          <w:color w:val="auto"/>
        </w:rPr>
        <w:t>.</w:t>
      </w:r>
    </w:p>
    <w:p>
      <w:pPr>
        <w:spacing w:after="0" w:line="179" w:lineRule="exact"/>
        <w:rPr>
          <w:rFonts w:ascii="Arial" w:cs="Arial" w:eastAsia="Arial" w:hAnsi="Arial"/>
          <w:sz w:val="19"/>
          <w:szCs w:val="19"/>
          <w:b w:val="1"/>
          <w:bCs w:val="1"/>
          <w:color w:val="auto"/>
        </w:rPr>
      </w:pPr>
    </w:p>
    <w:p>
      <w:pPr>
        <w:ind w:left="1260" w:right="4060"/>
        <w:spacing w:after="0" w:line="430" w:lineRule="auto"/>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 xml:space="preserve">The following provisions shall apply to you if you reside in the EU or EEA. </w:t>
      </w:r>
      <w:r>
        <w:rPr>
          <w:rFonts w:ascii="Arial" w:cs="Arial" w:eastAsia="Arial" w:hAnsi="Arial"/>
          <w:sz w:val="19"/>
          <w:szCs w:val="19"/>
          <w:i w:val="1"/>
          <w:iCs w:val="1"/>
          <w:color w:val="auto"/>
        </w:rPr>
        <w:t>Data Collected and Purposes of Collection</w:t>
      </w:r>
    </w:p>
    <w:p>
      <w:pPr>
        <w:spacing w:after="0" w:line="1" w:lineRule="exact"/>
        <w:rPr>
          <w:sz w:val="20"/>
          <w:szCs w:val="20"/>
          <w:color w:val="auto"/>
        </w:rPr>
      </w:pPr>
    </w:p>
    <w:p>
      <w:pPr>
        <w:jc w:val="both"/>
        <w:ind w:firstLine="1255"/>
        <w:spacing w:after="0" w:line="214" w:lineRule="auto"/>
        <w:rPr>
          <w:sz w:val="20"/>
          <w:szCs w:val="20"/>
          <w:color w:val="auto"/>
        </w:rPr>
      </w:pPr>
      <w:r>
        <w:rPr>
          <w:rFonts w:ascii="Arial" w:cs="Arial" w:eastAsia="Arial" w:hAnsi="Arial"/>
          <w:sz w:val="19"/>
          <w:szCs w:val="19"/>
          <w:color w:val="auto"/>
        </w:rPr>
        <w:t>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 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64" w:right="339" w:bottom="1440" w:gutter="0" w:footer="0" w:header="0"/>
        </w:sectPr>
      </w:pPr>
    </w:p>
    <w:bookmarkStart w:id="119" w:name="page120"/>
    <w:bookmarkEnd w:id="119"/>
    <w:p>
      <w:pPr>
        <w:jc w:val="both"/>
        <w:spacing w:after="0" w:line="222" w:lineRule="auto"/>
        <w:rPr>
          <w:sz w:val="20"/>
          <w:szCs w:val="20"/>
          <w:color w:val="auto"/>
        </w:rPr>
      </w:pPr>
      <w:r>
        <w:rPr>
          <w:rFonts w:ascii="Arial" w:cs="Arial" w:eastAsia="Arial" w:hAnsi="Arial"/>
          <w:sz w:val="18"/>
          <w:szCs w:val="18"/>
          <w:color w:val="auto"/>
        </w:rPr>
        <w:t>any other information necessary to process mandatory tax withholding and reporting, details of all Awards granted, canceled, vested, unvested or outstanding in your favor, and where applicable service termination date and reason for termination (e.g., for cause or other than for cause) (all such personal information is referred to as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 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9"/>
          <w:szCs w:val="19"/>
          <w:i w:val="1"/>
          <w:iCs w:val="1"/>
          <w:color w:val="auto"/>
        </w:rPr>
        <w:t>Transfers and Retention of Data</w:t>
      </w:r>
    </w:p>
    <w:p>
      <w:pPr>
        <w:spacing w:after="0" w:line="174" w:lineRule="exact"/>
        <w:rPr>
          <w:sz w:val="20"/>
          <w:szCs w:val="20"/>
          <w:color w:val="auto"/>
        </w:rPr>
      </w:pPr>
    </w:p>
    <w:p>
      <w:pPr>
        <w:jc w:val="both"/>
        <w:ind w:firstLine="1255"/>
        <w:spacing w:after="0" w:line="233" w:lineRule="auto"/>
        <w:rPr>
          <w:sz w:val="20"/>
          <w:szCs w:val="20"/>
          <w:color w:val="auto"/>
        </w:rPr>
      </w:pPr>
      <w:r>
        <w:rPr>
          <w:rFonts w:ascii="Arial" w:cs="Arial" w:eastAsia="Arial" w:hAnsi="Arial"/>
          <w:sz w:val="17"/>
          <w:szCs w:val="17"/>
          <w:color w:val="auto"/>
        </w:rPr>
        <w:t>You understand that your employer will transfer Data to the Company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 Agreement.</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9"/>
          <w:szCs w:val="19"/>
          <w:i w:val="1"/>
          <w:iCs w:val="1"/>
          <w:color w:val="auto"/>
        </w:rPr>
        <w:t>The Participant’s Rights in Respect of Data</w:t>
      </w:r>
    </w:p>
    <w:p>
      <w:pPr>
        <w:spacing w:after="0" w:line="174" w:lineRule="exact"/>
        <w:rPr>
          <w:sz w:val="20"/>
          <w:szCs w:val="20"/>
          <w:color w:val="auto"/>
        </w:rPr>
      </w:pPr>
    </w:p>
    <w:p>
      <w:pPr>
        <w:jc w:val="both"/>
        <w:ind w:firstLine="1255"/>
        <w:spacing w:after="0" w:line="233" w:lineRule="auto"/>
        <w:rPr>
          <w:sz w:val="20"/>
          <w:szCs w:val="20"/>
          <w:color w:val="auto"/>
        </w:rPr>
      </w:pPr>
      <w:r>
        <w:rPr>
          <w:rFonts w:ascii="Arial" w:cs="Arial" w:eastAsia="Arial" w:hAnsi="Arial"/>
          <w:sz w:val="17"/>
          <w:szCs w:val="17"/>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 representative. You may also contact the relevant data protection supervisory authority, as you have the right to lodge a complaint. The data protection officer may be contacted at privacy@mongodb.com.</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9"/>
          <w:szCs w:val="19"/>
          <w:b w:val="1"/>
          <w:bCs w:val="1"/>
          <w:i w:val="1"/>
          <w:iCs w:val="1"/>
          <w:u w:val="single" w:color="auto"/>
          <w:color w:val="auto"/>
        </w:rPr>
        <w:t>The following provisions shall apply to you if you reside outside the US and EU/EEA.</w:t>
      </w:r>
    </w:p>
    <w:p>
      <w:pPr>
        <w:spacing w:after="0" w:line="174" w:lineRule="exact"/>
        <w:rPr>
          <w:sz w:val="20"/>
          <w:szCs w:val="20"/>
          <w:color w:val="auto"/>
        </w:rPr>
      </w:pPr>
    </w:p>
    <w:p>
      <w:pPr>
        <w:jc w:val="both"/>
        <w:ind w:firstLine="1255"/>
        <w:spacing w:after="0" w:line="217" w:lineRule="auto"/>
        <w:rPr>
          <w:sz w:val="20"/>
          <w:szCs w:val="20"/>
          <w:color w:val="auto"/>
        </w:rPr>
      </w:pPr>
      <w:r>
        <w:rPr>
          <w:rFonts w:ascii="Arial" w:cs="Arial" w:eastAsia="Arial" w:hAnsi="Arial"/>
          <w:sz w:val="18"/>
          <w:szCs w:val="18"/>
          <w:color w:val="auto"/>
        </w:rPr>
        <w:t>You hereby explicitly and unambiguously (i) acknowledge and (ii) to the extent required under applicable law, consent to, the collection, use and transfer, in electronic or other form, of your personal data as described in and necessary to perform this Award Agreement and any other Award grant materials, by and among, as applicable, the Company and its Affiliates for the exclusive purpose of implementing, administering and managing your participation in the Plan. You 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 outstanding in your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 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64" w:right="339" w:bottom="1440" w:gutter="0" w:footer="0" w:header="0"/>
        </w:sectPr>
      </w:pPr>
    </w:p>
    <w:bookmarkStart w:id="120" w:name="page121"/>
    <w:bookmarkEnd w:id="120"/>
    <w:p>
      <w:pPr>
        <w:jc w:val="both"/>
        <w:spacing w:after="0" w:line="215" w:lineRule="auto"/>
        <w:rPr>
          <w:sz w:val="20"/>
          <w:szCs w:val="20"/>
          <w:color w:val="auto"/>
        </w:rPr>
      </w:pPr>
      <w:r>
        <w:rPr>
          <w:rFonts w:ascii="Arial" w:cs="Arial" w:eastAsia="Arial" w:hAnsi="Arial"/>
          <w:sz w:val="18"/>
          <w:szCs w:val="18"/>
          <w:color w:val="auto"/>
        </w:rPr>
        <w:t>You understand that the recipients of the Data may be located in the United States or elsewhere, and that the recipient’s country (e.g., the United States) may have data privacy 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 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 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 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 (insofar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w:t>
      </w:r>
    </w:p>
    <w:p>
      <w:pPr>
        <w:spacing w:after="0" w:line="159" w:lineRule="exact"/>
        <w:rPr>
          <w:sz w:val="20"/>
          <w:szCs w:val="20"/>
          <w:color w:val="auto"/>
        </w:rPr>
      </w:pPr>
    </w:p>
    <w:p>
      <w:pPr>
        <w:jc w:val="both"/>
        <w:ind w:firstLine="632"/>
        <w:spacing w:after="0" w:line="238" w:lineRule="auto"/>
        <w:tabs>
          <w:tab w:leader="none" w:pos="1246"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Unsecured Obligation. </w:t>
      </w:r>
      <w:r>
        <w:rPr>
          <w:rFonts w:ascii="Arial" w:cs="Arial" w:eastAsia="Arial" w:hAnsi="Arial"/>
          <w:sz w:val="17"/>
          <w:szCs w:val="17"/>
          <w:color w:val="auto"/>
        </w:rPr>
        <w:t>Your Award is unfunded, and as a holder of a vested Award, you will be considered an unsecured creditor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43" w:lineRule="exact"/>
        <w:rPr>
          <w:rFonts w:ascii="Arial" w:cs="Arial" w:eastAsia="Arial" w:hAnsi="Arial"/>
          <w:sz w:val="17"/>
          <w:szCs w:val="17"/>
          <w:b w:val="1"/>
          <w:bCs w:val="1"/>
          <w:color w:val="auto"/>
        </w:rPr>
      </w:pPr>
    </w:p>
    <w:p>
      <w:pPr>
        <w:jc w:val="both"/>
        <w:ind w:firstLine="632"/>
        <w:spacing w:after="0" w:line="227" w:lineRule="auto"/>
        <w:tabs>
          <w:tab w:leader="none" w:pos="124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request required or permitted hereunder will be given in writing to each of the other parties hereto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71" w:lineRule="exact"/>
        <w:rPr>
          <w:rFonts w:ascii="Arial" w:cs="Arial" w:eastAsia="Arial" w:hAnsi="Arial"/>
          <w:sz w:val="18"/>
          <w:szCs w:val="18"/>
          <w:b w:val="1"/>
          <w:bCs w:val="1"/>
          <w:color w:val="auto"/>
        </w:rPr>
      </w:pPr>
    </w:p>
    <w:p>
      <w:pPr>
        <w:ind w:firstLine="632"/>
        <w:spacing w:after="0" w:line="237" w:lineRule="auto"/>
        <w:tabs>
          <w:tab w:leader="none" w:pos="1246"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Headings</w:t>
      </w:r>
      <w:r>
        <w:rPr>
          <w:rFonts w:ascii="Arial" w:cs="Arial" w:eastAsia="Arial" w:hAnsi="Arial"/>
          <w:sz w:val="19"/>
          <w:szCs w:val="19"/>
          <w:color w:val="auto"/>
        </w:rPr>
        <w:t>. The headings of the Sections in this Award Agreement are inserted for convenience only and will not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 part of this Award Agreement or to affect the meaning of this Award Agreement.</w:t>
      </w:r>
    </w:p>
    <w:p>
      <w:pPr>
        <w:spacing w:after="0" w:line="169" w:lineRule="exact"/>
        <w:rPr>
          <w:rFonts w:ascii="Arial" w:cs="Arial" w:eastAsia="Arial" w:hAnsi="Arial"/>
          <w:sz w:val="19"/>
          <w:szCs w:val="19"/>
          <w:b w:val="1"/>
          <w:bCs w:val="1"/>
          <w:color w:val="auto"/>
        </w:rPr>
      </w:pPr>
    </w:p>
    <w:p>
      <w:pPr>
        <w:ind w:left="1260" w:hanging="628"/>
        <w:spacing w:after="0"/>
        <w:tabs>
          <w:tab w:leader="none" w:pos="126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Acknowledgements. </w:t>
      </w:r>
      <w:r>
        <w:rPr>
          <w:rFonts w:ascii="Arial" w:cs="Arial" w:eastAsia="Arial" w:hAnsi="Arial"/>
          <w:sz w:val="19"/>
          <w:szCs w:val="19"/>
          <w:color w:val="auto"/>
        </w:rPr>
        <w:t>You hereby consent and acknowledge that:</w:t>
      </w:r>
    </w:p>
    <w:p>
      <w:pPr>
        <w:spacing w:after="0" w:line="179" w:lineRule="exact"/>
        <w:rPr>
          <w:rFonts w:ascii="Arial" w:cs="Arial" w:eastAsia="Arial" w:hAnsi="Arial"/>
          <w:sz w:val="19"/>
          <w:szCs w:val="19"/>
          <w:b w:val="1"/>
          <w:bCs w:val="1"/>
          <w:color w:val="auto"/>
        </w:rPr>
      </w:pPr>
    </w:p>
    <w:p>
      <w:pPr>
        <w:jc w:val="both"/>
        <w:ind w:firstLine="1259"/>
        <w:spacing w:after="0" w:line="211" w:lineRule="auto"/>
        <w:tabs>
          <w:tab w:leader="none" w:pos="1872" w:val="left"/>
        </w:tabs>
        <w:numPr>
          <w:ilvl w:val="1"/>
          <w:numId w:val="55"/>
        </w:numPr>
        <w:rPr>
          <w:rFonts w:ascii="Arial" w:cs="Arial" w:eastAsia="Arial" w:hAnsi="Arial"/>
          <w:sz w:val="19"/>
          <w:szCs w:val="19"/>
          <w:color w:val="auto"/>
        </w:rPr>
      </w:pPr>
      <w:r>
        <w:rPr>
          <w:rFonts w:ascii="Arial" w:cs="Arial" w:eastAsia="Arial" w:hAnsi="Arial"/>
          <w:sz w:val="19"/>
          <w:szCs w:val="19"/>
          <w:color w:val="auto"/>
        </w:rPr>
        <w:t>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64" w:right="339" w:bottom="1440" w:gutter="0" w:footer="0" w:header="0"/>
        </w:sectPr>
      </w:pPr>
    </w:p>
    <w:bookmarkStart w:id="121" w:name="page122"/>
    <w:bookmarkEnd w:id="121"/>
    <w:p>
      <w:pPr>
        <w:jc w:val="both"/>
        <w:ind w:left="-180" w:firstLine="1259"/>
        <w:spacing w:after="0" w:line="217" w:lineRule="auto"/>
        <w:tabs>
          <w:tab w:leader="none" w:pos="169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50" w:lineRule="exact"/>
        <w:rPr>
          <w:rFonts w:ascii="Arial" w:cs="Arial" w:eastAsia="Arial" w:hAnsi="Arial"/>
          <w:sz w:val="19"/>
          <w:szCs w:val="19"/>
          <w:color w:val="auto"/>
        </w:rPr>
      </w:pPr>
    </w:p>
    <w:p>
      <w:pPr>
        <w:jc w:val="both"/>
        <w:ind w:left="-180" w:firstLine="1259"/>
        <w:spacing w:after="0" w:line="222" w:lineRule="auto"/>
        <w:tabs>
          <w:tab w:leader="none" w:pos="1692"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51" w:lineRule="exact"/>
        <w:rPr>
          <w:rFonts w:ascii="Arial" w:cs="Arial" w:eastAsia="Arial" w:hAnsi="Arial"/>
          <w:sz w:val="19"/>
          <w:szCs w:val="19"/>
          <w:color w:val="auto"/>
        </w:rPr>
      </w:pPr>
    </w:p>
    <w:p>
      <w:pPr>
        <w:ind w:left="-180" w:firstLine="1259"/>
        <w:spacing w:after="0" w:line="233" w:lineRule="auto"/>
        <w:tabs>
          <w:tab w:leader="none" w:pos="1690" w:val="left"/>
        </w:tabs>
        <w:numPr>
          <w:ilvl w:val="1"/>
          <w:numId w:val="56"/>
        </w:numPr>
        <w:rPr>
          <w:rFonts w:ascii="Arial" w:cs="Arial" w:eastAsia="Arial" w:hAnsi="Arial"/>
          <w:sz w:val="19"/>
          <w:szCs w:val="19"/>
          <w:color w:val="auto"/>
        </w:rPr>
      </w:pPr>
      <w:r>
        <w:rPr>
          <w:rFonts w:ascii="Arial" w:cs="Arial" w:eastAsia="Arial" w:hAnsi="Arial"/>
          <w:sz w:val="19"/>
          <w:szCs w:val="19"/>
          <w:color w:val="auto"/>
        </w:rPr>
        <w:t>You agree upon request to execute any further documents or instruments necessary or desirable in the sole determination of the Company to carry out the purposes or intent of your Award.</w:t>
      </w:r>
    </w:p>
    <w:p>
      <w:pPr>
        <w:spacing w:after="0" w:line="150" w:lineRule="exact"/>
        <w:rPr>
          <w:rFonts w:ascii="Arial" w:cs="Arial" w:eastAsia="Arial" w:hAnsi="Arial"/>
          <w:sz w:val="19"/>
          <w:szCs w:val="19"/>
          <w:color w:val="auto"/>
        </w:rPr>
      </w:pPr>
    </w:p>
    <w:p>
      <w:pPr>
        <w:ind w:left="-180" w:firstLine="1259"/>
        <w:spacing w:after="0" w:line="233" w:lineRule="auto"/>
        <w:tabs>
          <w:tab w:leader="none" w:pos="1692" w:val="left"/>
        </w:tabs>
        <w:numPr>
          <w:ilvl w:val="1"/>
          <w:numId w:val="56"/>
        </w:numPr>
        <w:rPr>
          <w:rFonts w:ascii="Arial" w:cs="Arial" w:eastAsia="Arial" w:hAnsi="Arial"/>
          <w:sz w:val="19"/>
          <w:szCs w:val="19"/>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50" w:lineRule="exact"/>
        <w:rPr>
          <w:rFonts w:ascii="Arial" w:cs="Arial" w:eastAsia="Arial" w:hAnsi="Arial"/>
          <w:sz w:val="19"/>
          <w:szCs w:val="19"/>
          <w:color w:val="auto"/>
        </w:rPr>
      </w:pPr>
    </w:p>
    <w:p>
      <w:pPr>
        <w:ind w:left="-180" w:firstLine="1259"/>
        <w:spacing w:after="0" w:line="233" w:lineRule="auto"/>
        <w:tabs>
          <w:tab w:leader="none" w:pos="1697"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This Award Agreement will be subject to all applicable laws, rules, and regulations, and to such approvals by any governmental agencies or national securities exchanges as may be required.</w:t>
      </w:r>
    </w:p>
    <w:p>
      <w:pPr>
        <w:spacing w:after="0" w:line="150" w:lineRule="exact"/>
        <w:rPr>
          <w:rFonts w:ascii="Arial" w:cs="Arial" w:eastAsia="Arial" w:hAnsi="Arial"/>
          <w:sz w:val="19"/>
          <w:szCs w:val="19"/>
          <w:color w:val="auto"/>
        </w:rPr>
      </w:pPr>
    </w:p>
    <w:p>
      <w:pPr>
        <w:jc w:val="both"/>
        <w:ind w:left="-180" w:firstLine="1259"/>
        <w:spacing w:after="0" w:line="222" w:lineRule="auto"/>
        <w:tabs>
          <w:tab w:leader="none" w:pos="169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45" w:lineRule="exact"/>
        <w:rPr>
          <w:rFonts w:ascii="Arial" w:cs="Arial" w:eastAsia="Arial" w:hAnsi="Arial"/>
          <w:sz w:val="19"/>
          <w:szCs w:val="19"/>
          <w:color w:val="auto"/>
        </w:rPr>
      </w:pPr>
    </w:p>
    <w:p>
      <w:pPr>
        <w:jc w:val="both"/>
        <w:ind w:left="-180" w:firstLine="632"/>
        <w:spacing w:after="0" w:line="223" w:lineRule="auto"/>
        <w:tabs>
          <w:tab w:leader="none" w:pos="106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 of which are hereby made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43" w:lineRule="exact"/>
        <w:rPr>
          <w:rFonts w:ascii="Arial" w:cs="Arial" w:eastAsia="Arial" w:hAnsi="Arial"/>
          <w:sz w:val="18"/>
          <w:szCs w:val="18"/>
          <w:b w:val="1"/>
          <w:bCs w:val="1"/>
          <w:color w:val="auto"/>
        </w:rPr>
      </w:pPr>
    </w:p>
    <w:p>
      <w:pPr>
        <w:jc w:val="both"/>
        <w:ind w:left="-180" w:firstLine="632"/>
        <w:spacing w:after="0" w:line="219" w:lineRule="auto"/>
        <w:tabs>
          <w:tab w:leader="none" w:pos="106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on Other Employee Benefit Plans. </w:t>
      </w:r>
      <w:r>
        <w:rPr>
          <w:rFonts w:ascii="Arial" w:cs="Arial" w:eastAsia="Arial" w:hAnsi="Arial"/>
          <w:sz w:val="19"/>
          <w:szCs w:val="19"/>
          <w:color w:val="auto"/>
        </w:rPr>
        <w:t>The value of the Award subject to this Award Agreement will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43" w:lineRule="exact"/>
        <w:rPr>
          <w:rFonts w:ascii="Arial" w:cs="Arial" w:eastAsia="Arial" w:hAnsi="Arial"/>
          <w:sz w:val="19"/>
          <w:szCs w:val="19"/>
          <w:b w:val="1"/>
          <w:bCs w:val="1"/>
          <w:color w:val="auto"/>
        </w:rPr>
      </w:pPr>
    </w:p>
    <w:p>
      <w:pPr>
        <w:ind w:left="-180" w:firstLine="632"/>
        <w:spacing w:after="0" w:line="237" w:lineRule="auto"/>
        <w:tabs>
          <w:tab w:leader="none" w:pos="106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Choice of Law. </w:t>
      </w:r>
      <w:r>
        <w:rPr>
          <w:rFonts w:ascii="Arial" w:cs="Arial" w:eastAsia="Arial" w:hAnsi="Arial"/>
          <w:sz w:val="19"/>
          <w:szCs w:val="19"/>
          <w:color w:val="auto"/>
        </w:rPr>
        <w:t>The interpretation, performance and enforcement of this Award Agreement will be governed by the law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Delaware without regard to that state’s conflicts of laws rules.</w:t>
      </w:r>
    </w:p>
    <w:p>
      <w:pPr>
        <w:spacing w:after="0" w:line="143" w:lineRule="exact"/>
        <w:rPr>
          <w:rFonts w:ascii="Arial" w:cs="Arial" w:eastAsia="Arial" w:hAnsi="Arial"/>
          <w:sz w:val="19"/>
          <w:szCs w:val="19"/>
          <w:b w:val="1"/>
          <w:bCs w:val="1"/>
          <w:color w:val="auto"/>
        </w:rPr>
      </w:pPr>
    </w:p>
    <w:p>
      <w:pPr>
        <w:jc w:val="both"/>
        <w:ind w:left="-180" w:firstLine="632"/>
        <w:spacing w:after="0" w:line="215" w:lineRule="auto"/>
        <w:tabs>
          <w:tab w:leader="none" w:pos="106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all or any part of this Award Agreement or the Plan is declared by any court or governmental authority to be</w:t>
      </w:r>
      <w:r>
        <w:rPr>
          <w:rFonts w:ascii="Arial" w:cs="Arial" w:eastAsia="Arial" w:hAnsi="Arial"/>
          <w:sz w:val="19"/>
          <w:szCs w:val="19"/>
          <w:b w:val="1"/>
          <w:bCs w:val="1"/>
          <w:color w:val="auto"/>
        </w:rPr>
        <w:t xml:space="preserve"> </w:t>
      </w:r>
      <w:r>
        <w:rPr>
          <w:rFonts w:ascii="Arial" w:cs="Arial" w:eastAsia="Arial" w:hAnsi="Arial"/>
          <w:sz w:val="19"/>
          <w:szCs w:val="19"/>
          <w:color w:val="auto"/>
        </w:rPr>
        <w:t>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45" w:lineRule="exact"/>
        <w:rPr>
          <w:rFonts w:ascii="Arial" w:cs="Arial" w:eastAsia="Arial" w:hAnsi="Arial"/>
          <w:sz w:val="19"/>
          <w:szCs w:val="19"/>
          <w:b w:val="1"/>
          <w:bCs w:val="1"/>
          <w:color w:val="auto"/>
        </w:rPr>
      </w:pPr>
    </w:p>
    <w:p>
      <w:pPr>
        <w:jc w:val="both"/>
        <w:ind w:left="-180" w:firstLine="632"/>
        <w:spacing w:after="0" w:line="225" w:lineRule="auto"/>
        <w:tabs>
          <w:tab w:leader="none" w:pos="106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Other Documents</w:t>
      </w:r>
      <w:r>
        <w:rPr>
          <w:rFonts w:ascii="Arial" w:cs="Arial" w:eastAsia="Arial" w:hAnsi="Arial"/>
          <w:sz w:val="19"/>
          <w:szCs w:val="19"/>
          <w:color w:val="auto"/>
        </w:rPr>
        <w:t>. You hereby acknowledge receipt of and the right to receive a document providing the information required by</w:t>
      </w:r>
      <w:r>
        <w:rPr>
          <w:rFonts w:ascii="Arial" w:cs="Arial" w:eastAsia="Arial" w:hAnsi="Arial"/>
          <w:sz w:val="19"/>
          <w:szCs w:val="19"/>
          <w:b w:val="1"/>
          <w:bCs w:val="1"/>
          <w:color w:val="auto"/>
        </w:rPr>
        <w:t xml:space="preserve"> </w:t>
      </w:r>
      <w:r>
        <w:rPr>
          <w:rFonts w:ascii="Arial" w:cs="Arial" w:eastAsia="Arial" w:hAnsi="Arial"/>
          <w:sz w:val="19"/>
          <w:szCs w:val="19"/>
          <w:color w:val="auto"/>
        </w:rPr>
        <w:t>Rule 428(b)(1) promulgated under the Securities Act, which includes the Plan prospectus. In addition, you acknowledge receipt of the Company’s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60"/>
          </w:cols>
          <w:pgMar w:left="500" w:top="1364"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trading policy permitting directors and employees to sell shares only during certain “window” periods, in effect from time to time.</w:t>
      </w:r>
    </w:p>
    <w:p>
      <w:pPr>
        <w:spacing w:after="0" w:line="168" w:lineRule="exact"/>
        <w:rPr>
          <w:sz w:val="20"/>
          <w:szCs w:val="20"/>
          <w:color w:val="auto"/>
        </w:rPr>
      </w:pPr>
    </w:p>
    <w:p>
      <w:pPr>
        <w:jc w:val="both"/>
        <w:ind w:firstLine="632"/>
        <w:spacing w:after="0" w:line="221" w:lineRule="auto"/>
        <w:tabs>
          <w:tab w:leader="none" w:pos="124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Award Agreement may not be modified, amended or terminated except by an instrument in writing,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47" w:lineRule="exact"/>
        <w:rPr>
          <w:rFonts w:ascii="Arial" w:cs="Arial" w:eastAsia="Arial" w:hAnsi="Arial"/>
          <w:sz w:val="18"/>
          <w:szCs w:val="18"/>
          <w:b w:val="1"/>
          <w:bCs w:val="1"/>
          <w:color w:val="auto"/>
        </w:rPr>
      </w:pPr>
    </w:p>
    <w:p>
      <w:pPr>
        <w:jc w:val="both"/>
        <w:ind w:firstLine="632"/>
        <w:spacing w:after="0" w:line="219" w:lineRule="auto"/>
        <w:tabs>
          <w:tab w:leader="none" w:pos="124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comply with the “short-term deferral” rule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44" w:lineRule="exact"/>
        <w:rPr>
          <w:rFonts w:ascii="Arial" w:cs="Arial" w:eastAsia="Arial" w:hAnsi="Arial"/>
          <w:sz w:val="18"/>
          <w:szCs w:val="18"/>
          <w:b w:val="1"/>
          <w:bCs w:val="1"/>
          <w:color w:val="auto"/>
        </w:rPr>
      </w:pPr>
    </w:p>
    <w:p>
      <w:pPr>
        <w:jc w:val="both"/>
        <w:ind w:firstLine="632"/>
        <w:spacing w:after="0" w:line="219" w:lineRule="auto"/>
        <w:tabs>
          <w:tab w:leader="none" w:pos="1246"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No Advice Regarding Grant</w:t>
      </w:r>
      <w:r>
        <w:rPr>
          <w:rFonts w:ascii="Arial" w:cs="Arial" w:eastAsia="Arial" w:hAnsi="Arial"/>
          <w:sz w:val="19"/>
          <w:szCs w:val="19"/>
          <w:color w:val="auto"/>
        </w:rPr>
        <w:t>. The Company is not providing any tax, legal or financial advice, nor is the Company making any</w:t>
      </w:r>
      <w:r>
        <w:rPr>
          <w:rFonts w:ascii="Arial" w:cs="Arial" w:eastAsia="Arial" w:hAnsi="Arial"/>
          <w:sz w:val="19"/>
          <w:szCs w:val="19"/>
          <w:b w:val="1"/>
          <w:bCs w:val="1"/>
          <w:color w:val="auto"/>
        </w:rPr>
        <w:t xml:space="preserve"> </w:t>
      </w:r>
      <w:r>
        <w:rPr>
          <w:rFonts w:ascii="Arial" w:cs="Arial" w:eastAsia="Arial" w:hAnsi="Arial"/>
          <w:sz w:val="19"/>
          <w:szCs w:val="19"/>
          <w:color w:val="auto"/>
        </w:rPr>
        <w:t>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spacing w:after="0" w:line="143" w:lineRule="exact"/>
        <w:rPr>
          <w:rFonts w:ascii="Arial" w:cs="Arial" w:eastAsia="Arial" w:hAnsi="Arial"/>
          <w:sz w:val="19"/>
          <w:szCs w:val="19"/>
          <w:b w:val="1"/>
          <w:bCs w:val="1"/>
          <w:color w:val="auto"/>
        </w:rPr>
      </w:pPr>
    </w:p>
    <w:p>
      <w:pPr>
        <w:jc w:val="both"/>
        <w:ind w:firstLine="632"/>
        <w:spacing w:after="0" w:line="246" w:lineRule="auto"/>
        <w:tabs>
          <w:tab w:leader="none" w:pos="1246"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Electronic Delivery and Acceptance</w:t>
      </w:r>
      <w:r>
        <w:rPr>
          <w:rFonts w:ascii="Arial" w:cs="Arial" w:eastAsia="Arial" w:hAnsi="Arial"/>
          <w:sz w:val="17"/>
          <w:szCs w:val="17"/>
          <w:color w:val="auto"/>
        </w:rPr>
        <w:t>. The Company may, in its sole discretion, decide to deliver any documents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spacing w:after="0" w:line="139" w:lineRule="exact"/>
        <w:rPr>
          <w:rFonts w:ascii="Arial" w:cs="Arial" w:eastAsia="Arial" w:hAnsi="Arial"/>
          <w:sz w:val="17"/>
          <w:szCs w:val="17"/>
          <w:b w:val="1"/>
          <w:bCs w:val="1"/>
          <w:color w:val="auto"/>
        </w:rPr>
      </w:pPr>
    </w:p>
    <w:p>
      <w:pPr>
        <w:jc w:val="both"/>
        <w:ind w:firstLine="632"/>
        <w:spacing w:after="0" w:line="225" w:lineRule="auto"/>
        <w:tabs>
          <w:tab w:leader="none" w:pos="1246"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Language</w:t>
      </w:r>
      <w:r>
        <w:rPr>
          <w:rFonts w:ascii="Arial" w:cs="Arial" w:eastAsia="Arial" w:hAnsi="Arial"/>
          <w:sz w:val="19"/>
          <w:szCs w:val="19"/>
          <w:color w:val="auto"/>
        </w:rPr>
        <w:t>. If you have received this Award Agreement, or any other document related to the Award and/or the Plan translated</w:t>
      </w:r>
      <w:r>
        <w:rPr>
          <w:rFonts w:ascii="Arial" w:cs="Arial" w:eastAsia="Arial" w:hAnsi="Arial"/>
          <w:sz w:val="19"/>
          <w:szCs w:val="19"/>
          <w:b w:val="1"/>
          <w:bCs w:val="1"/>
          <w:color w:val="auto"/>
        </w:rPr>
        <w:t xml:space="preserve"> </w:t>
      </w:r>
      <w:r>
        <w:rPr>
          <w:rFonts w:ascii="Arial" w:cs="Arial" w:eastAsia="Arial" w:hAnsi="Arial"/>
          <w:sz w:val="19"/>
          <w:szCs w:val="19"/>
          <w:color w:val="auto"/>
        </w:rPr>
        <w:t>into a language other than English and if the meaning of the translated version is different than the English version, the English version will control.</w:t>
      </w:r>
    </w:p>
    <w:p>
      <w:pPr>
        <w:spacing w:after="0" w:line="143" w:lineRule="exact"/>
        <w:rPr>
          <w:rFonts w:ascii="Arial" w:cs="Arial" w:eastAsia="Arial" w:hAnsi="Arial"/>
          <w:sz w:val="19"/>
          <w:szCs w:val="19"/>
          <w:b w:val="1"/>
          <w:bCs w:val="1"/>
          <w:color w:val="auto"/>
        </w:rPr>
      </w:pPr>
    </w:p>
    <w:p>
      <w:pPr>
        <w:jc w:val="both"/>
        <w:ind w:firstLine="632"/>
        <w:spacing w:after="0" w:line="215" w:lineRule="auto"/>
        <w:tabs>
          <w:tab w:leader="none" w:pos="1246"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Country Appendix</w:t>
      </w:r>
      <w:r>
        <w:rPr>
          <w:rFonts w:ascii="Arial" w:cs="Arial" w:eastAsia="Arial" w:hAnsi="Arial"/>
          <w:sz w:val="19"/>
          <w:szCs w:val="19"/>
          <w:color w:val="auto"/>
        </w:rPr>
        <w:t>. Notwithstanding any provisions in this Award Agreement, the Award grant shall be subject to any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w:t>
      </w:r>
    </w:p>
    <w:p>
      <w:pPr>
        <w:spacing w:after="0" w:line="145" w:lineRule="exact"/>
        <w:rPr>
          <w:rFonts w:ascii="Arial" w:cs="Arial" w:eastAsia="Arial" w:hAnsi="Arial"/>
          <w:sz w:val="19"/>
          <w:szCs w:val="19"/>
          <w:b w:val="1"/>
          <w:bCs w:val="1"/>
          <w:color w:val="auto"/>
        </w:rPr>
      </w:pPr>
    </w:p>
    <w:p>
      <w:pPr>
        <w:jc w:val="both"/>
        <w:ind w:firstLine="632"/>
        <w:spacing w:after="0" w:line="225" w:lineRule="auto"/>
        <w:tabs>
          <w:tab w:leader="none" w:pos="1246"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Imposition of Other Requirements</w:t>
      </w:r>
      <w:r>
        <w:rPr>
          <w:rFonts w:ascii="Arial" w:cs="Arial" w:eastAsia="Arial" w:hAnsi="Arial"/>
          <w:sz w:val="19"/>
          <w:szCs w:val="19"/>
          <w:color w:val="auto"/>
        </w:rPr>
        <w:t>. The Company reserves the right to impose other requirements on your participation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on the Award and on any shares of stock acquired upon vesting of the Award, to the extent the Company determines it is necessary or advisable for legal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64"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 * * * *</w:t>
      </w:r>
    </w:p>
    <w:p>
      <w:pPr>
        <w:spacing w:after="0" w:line="200" w:lineRule="exact"/>
        <w:rPr>
          <w:sz w:val="20"/>
          <w:szCs w:val="20"/>
          <w:color w:val="auto"/>
        </w:rPr>
      </w:pPr>
    </w:p>
    <w:p>
      <w:pPr>
        <w:ind w:right="340" w:firstLine="188"/>
        <w:spacing w:after="0" w:line="233" w:lineRule="auto"/>
        <w:rPr>
          <w:sz w:val="20"/>
          <w:szCs w:val="20"/>
          <w:color w:val="auto"/>
        </w:rPr>
      </w:pPr>
      <w:r>
        <w:rPr>
          <w:rFonts w:ascii="Arial" w:cs="Arial" w:eastAsia="Arial" w:hAnsi="Arial"/>
          <w:sz w:val="19"/>
          <w:szCs w:val="19"/>
          <w:color w:val="auto"/>
        </w:rPr>
        <w:t>This Award Agreement will be deemed to be signed by the Company and the Participant upon the signing or electronic acceptance by the Participant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60"/>
          </w:cols>
          <w:pgMar w:left="320" w:top="1364" w:right="519" w:bottom="1440" w:gutter="0" w:footer="0" w:header="0"/>
        </w:sectPr>
      </w:pPr>
    </w:p>
    <w:bookmarkStart w:id="124" w:name="page125"/>
    <w:bookmarkEnd w:id="124"/>
    <w:p>
      <w:pPr>
        <w:jc w:val="right"/>
        <w:spacing w:after="0"/>
        <w:rPr>
          <w:sz w:val="20"/>
          <w:szCs w:val="20"/>
          <w:color w:val="auto"/>
        </w:rPr>
      </w:pPr>
      <w:r>
        <w:rPr>
          <w:rFonts w:ascii="Arial" w:cs="Arial" w:eastAsia="Arial" w:hAnsi="Arial"/>
          <w:sz w:val="21"/>
          <w:szCs w:val="21"/>
          <w:color w:val="auto"/>
        </w:rPr>
        <w:t>APPENDIX 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MONGODB, INC.</w:t>
      </w:r>
    </w:p>
    <w:p>
      <w:pPr>
        <w:jc w:val="center"/>
        <w:spacing w:after="0" w:line="200" w:lineRule="auto"/>
        <w:rPr>
          <w:sz w:val="20"/>
          <w:szCs w:val="20"/>
          <w:color w:val="auto"/>
        </w:rPr>
      </w:pPr>
      <w:r>
        <w:rPr>
          <w:rFonts w:ascii="Arial" w:cs="Arial" w:eastAsia="Arial" w:hAnsi="Arial"/>
          <w:sz w:val="19"/>
          <w:szCs w:val="19"/>
          <w:b w:val="1"/>
          <w:bCs w:val="1"/>
          <w:color w:val="auto"/>
        </w:rPr>
        <w:t>2016 EQUITY INCENTIVE PLAN</w:t>
      </w:r>
    </w:p>
    <w:p>
      <w:pPr>
        <w:jc w:val="center"/>
        <w:spacing w:after="0" w:line="201" w:lineRule="auto"/>
        <w:rPr>
          <w:sz w:val="20"/>
          <w:szCs w:val="20"/>
          <w:color w:val="auto"/>
        </w:rPr>
      </w:pPr>
      <w:r>
        <w:rPr>
          <w:rFonts w:ascii="Arial" w:cs="Arial" w:eastAsia="Arial" w:hAnsi="Arial"/>
          <w:sz w:val="19"/>
          <w:szCs w:val="19"/>
          <w:b w:val="1"/>
          <w:bCs w:val="1"/>
          <w:color w:val="auto"/>
        </w:rPr>
        <w:t>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UNITS)</w:t>
      </w:r>
    </w:p>
    <w:p>
      <w:pPr>
        <w:spacing w:after="0" w:line="39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This Appendix includes additional terms and conditions that govern the Award granted to you under the Plan if you reside in one of the countries listed below. Capitalized terms used but not defined in this Appendix have the meanings set forth in the Plan and/or the Award Agreement.</w:t>
      </w:r>
    </w:p>
    <w:p>
      <w:pPr>
        <w:spacing w:after="0" w:line="116"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Award vests or you sell shares acquired under the Plan. In addition, the information contained herein is general in nature and may not apply to your particular situation and the Company is not in a position to assure a particular result. Accordingly, the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ARGENTINA</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200"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200"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w:t>
      </w:r>
      <w:r>
        <w:rPr>
          <w:rFonts w:ascii="Arial" w:cs="Arial" w:eastAsia="Arial" w:hAnsi="Arial"/>
          <w:sz w:val="19"/>
          <w:szCs w:val="19"/>
          <w:i w:val="1"/>
          <w:iCs w:val="1"/>
          <w:color w:val="auto"/>
        </w:rPr>
        <w:t>e.g.</w:t>
      </w:r>
      <w:r>
        <w:rPr>
          <w:rFonts w:ascii="Arial" w:cs="Arial" w:eastAsia="Arial" w:hAnsi="Arial"/>
          <w:sz w:val="19"/>
          <w:szCs w:val="19"/>
          <w:color w:val="auto"/>
        </w:rPr>
        <w:t>, evidence of the sale, proof of the source of the funds used to purchase the shares, etc.). You are solely responsible for complying with the exchange control rules 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 subject to change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Argentinian residents must report any shares acquired under the Plan and held by the resident on December 31 of each year on their annual tax return for that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360" w:right="3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offering and resale of shares acquired under the Plan to a person or entity resident in Australia may be subject to disclosure requirements under Australian law. You should obtain legal advice regarding any applicable disclosure requirements prior to making any such offer.</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Offer of Stock Awards</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Board, in its absolute discretion, may make a written offer to an eligible person who is an Australian Resident (each such offeree being referred to in this Appendix A as a “Participant”) it chooses to accept an Award.</w:t>
      </w:r>
    </w:p>
    <w:p>
      <w:pPr>
        <w:spacing w:after="0" w:line="99"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The offer shall specify the maximum number of shares subject to an Award which you may accept, the Date of Grant, the Expiration Date, the vesting conditions (if any), any applicable holding period and any disposal restrictions attaching to the Award or the resultant Common Stock (all of which may be set by the Board in its absolute discretion).</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offer is intended to receive tax deferred treatment under Subdivision 83A-C of the Income Tax Assessment Act 1997(Cth). The conditions to receive such treatment are contained in this Appendix A.</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offer shall be accompanied by an acceptance form and a copy of the Plan and this Appendix A or, alternatively, details on how you may obtain a copy of the Plan and this Appendix A.</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Grant of Awards</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If you validly accept the Board’s offer of an Award, the Board must grant you an Award for the number of shares for which the Award was accepted. However, the Board must </w:t>
      </w:r>
      <w:r>
        <w:rPr>
          <w:rFonts w:ascii="Arial" w:cs="Arial" w:eastAsia="Arial" w:hAnsi="Arial"/>
          <w:sz w:val="19"/>
          <w:szCs w:val="19"/>
          <w:i w:val="1"/>
          <w:iCs w:val="1"/>
          <w:color w:val="auto"/>
        </w:rPr>
        <w:t>not</w:t>
      </w:r>
      <w:r>
        <w:rPr>
          <w:rFonts w:ascii="Arial" w:cs="Arial" w:eastAsia="Arial" w:hAnsi="Arial"/>
          <w:sz w:val="19"/>
          <w:szCs w:val="19"/>
          <w:color w:val="auto"/>
        </w:rPr>
        <w:t xml:space="preserve"> do so if you have ceased to be an eligible person at the date when the Award is to be granted or the Company is otherwise prohibited from doing so under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(Cth) (the “</w:t>
      </w:r>
      <w:r>
        <w:rPr>
          <w:rFonts w:ascii="Arial" w:cs="Arial" w:eastAsia="Arial" w:hAnsi="Arial"/>
          <w:sz w:val="19"/>
          <w:szCs w:val="19"/>
          <w:b w:val="1"/>
          <w:bCs w:val="1"/>
          <w:i w:val="1"/>
          <w:iCs w:val="1"/>
          <w:color w:val="auto"/>
        </w:rPr>
        <w:t>Corporations Act</w:t>
      </w:r>
      <w:r>
        <w:rPr>
          <w:rFonts w:ascii="Arial" w:cs="Arial" w:eastAsia="Arial" w:hAnsi="Arial"/>
          <w:sz w:val="19"/>
          <w:szCs w:val="19"/>
          <w:color w:val="auto"/>
        </w:rPr>
        <w:t>”) without a disclosure document, product disclosure statement or similar document.</w:t>
      </w:r>
    </w:p>
    <w:p>
      <w:pPr>
        <w:spacing w:after="0" w:line="9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Company must provide an Award Agreement in respect of the Award granted to the Participant to be executed by the Participant as soon as practicable after the date of grant.</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Awards granted to Participants under this Appendix A that are Options must not have an Expiration Date exceeding fifteen (15) years from the Date of Grant.</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Deferred Treatment</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i w:val="1"/>
          <w:iCs w:val="1"/>
          <w:color w:val="auto"/>
        </w:rPr>
        <w:t>Ordinary shares</w:t>
      </w:r>
      <w:r>
        <w:rPr>
          <w:rFonts w:ascii="Arial" w:cs="Arial" w:eastAsia="Arial" w:hAnsi="Arial"/>
          <w:sz w:val="19"/>
          <w:szCs w:val="19"/>
          <w:color w:val="auto"/>
        </w:rPr>
        <w:t>. Awards issued to a Participant under this Appendix A must relate to ordinary shares. For the purpose of this Appendix A,</w:t>
      </w:r>
      <w:r>
        <w:rPr>
          <w:rFonts w:ascii="Arial" w:cs="Arial" w:eastAsia="Arial" w:hAnsi="Arial"/>
          <w:sz w:val="19"/>
          <w:szCs w:val="19"/>
          <w:i w:val="1"/>
          <w:iCs w:val="1"/>
          <w:color w:val="auto"/>
        </w:rPr>
        <w:t xml:space="preserve"> </w:t>
      </w:r>
      <w:r>
        <w:rPr>
          <w:rFonts w:ascii="Arial" w:cs="Arial" w:eastAsia="Arial" w:hAnsi="Arial"/>
          <w:sz w:val="19"/>
          <w:szCs w:val="19"/>
          <w:color w:val="auto"/>
        </w:rPr>
        <w:t>ordinary shares shall be defined in accordance with its ordinary meaning under Australian law.</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Predominant business of the Company</w:t>
      </w:r>
      <w:r>
        <w:rPr>
          <w:rFonts w:ascii="Arial" w:cs="Arial" w:eastAsia="Arial" w:hAnsi="Arial"/>
          <w:sz w:val="18"/>
          <w:szCs w:val="18"/>
          <w:color w:val="auto"/>
        </w:rPr>
        <w:t>. Awards must not be issued to Participants where those Awards relate to Restricted Stock Units or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that has a predominant business of the acquisition, sale or holding of shares, securities or other investments.</w:t>
      </w:r>
    </w:p>
    <w:p>
      <w:pPr>
        <w:spacing w:after="0" w:line="86" w:lineRule="exact"/>
        <w:rPr>
          <w:sz w:val="20"/>
          <w:szCs w:val="20"/>
          <w:color w:val="auto"/>
        </w:rPr>
      </w:pPr>
    </w:p>
    <w:p>
      <w:pPr>
        <w:jc w:val="both"/>
        <w:spacing w:after="0" w:line="233" w:lineRule="auto"/>
        <w:rPr>
          <w:sz w:val="20"/>
          <w:szCs w:val="20"/>
          <w:color w:val="auto"/>
        </w:rPr>
      </w:pPr>
      <w:r>
        <w:rPr>
          <w:rFonts w:ascii="Arial" w:cs="Arial" w:eastAsia="Arial" w:hAnsi="Arial"/>
          <w:sz w:val="19"/>
          <w:szCs w:val="19"/>
          <w:i w:val="1"/>
          <w:iCs w:val="1"/>
          <w:color w:val="auto"/>
        </w:rPr>
        <w:t>Real risk of forfeiture</w:t>
      </w:r>
      <w:r>
        <w:rPr>
          <w:rFonts w:ascii="Arial" w:cs="Arial" w:eastAsia="Arial" w:hAnsi="Arial"/>
          <w:sz w:val="19"/>
          <w:szCs w:val="19"/>
          <w:color w:val="auto"/>
        </w:rPr>
        <w:t>. Awards that are Restricted Stock Units issued to a Participant under this Appendix A must have a real risk of forfeiture, the</w:t>
      </w:r>
      <w:r>
        <w:rPr>
          <w:rFonts w:ascii="Arial" w:cs="Arial" w:eastAsia="Arial" w:hAnsi="Arial"/>
          <w:sz w:val="19"/>
          <w:szCs w:val="19"/>
          <w:i w:val="1"/>
          <w:iCs w:val="1"/>
          <w:color w:val="auto"/>
        </w:rPr>
        <w:t xml:space="preserve"> </w:t>
      </w:r>
      <w:r>
        <w:rPr>
          <w:rFonts w:ascii="Arial" w:cs="Arial" w:eastAsia="Arial" w:hAnsi="Arial"/>
          <w:sz w:val="19"/>
          <w:szCs w:val="19"/>
          <w:color w:val="auto"/>
        </w:rPr>
        <w:t>Vesting conditions by which this risk is achieved is to be determined by the Board in its absolute discretion.</w:t>
      </w:r>
    </w:p>
    <w:p>
      <w:pPr>
        <w:spacing w:after="0" w:line="99" w:lineRule="exact"/>
        <w:rPr>
          <w:sz w:val="20"/>
          <w:szCs w:val="20"/>
          <w:color w:val="auto"/>
        </w:rPr>
      </w:pPr>
    </w:p>
    <w:p>
      <w:pPr>
        <w:jc w:val="both"/>
        <w:spacing w:after="0" w:line="217" w:lineRule="auto"/>
        <w:rPr>
          <w:sz w:val="20"/>
          <w:szCs w:val="20"/>
          <w:color w:val="auto"/>
        </w:rPr>
      </w:pPr>
      <w:r>
        <w:rPr>
          <w:rFonts w:ascii="Arial" w:cs="Arial" w:eastAsia="Arial" w:hAnsi="Arial"/>
          <w:sz w:val="19"/>
          <w:szCs w:val="19"/>
          <w:i w:val="1"/>
          <w:iCs w:val="1"/>
          <w:color w:val="auto"/>
        </w:rPr>
        <w:t>10% limit on shareholding and voting power</w:t>
      </w:r>
      <w:r>
        <w:rPr>
          <w:rFonts w:ascii="Arial" w:cs="Arial" w:eastAsia="Arial" w:hAnsi="Arial"/>
          <w:sz w:val="19"/>
          <w:szCs w:val="19"/>
          <w:color w:val="auto"/>
        </w:rPr>
        <w:t>. Immediately after you acquire the Awards, you must not: (i) hold a beneficial interest in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10% of the 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 into Common Stock.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AUSTRIA</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364" w:right="339" w:bottom="1440" w:gutter="0" w:footer="0" w:header="0"/>
        </w:sectPr>
      </w:pPr>
    </w:p>
    <w:bookmarkStart w:id="126" w:name="page127"/>
    <w:bookmarkEnd w:id="126"/>
    <w:p>
      <w:pPr>
        <w:spacing w:after="0" w:line="233" w:lineRule="auto"/>
        <w:rPr>
          <w:sz w:val="20"/>
          <w:szCs w:val="20"/>
          <w:color w:val="auto"/>
        </w:rPr>
      </w:pPr>
      <w:r>
        <w:rPr>
          <w:rFonts w:ascii="Arial" w:cs="Arial" w:eastAsia="Arial" w:hAnsi="Arial"/>
          <w:sz w:val="19"/>
          <w:szCs w:val="19"/>
          <w:color w:val="auto"/>
        </w:rPr>
        <w:t>The participation in the Plan is exempt or excluded from the requirement to publish a prospectus under the EU Prospectus Directive as implemented in Austria.</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Consumer Protection Information</w:t>
      </w:r>
    </w:p>
    <w:p>
      <w:pPr>
        <w:spacing w:after="0" w:line="121" w:lineRule="exact"/>
        <w:rPr>
          <w:sz w:val="20"/>
          <w:szCs w:val="20"/>
          <w:color w:val="auto"/>
        </w:rPr>
      </w:pPr>
    </w:p>
    <w:p>
      <w:pPr>
        <w:spacing w:after="0" w:line="233" w:lineRule="auto"/>
        <w:rPr>
          <w:sz w:val="20"/>
          <w:szCs w:val="20"/>
          <w:color w:val="auto"/>
        </w:rPr>
      </w:pPr>
      <w:r>
        <w:rPr>
          <w:rFonts w:ascii="Arial" w:cs="Arial" w:eastAsia="Arial" w:hAnsi="Arial"/>
          <w:sz w:val="19"/>
          <w:szCs w:val="19"/>
          <w:color w:val="auto"/>
        </w:rPr>
        <w:t>You may be entitled to revoke the Award Agreement on the basis of the Austrian Consumer Protection Act (the “Act”) under the conditions listed below, if the Act is considered to be applicable to this Award Agreement and the Plan:</w:t>
      </w:r>
    </w:p>
    <w:p>
      <w:pPr>
        <w:spacing w:after="0" w:line="125" w:lineRule="exact"/>
        <w:rPr>
          <w:sz w:val="20"/>
          <w:szCs w:val="20"/>
          <w:color w:val="auto"/>
        </w:rPr>
      </w:pPr>
    </w:p>
    <w:p>
      <w:pPr>
        <w:ind w:left="780" w:hanging="462"/>
        <w:spacing w:after="0"/>
        <w:tabs>
          <w:tab w:leader="none" w:pos="7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revocation must be made within one week after the acceptance of the Award Agreement.</w:t>
      </w:r>
    </w:p>
    <w:p>
      <w:pPr>
        <w:spacing w:after="0" w:line="173" w:lineRule="exact"/>
        <w:rPr>
          <w:rFonts w:ascii="Arial" w:cs="Arial" w:eastAsia="Arial" w:hAnsi="Arial"/>
          <w:sz w:val="19"/>
          <w:szCs w:val="19"/>
          <w:color w:val="auto"/>
        </w:rPr>
      </w:pPr>
    </w:p>
    <w:p>
      <w:pPr>
        <w:jc w:val="both"/>
        <w:ind w:left="780" w:hanging="462"/>
        <w:spacing w:after="0" w:line="271" w:lineRule="auto"/>
        <w:tabs>
          <w:tab w:leader="none" w:pos="77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 certain thresholds are exceeded. You are encouraged to consult your personal legal or tax advisor to understand how these rules apply to your particular situation.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BELGIUM</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this Award under the Plan is exempt from the requirement to publish a prospectus under the EU Prospectus Directive as implemented in Belgium.</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Withholding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employer is generally required to withhold income taxes or social insurances, as applicable, for the grant of this Award under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BRAZIL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provisions supplement Section 17 of this Award Agreement.</w:t>
      </w:r>
    </w:p>
    <w:p>
      <w:pPr>
        <w:spacing w:after="0" w:line="174"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 to you.</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Compliance with Law</w:t>
      </w:r>
    </w:p>
    <w:p>
      <w:pPr>
        <w:spacing w:after="0" w:line="17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If you are a resident or domiciled in Brazil, you will be required to submit an annual declaration of assets and rights held outside of Brazil, including any shares of Common Stock acquired under the Plan,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364" w:right="339" w:bottom="1440" w:gutter="0" w:footer="0" w:header="0"/>
        </w:sectPr>
      </w:pPr>
    </w:p>
    <w:bookmarkStart w:id="127" w:name="page128"/>
    <w:bookmarkEnd w:id="127"/>
    <w:p>
      <w:pPr>
        <w:jc w:val="both"/>
        <w:spacing w:after="0" w:line="222" w:lineRule="auto"/>
        <w:rPr>
          <w:sz w:val="20"/>
          <w:szCs w:val="20"/>
          <w:color w:val="auto"/>
        </w:rPr>
      </w:pPr>
      <w:r>
        <w:rPr>
          <w:rFonts w:ascii="Arial" w:cs="Arial" w:eastAsia="Arial" w:hAnsi="Arial"/>
          <w:sz w:val="19"/>
          <w:szCs w:val="19"/>
          <w:color w:val="auto"/>
        </w:rPr>
        <w:t>Central Bank of Brazil if the aggregate value of such assets and rights equals or exceeds US$100,000.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on Financial Transaction</w:t>
      </w:r>
    </w:p>
    <w:p>
      <w:pPr>
        <w:spacing w:after="0" w:line="17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BULGARIA</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Exchange Notice</w:t>
      </w:r>
    </w:p>
    <w:p>
      <w:pPr>
        <w:spacing w:after="0" w:line="17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Disclaimer</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The grant of the Award is exempt from the requirement to publish a prospectus under current rules as implemented in Bulgaria.</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CANADA</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provision supplements Section 17 of the Award Agreement:</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Language Consent</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Consentement relatif à la langue utilisée</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i w:val="1"/>
          <w:iCs w:val="1"/>
          <w:color w:val="auto"/>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Canadian residents are required to report any foreign property (</w:t>
      </w:r>
      <w:r>
        <w:rPr>
          <w:rFonts w:ascii="Arial" w:cs="Arial" w:eastAsia="Arial" w:hAnsi="Arial"/>
          <w:sz w:val="19"/>
          <w:szCs w:val="19"/>
          <w:i w:val="1"/>
          <w:iCs w:val="1"/>
          <w:color w:val="auto"/>
        </w:rPr>
        <w:t>e.g.</w:t>
      </w:r>
      <w:r>
        <w:rPr>
          <w:rFonts w:ascii="Arial" w:cs="Arial" w:eastAsia="Arial" w:hAnsi="Arial"/>
          <w:sz w:val="19"/>
          <w:szCs w:val="19"/>
          <w:color w:val="auto"/>
        </w:rPr>
        <w:t>,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 your own personal tax advisor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364" w:right="3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u w:val="single" w:color="auto"/>
          <w:color w:val="auto"/>
        </w:rPr>
        <w:t>Share Settlement of Award</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Notwithstanding anything to the contrary in the Plan or this Award Agreement, Restricted Stock Units granted to Canadian Participants shall only be settled in shares of stock and shall not be settled in cash.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CHINA</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State Administration of Foreign Exchange (SAFE) Compliance</w:t>
      </w:r>
    </w:p>
    <w:p>
      <w:pPr>
        <w:spacing w:after="0" w:line="10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grant of the Restricted Stock Units and the Participant’s ability to sell the shares of Common Stock shall all be contingent upon the Company or its Affiliate obtaining approval from SAFE for the related foreign exchange transaction and the establishment of a SAFE-approved bank account. The receipt of funds by the Participant from the sale of the shares of Common Stock and the conversion of those funds to the local currency must be approved by SAFE. In order to comply with the SAFE regulations, the proceeds from the sale of the shares of Common Stock must be repatriated into China through a SAFE-approved bank account set up and monitored by the Company. the Participant may contact his or her local HR office for more details about the SAFE-approved bank account.</w:t>
      </w:r>
    </w:p>
    <w:p>
      <w:pPr>
        <w:spacing w:after="0" w:line="8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Participant hereby acknowledges and agrees that such proceeds (net of applicable China tax) will be transferred to the SAFE-approved account prior to being delivered to China Participant’s personal account and that neither the Chinese Affiliate, the Company nor any Affiliate shall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be liable for any delays or foreign exchange rate fluctuation that may happen in this process</w:t>
      </w:r>
      <w:r>
        <w:rPr>
          <w:rFonts w:ascii="Arial" w:cs="Arial" w:eastAsia="Arial" w:hAnsi="Arial"/>
          <w:sz w:val="20"/>
          <w:szCs w:val="20"/>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Participant may be required to report to SAFE all details of his or her foreign financial assets and liabilities, as well as details of any economic transactions conducted with non-PRC residents. Under these rules, the Participant may be subject to reporting obligations for the Restricted Stock Units, shares of Common Stock acquired under the Plan, the receipt of any dividends and the sale of shares of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Restrictions on Holding of Common Stock</w:t>
      </w:r>
    </w:p>
    <w:p>
      <w:pPr>
        <w:spacing w:after="0" w:line="10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Notwithstanding any terms to the contrary in the Plan, due to legal restrictions in China, Participants may be required to sell shares of Common Stock issued pursuant to the Restricted Stock Units to cover tax liabilities or within a given period of time.</w:t>
      </w:r>
    </w:p>
    <w:p>
      <w:pPr>
        <w:spacing w:after="0" w:line="85"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Company reserves the right to require the Participant to sell all shares issued to him/her upon vesting if required by local law or otherwise as it deems appropriate at its sole discretion.</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All outstanding shares issued to the Participant prior to the termination of his/her employment shall be sold within six (6) months from such termination. Upon the end of the 6-month period, if there are still any remaining shares, all such shares will automatically be sold on behalf of the Participant on the first trading day following the expiry of the 6-month period. The Company reserves the right to shorten or eliminate the aforesaid post-termination sale period if required by local law or otherwise as it deems appropriate at its sole discretion.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DENMARK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participation in the Plan is exempt or excluded from the requirement to publish a prospectus under current rules as implemented in Denmark.</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Labor/Employment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IMPORTANT – STATEMENT UNDER SECTION 3(1) OF THE ACT ON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364" w:right="339" w:bottom="1440" w:gutter="0" w:footer="0" w:header="0"/>
        </w:sectPr>
      </w:pPr>
    </w:p>
    <w:bookmarkStart w:id="129" w:name="page130"/>
    <w:bookmarkEnd w:id="129"/>
    <w:p>
      <w:pPr>
        <w:jc w:val="both"/>
        <w:spacing w:after="0" w:line="233" w:lineRule="auto"/>
        <w:rPr>
          <w:sz w:val="20"/>
          <w:szCs w:val="20"/>
          <w:color w:val="auto"/>
        </w:rPr>
      </w:pPr>
      <w:r>
        <w:rPr>
          <w:rFonts w:ascii="Arial" w:cs="Arial" w:eastAsia="Arial" w:hAnsi="Arial"/>
          <w:sz w:val="19"/>
          <w:szCs w:val="19"/>
          <w:color w:val="auto"/>
        </w:rPr>
        <w:t>Pursuant to Section 3(1) of the Act on Stock Options in employment relations (the "Stock Option Act"), you are entitled to receive information regarding the Plan in a separate written statement in Danish.</w:t>
      </w:r>
    </w:p>
    <w:p>
      <w:pPr>
        <w:spacing w:after="0" w:line="15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full statement containing the information about your rights under the Plan and the Stock Option Act is attached as a separate written statement to this Award Agreement.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Taxation</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participation in the Plan is covered by the Danish Tax Assessment Act section 7P. The tax treatment is intended to be accordingly beneficial to the extent provided under law.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FINLAND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participation in the Plan is exempt or excluded from the requirement to publish a prospectus under the EU Prospectus Directive as implemented in Finland.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FRANCE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Awards Not Tax-Qualified</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 xml:space="preserve">The Award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intended to be a tax-qualified or tax-preferred award, including without limitation, under Sections L. 225-197-1 to L. 225-197-6 of the French Commercial Code. You are encouraged to consult with a personal tax advisor to understand the tax and social insurance implications of the Award.</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Withholding</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As from January 1, 2019, vesting of the Award will give rise to income tax withholding in France.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participation in the Plan is exempt or excluded from the requirement to publish a prospectus under the EU Prospectus Directive as implemented in France.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Information</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GERMANY</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participation in the Plan is exempt or excluded from the requirement to publish a prospectus under the EU Prospectus Directive as implemented in Germany.</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Cross-border payments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the event that you make or receive a payment in excess of this amount, you are required to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(www.bundesbank.de).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HONG KONG</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364" w:right="339" w:bottom="1440" w:gutter="0" w:footer="0" w:header="0"/>
        </w:sectPr>
      </w:pPr>
    </w:p>
    <w:bookmarkStart w:id="130" w:name="page131"/>
    <w:bookmarkEnd w:id="130"/>
    <w:p>
      <w:pPr>
        <w:jc w:val="both"/>
        <w:spacing w:after="0" w:line="210" w:lineRule="auto"/>
        <w:rPr>
          <w:sz w:val="20"/>
          <w:szCs w:val="20"/>
          <w:color w:val="auto"/>
        </w:rPr>
      </w:pPr>
      <w:r>
        <w:rPr>
          <w:rFonts w:ascii="Arial" w:cs="Arial" w:eastAsia="Arial" w:hAnsi="Arial"/>
          <w:sz w:val="19"/>
          <w:szCs w:val="19"/>
          <w:i w:val="1"/>
          <w:iCs w:val="1"/>
          <w:color w:val="auto"/>
        </w:rPr>
        <w:t>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 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Sale of Shares</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Occupational Retirement Schemes Ordinance Alert</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Company specifically intends that neither the Award nor the Plan will be considered or deemed an occupational retirement scheme for purposes of the Occupational Retirement Schemes Ordinance (“ORSO”).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INDIA</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You must repatriate to India all funds resulting from the sale of shares of stock within 90 days and all proceeds from the receipt of any dividends within 180 days. You will receive a foreign inward remittance certificate (“FIRC”) from the bank where you deposits the foreign currency. You should maintain the FIRC as evidence of the repatriation of funds in the event that the Reserve Bank of India or your employer requests proof of repatriation.</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IRELAND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Taxation: General</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tax and social security consequences of participating in the Plan are based on complex tax and social security laws, which may be subject to varying 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Withholding</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w:t>
      </w:r>
      <w:r>
        <w:rPr>
          <w:rFonts w:ascii="Arial" w:cs="Arial" w:eastAsia="Arial" w:hAnsi="Arial"/>
          <w:sz w:val="19"/>
          <w:szCs w:val="19"/>
          <w:b w:val="1"/>
          <w:bCs w:val="1"/>
          <w:color w:val="auto"/>
        </w:rPr>
        <w:t>Taxes</w:t>
      </w:r>
      <w:r>
        <w:rPr>
          <w:rFonts w:ascii="Arial" w:cs="Arial" w:eastAsia="Arial" w:hAnsi="Arial"/>
          <w:sz w:val="19"/>
          <w:szCs w:val="19"/>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364" w:right="339" w:bottom="1440" w:gutter="0" w:footer="0" w:header="0"/>
        </w:sectPr>
      </w:pPr>
    </w:p>
    <w:bookmarkStart w:id="131" w:name="page132"/>
    <w:bookmarkEnd w:id="131"/>
    <w:p>
      <w:pPr>
        <w:jc w:val="both"/>
        <w:spacing w:after="0" w:line="229" w:lineRule="auto"/>
        <w:rPr>
          <w:sz w:val="20"/>
          <w:szCs w:val="20"/>
          <w:color w:val="auto"/>
        </w:rPr>
      </w:pPr>
      <w:r>
        <w:rPr>
          <w:rFonts w:ascii="Arial" w:cs="Arial" w:eastAsia="Arial" w:hAnsi="Arial"/>
          <w:sz w:val="18"/>
          <w:szCs w:val="18"/>
          <w:color w:val="auto"/>
        </w:rPr>
        <w:t>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w:t>
      </w:r>
      <w:r>
        <w:rPr>
          <w:rFonts w:ascii="Arial" w:cs="Arial" w:eastAsia="Arial" w:hAnsi="Arial"/>
          <w:sz w:val="18"/>
          <w:szCs w:val="18"/>
          <w:b w:val="1"/>
          <w:bCs w:val="1"/>
          <w:color w:val="auto"/>
        </w:rPr>
        <w:t>Tax Liabilities</w:t>
      </w:r>
      <w:r>
        <w:rPr>
          <w:rFonts w:ascii="Arial" w:cs="Arial" w:eastAsia="Arial" w:hAnsi="Arial"/>
          <w:sz w:val="18"/>
          <w:szCs w:val="18"/>
          <w:color w:val="auto"/>
        </w:rPr>
        <w:t>”).</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Pursuant to the indemnity referred to in the preceding paragraph, where necessary, you shall make such arrangements, as the Company requires to meet the cost of the Tax Liabilities, including at the direction of the Company any of the following:</w:t>
      </w:r>
    </w:p>
    <w:p>
      <w:pPr>
        <w:spacing w:after="0" w:line="112" w:lineRule="exact"/>
        <w:rPr>
          <w:sz w:val="20"/>
          <w:szCs w:val="20"/>
          <w:color w:val="auto"/>
        </w:rPr>
      </w:pPr>
    </w:p>
    <w:p>
      <w:pPr>
        <w:jc w:val="both"/>
        <w:ind w:left="620" w:hanging="615"/>
        <w:spacing w:after="0" w:line="219" w:lineRule="auto"/>
        <w:tabs>
          <w:tab w:leader="none" w:pos="613" w:val="left"/>
        </w:tabs>
        <w:numPr>
          <w:ilvl w:val="0"/>
          <w:numId w:val="60"/>
        </w:numPr>
        <w:rPr>
          <w:rFonts w:ascii="Arial" w:cs="Arial" w:eastAsia="Arial" w:hAnsi="Arial"/>
          <w:sz w:val="21"/>
          <w:szCs w:val="21"/>
          <w:color w:val="auto"/>
        </w:rPr>
      </w:pPr>
      <w:r>
        <w:rPr>
          <w:rFonts w:ascii="Arial" w:cs="Arial" w:eastAsia="Arial" w:hAnsi="Arial"/>
          <w:sz w:val="19"/>
          <w:szCs w:val="19"/>
          <w:color w:val="auto"/>
        </w:rPr>
        <w:t>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spacing w:after="0" w:line="112" w:lineRule="exact"/>
        <w:rPr>
          <w:rFonts w:ascii="Arial" w:cs="Arial" w:eastAsia="Arial" w:hAnsi="Arial"/>
          <w:sz w:val="21"/>
          <w:szCs w:val="21"/>
          <w:color w:val="auto"/>
        </w:rPr>
      </w:pPr>
    </w:p>
    <w:p>
      <w:pPr>
        <w:jc w:val="both"/>
        <w:ind w:left="620" w:hanging="615"/>
        <w:spacing w:after="0" w:line="226" w:lineRule="auto"/>
        <w:tabs>
          <w:tab w:leader="none" w:pos="612" w:val="left"/>
        </w:tabs>
        <w:numPr>
          <w:ilvl w:val="0"/>
          <w:numId w:val="60"/>
        </w:numPr>
        <w:rPr>
          <w:rFonts w:ascii="Arial" w:cs="Arial" w:eastAsia="Arial" w:hAnsi="Arial"/>
          <w:sz w:val="20"/>
          <w:szCs w:val="20"/>
          <w:color w:val="auto"/>
        </w:rPr>
      </w:pPr>
      <w:r>
        <w:rPr>
          <w:rFonts w:ascii="Arial" w:cs="Arial" w:eastAsia="Arial" w:hAnsi="Arial"/>
          <w:sz w:val="18"/>
          <w:szCs w:val="18"/>
          <w:color w:val="auto"/>
        </w:rPr>
        <w:t>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Company Law - Notification Obligation</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 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 exemption also applies to company secretaries.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the Award is exempt or excluded from the requirement to publish a prospectus under the EU Prospectus Directive as implemented in Ireland.</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Employment</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You acknowledge that your terms of employment shall not be affected in any way by your participation of the Plan, which shall not form part of such terms (either expressly or impliedly). You acknowledge that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 terminated), you hereby acknowledge that you shall be entitled to (and hereby waive) any compensation for the loss of any rights or benefits under the Plan, or any replacement or successor plan.</w:t>
      </w:r>
    </w:p>
    <w:p>
      <w:pPr>
        <w:spacing w:after="0" w:line="10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ISRAEL</w:t>
      </w:r>
    </w:p>
    <w:p>
      <w:pPr>
        <w:spacing w:after="0" w:line="127"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Restricted Stock Units granted to employees of the Israeli subsidiary of the Company will be subject to the provisions of the Plan and the Appendix for Israeli Participants. Restricted Stock Units are meant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364" w:right="339" w:bottom="1440" w:gutter="0" w:footer="0" w:header="0"/>
        </w:sectPr>
      </w:pPr>
    </w:p>
    <w:bookmarkStart w:id="132" w:name="page133"/>
    <w:bookmarkEnd w:id="132"/>
    <w:p>
      <w:pPr>
        <w:jc w:val="both"/>
        <w:spacing w:after="0" w:line="217" w:lineRule="auto"/>
        <w:rPr>
          <w:sz w:val="20"/>
          <w:szCs w:val="20"/>
          <w:color w:val="auto"/>
        </w:rPr>
      </w:pPr>
      <w:r>
        <w:rPr>
          <w:rFonts w:ascii="Arial" w:cs="Arial" w:eastAsia="Arial" w:hAnsi="Arial"/>
          <w:sz w:val="19"/>
          <w:szCs w:val="19"/>
          <w:color w:val="auto"/>
        </w:rPr>
        <w:t>be granted under the trustee capital gains route pursuant to section 102(b)(2) and 102(b)(3) of the Israeli Income Tax Ordinance [New Version] 1961 (“</w:t>
      </w:r>
      <w:r>
        <w:rPr>
          <w:rFonts w:ascii="Arial" w:cs="Arial" w:eastAsia="Arial" w:hAnsi="Arial"/>
          <w:sz w:val="19"/>
          <w:szCs w:val="19"/>
          <w:b w:val="1"/>
          <w:bCs w:val="1"/>
          <w:i w:val="1"/>
          <w:iCs w:val="1"/>
          <w:color w:val="auto"/>
        </w:rPr>
        <w:t>Section 102</w:t>
      </w:r>
      <w:r>
        <w:rPr>
          <w:rFonts w:ascii="Arial" w:cs="Arial" w:eastAsia="Arial" w:hAnsi="Arial"/>
          <w:sz w:val="19"/>
          <w:szCs w:val="19"/>
          <w:b w:val="1"/>
          <w:bCs w:val="1"/>
          <w:color w:val="auto"/>
        </w:rPr>
        <w:t>”</w:t>
      </w:r>
      <w:r>
        <w:rPr>
          <w:rFonts w:ascii="Arial" w:cs="Arial" w:eastAsia="Arial" w:hAnsi="Arial"/>
          <w:sz w:val="19"/>
          <w:szCs w:val="19"/>
          <w:color w:val="auto"/>
        </w:rPr>
        <w:t>).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w:t>
      </w:r>
    </w:p>
    <w:p>
      <w:pPr>
        <w:spacing w:after="0" w:line="9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 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 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 violation of the terms of Section 102 and agree to bear the relevant sanctions.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Trust</w:t>
      </w:r>
    </w:p>
    <w:p>
      <w:pPr>
        <w:spacing w:after="0" w:line="121"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 (the “</w:t>
      </w:r>
      <w:r>
        <w:rPr>
          <w:rFonts w:ascii="Arial" w:cs="Arial" w:eastAsia="Arial" w:hAnsi="Arial"/>
          <w:sz w:val="17"/>
          <w:szCs w:val="17"/>
          <w:b w:val="1"/>
          <w:bCs w:val="1"/>
          <w:i w:val="1"/>
          <w:iCs w:val="1"/>
          <w:color w:val="auto"/>
        </w:rPr>
        <w:t>Additional Rights</w:t>
      </w:r>
      <w:r>
        <w:rPr>
          <w:rFonts w:ascii="Arial" w:cs="Arial" w:eastAsia="Arial" w:hAnsi="Arial"/>
          <w:sz w:val="17"/>
          <w:szCs w:val="17"/>
          <w:color w:val="auto"/>
        </w:rPr>
        <w:t>”)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7"/>
          <w:szCs w:val="17"/>
          <w:b w:val="1"/>
          <w:bCs w:val="1"/>
          <w:i w:val="1"/>
          <w:iCs w:val="1"/>
          <w:color w:val="auto"/>
        </w:rPr>
        <w:t>Rules</w:t>
      </w:r>
      <w:r>
        <w:rPr>
          <w:rFonts w:ascii="Arial" w:cs="Arial" w:eastAsia="Arial" w:hAnsi="Arial"/>
          <w:sz w:val="17"/>
          <w:szCs w:val="17"/>
          <w:color w:val="auto"/>
        </w:rPr>
        <w:t>”). In the event the Restricted Stock Units or underlying shares of Common Stock do not meet the requirements of Section 102, such Restricted Stock Units and the underlying shares of Common Stock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 the Trustee and/or the Company 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 Holding Period, the sanctions under Section 102 shall apply to and shall be borne by you.</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Tax</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 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 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 Common Stock if you fail to comply with your obligations in connection with the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364" w:right="339" w:bottom="1440" w:gutter="0" w:footer="0" w:header="0"/>
        </w:sectPr>
      </w:pPr>
    </w:p>
    <w:bookmarkStart w:id="133" w:name="page134"/>
    <w:bookmarkEnd w:id="133"/>
    <w:p>
      <w:pPr>
        <w:jc w:val="both"/>
        <w:spacing w:after="0" w:line="233" w:lineRule="auto"/>
        <w:rPr>
          <w:sz w:val="20"/>
          <w:szCs w:val="20"/>
          <w:color w:val="auto"/>
        </w:rPr>
      </w:pPr>
      <w:r>
        <w:rPr>
          <w:rFonts w:ascii="Arial" w:cs="Arial" w:eastAsia="Arial" w:hAnsi="Arial"/>
          <w:sz w:val="19"/>
          <w:szCs w:val="19"/>
          <w:color w:val="auto"/>
        </w:rPr>
        <w:t>described in this section. The tax treatment of any Restricted Stock Units not guaranteed and although a Restricted Stock Unit may be granted under a certain tax route, they may become subject to a different tax route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ITALY</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options is exempt from the requirement to publish a prospectus under the EU Prospectus Directive as implemented in Italy.</w:t>
      </w:r>
    </w:p>
    <w:p>
      <w:pPr>
        <w:spacing w:after="0" w:line="127" w:lineRule="exact"/>
        <w:rPr>
          <w:sz w:val="20"/>
          <w:szCs w:val="20"/>
          <w:color w:val="auto"/>
        </w:rPr>
      </w:pPr>
    </w:p>
    <w:p>
      <w:pPr>
        <w:ind w:left="5320"/>
        <w:spacing w:after="0"/>
        <w:rPr>
          <w:sz w:val="20"/>
          <w:szCs w:val="20"/>
          <w:color w:val="auto"/>
        </w:rPr>
      </w:pPr>
      <w:r>
        <w:rPr>
          <w:rFonts w:ascii="Arial" w:cs="Arial" w:eastAsia="Arial" w:hAnsi="Arial"/>
          <w:sz w:val="19"/>
          <w:szCs w:val="19"/>
          <w:b w:val="1"/>
          <w:bCs w:val="1"/>
          <w:color w:val="auto"/>
        </w:rPr>
        <w:t>JAPAN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Exchange</w:t>
      </w:r>
    </w:p>
    <w:p>
      <w:pPr>
        <w:spacing w:after="0" w:line="200"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Under certain circumstance, you may be required to file a report with the Ministry of Finance if you intend to acquire shares of stock whose value exceeds a certain amount. The reporting, if required, is due within 20 days from the acquisition of the shares of stock (however, if you acquires such shares of stock through a securities company in Japan, such requirement will not be imposed). The reporting requirements vary depending on whether the relevant payment is made through a bank in Japan.</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You are advised to seek appropriate professional advice as to how the exchange control regulations, tax or other laws in your country apply to your specific situation. Laws and regulations change frequently and occasionally on a retroactive basis.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200"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 complying with applicable reporting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Award and the shares of stock have not been registered under the Financial Instruments and Exchange Act of Japan (Law No. 25 of 1948), as amended (the “FIEA”). The Award and the shares of stock issuable upon the vesting of Award may not be offered or sold in Japan or to, or for 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 entity organized under the laws of Japan or having its main office in Japan.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KOREA</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Assets Reporting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364" w:right="339" w:bottom="1440" w:gutter="0" w:footer="0" w:header="0"/>
        </w:sectPr>
      </w:pPr>
    </w:p>
    <w:bookmarkStart w:id="134" w:name="page135"/>
    <w:bookmarkEnd w:id="134"/>
    <w:p>
      <w:pPr>
        <w:jc w:val="both"/>
        <w:spacing w:after="0" w:line="217" w:lineRule="auto"/>
        <w:rPr>
          <w:sz w:val="20"/>
          <w:szCs w:val="20"/>
          <w:color w:val="auto"/>
        </w:rPr>
      </w:pPr>
      <w:r>
        <w:rPr>
          <w:rFonts w:ascii="Arial" w:cs="Arial" w:eastAsia="Arial" w:hAnsi="Arial"/>
          <w:sz w:val="19"/>
          <w:szCs w:val="19"/>
          <w:color w:val="auto"/>
        </w:rPr>
        <w:t>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 personal tax advisor to determine how to value your foreign accounts for purposes of this reporting requirement and whether you are required to file a report with respect to such accounts.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LUXEMBOURG</w:t>
      </w: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84"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You are required to report any inward remittances of funds to the </w:t>
      </w:r>
      <w:r>
        <w:rPr>
          <w:rFonts w:ascii="Arial" w:cs="Arial" w:eastAsia="Arial" w:hAnsi="Arial"/>
          <w:sz w:val="19"/>
          <w:szCs w:val="19"/>
          <w:i w:val="1"/>
          <w:iCs w:val="1"/>
          <w:color w:val="auto"/>
        </w:rPr>
        <w:t>Banque Central de Luxembourg</w:t>
      </w:r>
      <w:r>
        <w:rPr>
          <w:rFonts w:ascii="Arial" w:cs="Arial" w:eastAsia="Arial" w:hAnsi="Arial"/>
          <w:sz w:val="19"/>
          <w:szCs w:val="19"/>
          <w:color w:val="auto"/>
        </w:rPr>
        <w:t xml:space="preserve"> and/or the </w:t>
      </w:r>
      <w:r>
        <w:rPr>
          <w:rFonts w:ascii="Arial" w:cs="Arial" w:eastAsia="Arial" w:hAnsi="Arial"/>
          <w:sz w:val="19"/>
          <w:szCs w:val="19"/>
          <w:i w:val="1"/>
          <w:iCs w:val="1"/>
          <w:color w:val="auto"/>
        </w:rPr>
        <w:t>Service Central de La Statistique 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des Études Économiques </w:t>
      </w:r>
      <w:r>
        <w:rPr>
          <w:rFonts w:ascii="Arial" w:cs="Arial" w:eastAsia="Arial" w:hAnsi="Arial"/>
          <w:sz w:val="19"/>
          <w:szCs w:val="19"/>
          <w:color w:val="auto"/>
        </w:rPr>
        <w:t>within 15 working days following the month during which the transaction occurred. If a Luxembourg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 is involved in the transaction, it generally will fulfill the reporting obligation on your behalf. However, as long as the Company is not a Luxembourg resident financial company, the statistical reporting obligation should not apply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Award under the Plan is exempt or excluded from the requirement to publish a prospectus under the EU Prospectus Regulation as implemented in Luxembourg.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MEXICO</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These provisions supplement Section 17 of the Award Agreement:</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i w:val="1"/>
          <w:iCs w:val="1"/>
          <w:color w:val="auto"/>
        </w:rPr>
        <w:t xml:space="preserve">Modification. </w:t>
      </w:r>
      <w:r>
        <w:rPr>
          <w:rFonts w:ascii="Arial" w:cs="Arial" w:eastAsia="Arial" w:hAnsi="Arial"/>
          <w:sz w:val="19"/>
          <w:szCs w:val="19"/>
          <w:color w:val="auto"/>
        </w:rPr>
        <w:t>By accepting the Award, you understand and agree that any modification of the Plan or the Award Agreement or its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constitute a change or impairment of the terms and conditions of your employment.</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i w:val="1"/>
          <w:iCs w:val="1"/>
          <w:color w:val="auto"/>
        </w:rPr>
        <w:t xml:space="preserve">Policy Statement. </w:t>
      </w:r>
      <w:r>
        <w:rPr>
          <w:rFonts w:ascii="Arial" w:cs="Arial" w:eastAsia="Arial" w:hAnsi="Arial"/>
          <w:sz w:val="19"/>
          <w:szCs w:val="19"/>
          <w:color w:val="auto"/>
        </w:rPr>
        <w:t>The grant of the Award made under the Plan is unilateral and discretionary and, therefore, the Company reserves the absolute</w:t>
      </w:r>
      <w:r>
        <w:rPr>
          <w:rFonts w:ascii="Arial" w:cs="Arial" w:eastAsia="Arial" w:hAnsi="Arial"/>
          <w:sz w:val="19"/>
          <w:szCs w:val="19"/>
          <w:i w:val="1"/>
          <w:iCs w:val="1"/>
          <w:color w:val="auto"/>
        </w:rPr>
        <w:t xml:space="preserve"> </w:t>
      </w:r>
      <w:r>
        <w:rPr>
          <w:rFonts w:ascii="Arial" w:cs="Arial" w:eastAsia="Arial" w:hAnsi="Arial"/>
          <w:sz w:val="19"/>
          <w:szCs w:val="19"/>
          <w:color w:val="auto"/>
        </w:rPr>
        <w:t>right to amend it and discontinue it at any time without any liability.</w:t>
      </w:r>
    </w:p>
    <w:p>
      <w:pPr>
        <w:spacing w:after="0" w:line="99" w:lineRule="exact"/>
        <w:rPr>
          <w:sz w:val="20"/>
          <w:szCs w:val="20"/>
          <w:color w:val="auto"/>
        </w:rPr>
      </w:pPr>
    </w:p>
    <w:p>
      <w:pPr>
        <w:jc w:val="both"/>
        <w:spacing w:after="0" w:line="203" w:lineRule="auto"/>
        <w:rPr>
          <w:sz w:val="20"/>
          <w:szCs w:val="20"/>
          <w:color w:val="auto"/>
        </w:rPr>
      </w:pPr>
      <w:r>
        <w:rPr>
          <w:rFonts w:ascii="Arial" w:cs="Arial" w:eastAsia="Arial" w:hAnsi="Arial"/>
          <w:sz w:val="19"/>
          <w:szCs w:val="19"/>
          <w:color w:val="auto"/>
        </w:rPr>
        <w:t>The Company with registered offices at 229 W. 43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Street,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NY, NY, 10036, United States of America, is solely responsible for the administration of the Plan and participation in the Plan and the acquisition of shares of stock does not, in any way, establish an employment relationship between you and the Company since you are participating in the Plan on a wholly commercial basis and your sole employer is the Company’s Mexican Affiliate, nor does it establish any rights between you and your employer.</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Plan Document Acknowledgment</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By accepting the grant of Award, you acknowledge that you have received copies of the Plan, have reviewed the Plan and the Award Agreement in their entirety and fully understand and accept all provisions of the Plan and the Award Agreement.</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addition, by signing the Award Agreement, you further acknowledge that you have read and specifically and expressly approve the terms and conditions in Section 11 of the Award Agreement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364" w:right="33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19"/>
          <w:szCs w:val="19"/>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NETHERLANDS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Prohibition Against Insider Trading</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You should be aware of the Dutch insider trading rules, which may affect the sale of shares acquired under the Plan. In particular, you may be prohibited from effecting certain share transactions if you have insider information regarding the Company. Below is a discussion of the applicable restrictions. You are advised to read the discussion carefully to determine whether the insider 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10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 xml:space="preserve">Dutch securities laws prohibit insider trading. As of 3 July 2016, the European Market Abuse Regulation (MAR), is applicable in the Netherlands. For further information, Participant is referred to the website of the Authority for the Financial Markets (AFM): </w:t>
      </w:r>
      <w:r>
        <w:rPr>
          <w:rFonts w:ascii="Arial" w:cs="Arial" w:eastAsia="Arial" w:hAnsi="Arial"/>
          <w:sz w:val="19"/>
          <w:szCs w:val="19"/>
          <w:u w:val="single" w:color="auto"/>
          <w:color w:val="0000FF"/>
        </w:rPr>
        <w:t>https://www.afm.nl/en/professionals/onderwerpen/marktmisbruik</w:t>
      </w:r>
      <w:r>
        <w:rPr>
          <w:rFonts w:ascii="Arial" w:cs="Arial" w:eastAsia="Arial" w:hAnsi="Arial"/>
          <w:sz w:val="19"/>
          <w:szCs w:val="19"/>
          <w:color w:val="000000"/>
        </w:rPr>
        <w:t>.</w:t>
      </w:r>
    </w:p>
    <w:p>
      <w:pPr>
        <w:spacing w:after="0" w:line="9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 Agreement and participating in the Plan, you acknowledge having read and understood the notification above and acknowledge that it is your responsibility to comply with the Dutch insider trading rules, as discussed herein.</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the Award is exempt or excluded from the requirement to publish a prospectus under the EU Prospectus Directive as implemented in 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POLAND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Award under the Plan is exempt from the requirement to publish a prospectus under the EU Prospectus Regulation as implemented in Poland.</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7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If you hold foreign securities (including shares of Common Stock) and maintain accounts abroad, you may be required to file certain reports with the National Bank of Poland. Specifically, if the value of securities and cash held in such foreign accounts exceeds PLN 7 million, you must file reports on the transactions 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Employment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In order to meet the requirements of the Plan you shall authorize your employer:</w:t>
      </w:r>
    </w:p>
    <w:p>
      <w:pPr>
        <w:spacing w:after="0" w:line="134" w:lineRule="exact"/>
        <w:rPr>
          <w:sz w:val="20"/>
          <w:szCs w:val="20"/>
          <w:color w:val="auto"/>
        </w:rPr>
      </w:pPr>
    </w:p>
    <w:p>
      <w:pPr>
        <w:ind w:left="620" w:hanging="615"/>
        <w:spacing w:after="0"/>
        <w:tabs>
          <w:tab w:leader="none" w:pos="620" w:val="left"/>
        </w:tabs>
        <w:numPr>
          <w:ilvl w:val="0"/>
          <w:numId w:val="61"/>
        </w:numPr>
        <w:rPr>
          <w:rFonts w:ascii="Arial" w:cs="Arial" w:eastAsia="Arial" w:hAnsi="Arial"/>
          <w:sz w:val="21"/>
          <w:szCs w:val="21"/>
          <w:color w:val="auto"/>
        </w:rPr>
      </w:pPr>
      <w:r>
        <w:rPr>
          <w:rFonts w:ascii="Arial" w:cs="Arial" w:eastAsia="Arial" w:hAnsi="Arial"/>
          <w:sz w:val="19"/>
          <w:szCs w:val="19"/>
          <w:color w:val="auto"/>
        </w:rPr>
        <w:t>to make relevant deductions from your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390" w:right="339" w:bottom="1440" w:gutter="0" w:footer="0" w:header="0"/>
        </w:sectPr>
      </w:pPr>
    </w:p>
    <w:bookmarkStart w:id="136" w:name="page137"/>
    <w:bookmarkEnd w:id="136"/>
    <w:p>
      <w:pPr>
        <w:ind w:left="620" w:hanging="615"/>
        <w:spacing w:after="0"/>
        <w:tabs>
          <w:tab w:leader="none" w:pos="620" w:val="left"/>
        </w:tabs>
        <w:numPr>
          <w:ilvl w:val="0"/>
          <w:numId w:val="62"/>
        </w:numPr>
        <w:rPr>
          <w:rFonts w:ascii="Arial" w:cs="Arial" w:eastAsia="Arial" w:hAnsi="Arial"/>
          <w:sz w:val="21"/>
          <w:szCs w:val="21"/>
          <w:color w:val="auto"/>
        </w:rPr>
      </w:pPr>
      <w:r>
        <w:rPr>
          <w:rFonts w:ascii="Arial" w:cs="Arial" w:eastAsia="Arial" w:hAnsi="Arial"/>
          <w:sz w:val="19"/>
          <w:szCs w:val="19"/>
          <w:color w:val="auto"/>
        </w:rPr>
        <w:t>to notify the Company about events relevant for your right to continue to participate in the Plan.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PORTUGAL</w:t>
      </w:r>
    </w:p>
    <w:p>
      <w:pPr>
        <w:spacing w:after="0"/>
        <w:rPr>
          <w:sz w:val="20"/>
          <w:szCs w:val="20"/>
          <w:color w:val="auto"/>
        </w:rPr>
      </w:pPr>
      <w:r>
        <w:rPr>
          <w:rFonts w:ascii="Arial" w:cs="Arial" w:eastAsia="Arial" w:hAnsi="Arial"/>
          <w:sz w:val="19"/>
          <w:szCs w:val="19"/>
          <w:u w:val="single" w:color="auto"/>
          <w:color w:val="auto"/>
        </w:rPr>
        <w:t>Exchange Control</w:t>
      </w:r>
    </w:p>
    <w:p>
      <w:pPr>
        <w:spacing w:after="0" w:line="184"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The grant of the Award is exempt or excluded from the requirement to publish a prospectus under EU Prospectus Regulation as implemented in Portugal.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SINGAPORE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grant of the Award is being made pursuant to the “Qualifying Person” exemption under section 273(1)(f) of the Singapore Securities and Futures Act (Chapter 289, 2006 Ed.) (“SFA”). The Plan has not been lodged or registered as a prospectus with the Monetary Authority of Singapore. You should note that 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Director Notification Obligation</w:t>
      </w:r>
    </w:p>
    <w:p>
      <w:pPr>
        <w:spacing w:after="0" w:line="5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or share of stock) in the Company or any Affiliate. In addition, you must notify the Singapore Affiliate when you sell shares of the Company or any Affiliate (including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SPAIN</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Labor Law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provision supplements Section 17 of the Award Agreement: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Award, you consent to participate in the Plan and acknowledge that you have received a copy of the Plan.</w:t>
      </w:r>
    </w:p>
    <w:p>
      <w:pPr>
        <w:spacing w:after="0" w:line="121"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 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 severance compensation) or any other right whatsoever. In addition, you understand that the Award would not be granted to you but for the assumptions and conditions referred to herein; thus, you acknowledge and freely accept that should 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377" w:right="339" w:bottom="1440" w:gutter="0" w:footer="0" w:header="0"/>
        </w:sectPr>
      </w:pPr>
    </w:p>
    <w:bookmarkStart w:id="137" w:name="page138"/>
    <w:bookmarkEnd w:id="137"/>
    <w:p>
      <w:pPr>
        <w:jc w:val="both"/>
        <w:spacing w:after="0" w:line="233" w:lineRule="auto"/>
        <w:rPr>
          <w:sz w:val="20"/>
          <w:szCs w:val="20"/>
          <w:color w:val="auto"/>
        </w:rPr>
      </w:pPr>
      <w:r>
        <w:rPr>
          <w:rFonts w:ascii="Arial" w:cs="Arial" w:eastAsia="Arial" w:hAnsi="Arial"/>
          <w:sz w:val="19"/>
          <w:szCs w:val="19"/>
          <w:color w:val="auto"/>
        </w:rPr>
        <w:t>all of the assumptions be mistaken or should any of the conditions not be met for any reason, then the grant of the Award and any right to the Award shall be null and void.</w:t>
      </w:r>
    </w:p>
    <w:p>
      <w:pPr>
        <w:spacing w:after="0" w:line="9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 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w:t>
      </w:r>
      <w:r>
        <w:rPr>
          <w:rFonts w:ascii="Arial" w:cs="Arial" w:eastAsia="Arial" w:hAnsi="Arial"/>
          <w:sz w:val="18"/>
          <w:szCs w:val="18"/>
          <w:i w:val="1"/>
          <w:iCs w:val="1"/>
          <w:color w:val="auto"/>
        </w:rPr>
        <w:t>Comisión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National del Mercado de Valores </w:t>
      </w:r>
      <w:r>
        <w:rPr>
          <w:rFonts w:ascii="Arial" w:cs="Arial" w:eastAsia="Arial" w:hAnsi="Arial"/>
          <w:sz w:val="18"/>
          <w:szCs w:val="18"/>
          <w:color w:val="auto"/>
        </w:rPr>
        <w:t>and do not constitute a public offering prospectus.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The acquisition, ownership and disposition of shares of Stock and must be declared for statistical purposes to the </w:t>
      </w:r>
      <w:r>
        <w:rPr>
          <w:rFonts w:ascii="Arial" w:cs="Arial" w:eastAsia="Arial" w:hAnsi="Arial"/>
          <w:sz w:val="18"/>
          <w:szCs w:val="18"/>
          <w:i w:val="1"/>
          <w:iCs w:val="1"/>
          <w:color w:val="auto"/>
        </w:rPr>
        <w:t>Dirección General de Comercio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 Inversiones </w:t>
      </w:r>
      <w:r>
        <w:rPr>
          <w:rFonts w:ascii="Arial" w:cs="Arial" w:eastAsia="Arial" w:hAnsi="Arial"/>
          <w:sz w:val="18"/>
          <w:szCs w:val="18"/>
          <w:color w:val="auto"/>
        </w:rPr>
        <w:t>(the “DGCI”), which is a department of the Ministry of Economy and Competitiveness. If you acquire shares of stock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a Spanish financial 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 would entitle you to join the Company’s board of directors), the declaration must be filed within one (1) month of the acquisition or sale, as applicable.</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Foreign Asset/Account Reporting Information</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To the extent you hold rights or assets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of stock, cash, etc.) as of December 31 each year, such resident will be required to report information on such rights and assets on your annual tax return for such year. After such rights and assets are initially reported, the reporting obligation will apply for subsequent years only if the value of any previously-reported rights or assets increases by more than €20,000.</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w:t>
      </w:r>
    </w:p>
    <w:p>
      <w:pPr>
        <w:spacing w:after="0" w:line="9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 you under the Plan) if the balances in such accounts together with the value of such instruments as of December 31, or the volume of transactions with non-Spanish residents during the relevant year, exceed €1,000,000.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SWEDEN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Securities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364" w:right="339" w:bottom="1440" w:gutter="0" w:footer="0" w:header="0"/>
        </w:sectPr>
      </w:pPr>
    </w:p>
    <w:bookmarkStart w:id="138" w:name="page139"/>
    <w:bookmarkEnd w:id="138"/>
    <w:p>
      <w:pPr>
        <w:jc w:val="both"/>
        <w:ind w:left="20"/>
        <w:spacing w:after="0" w:line="233" w:lineRule="auto"/>
        <w:rPr>
          <w:sz w:val="20"/>
          <w:szCs w:val="20"/>
          <w:color w:val="auto"/>
        </w:rPr>
      </w:pPr>
      <w:r>
        <w:rPr>
          <w:rFonts w:ascii="Arial" w:cs="Arial" w:eastAsia="Arial" w:hAnsi="Arial"/>
          <w:sz w:val="19"/>
          <w:szCs w:val="19"/>
          <w:color w:val="auto"/>
        </w:rPr>
        <w:t>Your participation in the Plan and the grant of the Award are exempt from the requirement to publish a prospectus under the EU Prospectus Directive as implemented in Sweden.</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w:t>
      </w:r>
    </w:p>
    <w:p>
      <w:pPr>
        <w:spacing w:after="0" w:line="12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SWITZERLAND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Notification</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grant of the Award is considered a private offering and therefore is not subject to securities registration in Switzerland.</w:t>
      </w:r>
    </w:p>
    <w:p>
      <w:pPr>
        <w:spacing w:after="0" w:line="115"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TAIWAN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Neither the Plan nor the Award are registered in Taiwan with the Securities and Futures Bureau or subject to the securities laws of Taiwan.</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UNITED ARAB EMIRATES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Law Information</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Participation in the Plan is being offered only to selected recipients and is in the nature of providing equity incentives to recipients in the United Arab Emirates. The Plan and the Award Agreement are intended for distribution only to such recipients and must not be delivered to, or relied on by, any other person. Prospective purchasers of the securities offered should conduct their own due diligence on the securities.</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If you do not understand the contents of the Plan and the Award Agreement, you should consult an authorized financial adviser. The Emirates Securities and 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UNITED KINGDOM</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Disclaimer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grant of the Award is exempt from the requirement to publish a prospectus under the EU Prospectus Directive as implemented in the UK.</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Award Agreement is not an approved prospectus for the purposes of section 85(1) of the Financial Services and Markets Act 2000 (“FSMA”) and no offer of transferable securities to the public (for the purposes of section 102B of FSMA) is being made in connection with the Plan. The Plan and the Award s are exclusively available in the UK to bona fide employees and former employees and any other UK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364" w:right="339" w:bottom="1440" w:gutter="0" w:footer="0" w:header="0"/>
        </w:sectPr>
      </w:pPr>
    </w:p>
    <w:bookmarkStart w:id="139" w:name="page140"/>
    <w:bookmarkEnd w:id="139"/>
    <w:p>
      <w:pPr>
        <w:ind w:left="10280"/>
        <w:spacing w:after="0"/>
        <w:rPr>
          <w:sz w:val="20"/>
          <w:szCs w:val="20"/>
          <w:color w:val="auto"/>
        </w:rPr>
      </w:pPr>
      <w:r>
        <w:rPr>
          <w:rFonts w:ascii="Arial" w:cs="Arial" w:eastAsia="Arial" w:hAnsi="Arial"/>
          <w:sz w:val="17"/>
          <w:szCs w:val="17"/>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510030" cy="3816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December 20, 2021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Dev Ittycheria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[via email]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Dear Dev,</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you know, you are currently employed by MongoDB, Inc. (the “Company”) as its President and Chief Executive Officer pursuant to the terms of an amended and restated offer letter from the Company dated September 29, 2017 (the “Offer Letter”). As discussed, you and the Company hereby agree to further amend and restate the Offer Letter. The terms and conditions set forth in this offer letter agreement (the “Agreement”) will become effective as of the date hereof and will supersede and replace the terms and conditions set forth in the Offer Letter.</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your position as President and Chief Executive Officer, you will continue to be based in our New York office reporting to the Company’s Board of Directors (the “Board”).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You will remain employed as a full-time salaried employee, compensated at the rate of $16,666.67 per semi-monthly pay period ($400,000 annually). Currently, the Company’s regular pay dates are the 15th and last day of each calendar month. If a pay date falls on a weekend or Federal/bank holiday, then the pay date will be on the previous business day. Said salary will be paid in accordance with the Company’s normal payroll practices as may exist from time to time and is subject to required and voluntary withholdings.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Bonus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to your base salary, during your employment as President and Chief Executive Officer, you will continue to be eligible for an annual bonus with a target of $280,000 per annum paid semi-annually, and which will be based on achievement of Company performance goals to be determined by the Company in its sole discretion. Bonus is subject to required and voluntary withholdings and paid according to Company payroll practices. You must be employed on the bonus payment date to be eligible for the bonus payment, except as otherwise provided below.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You have previously been granted certain stock options and restricted stock units, which will continue to be governed by the terms of the applicable equity incentive plan and award agreements, including, in particular, the Amendment to Notice of Stock Option Grant, dated April 13, 2016, between you and the Company. Eligibility for any future equity awards will be subject to the discretion of the Board.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Except as provided below, if you resign or the Company terminates your employment, or upon your death or disability, then (i) you will no longer vest in any equity awards, (ii) all payments of compensation by the Company to you hereunder will terminate immediately (except as to amounts already earned), and (iii) you will not be entitled to any severance benefits. In addition, you will resign from all positions and terminate any relationships as an employee, advisor, officer or director with the Company and any of its affiliates, each effective on the date of termination.</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event your employment with the Company is terminated by the Company without Cause (and other than as result of death or disability) or due to your resignation for Good Reason (collectively, an “Involuntary Termination”), then provided such Involuntary Termination constitutes a “separation from service” (as defined under Treasury Regulation Section 1.409A-1(h), without regard to any alternative definition thereunder, a “Separation from Service”), and provided that you remain in compliance with the terms of this Agreement, the Company will provide you with the following severance benefits (collectively, the “Severance Benefits”): (a) an amount equal to twelve (12) months of your then-current base salary to be paid in equal installments on the Company’s normal payroll schedule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04" w:right="339" w:bottom="1440" w:gutter="0" w:footer="0" w:header="0"/>
          <w:type w:val="continuous"/>
        </w:sectPr>
      </w:pPr>
    </w:p>
    <w:bookmarkStart w:id="140" w:name="page141"/>
    <w:bookmarkEnd w:id="140"/>
    <w:p>
      <w:pPr>
        <w:jc w:val="both"/>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238125</wp:posOffset>
            </wp:positionV>
            <wp:extent cx="1510030" cy="3816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twelve (12) month period immediately following the date of Separation from Service; and (b) provided that you timely elect continued coverage under COBRA, the Company will pay your COBRA premiums to continue your coverage (including coverage for eligible dependents, if applicable) (“COBRA Premiums”) through the period (the “COBRA Premium Period”) starting on your Separation from Service date and ending on the earliest to occur of: (i) twelve (12) months following your Separation from Service;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will in lieu thereof provide to you a taxable monthly payment in an amount equal to the monthly COBRA premium that you would be required to pay to continue your group health coverage in effect on the date of your employment termination (which amount will be based on the premium for the first month of COBRA coverage), which payments will be made on the last day of each month regardless of whether you elect COBRA continuation coverage and will end on the earlier of (x) the date upon which you obtain other employment or (y) the last day of the 12</w:t>
      </w:r>
      <w:r>
        <w:rPr>
          <w:rFonts w:ascii="Arial" w:cs="Arial" w:eastAsia="Arial" w:hAnsi="Arial"/>
          <w:sz w:val="10"/>
          <w:szCs w:val="10"/>
          <w:color w:val="auto"/>
        </w:rPr>
        <w:t>th</w:t>
      </w:r>
      <w:r>
        <w:rPr>
          <w:rFonts w:ascii="Arial" w:cs="Arial" w:eastAsia="Arial" w:hAnsi="Arial"/>
          <w:sz w:val="16"/>
          <w:szCs w:val="16"/>
          <w:color w:val="auto"/>
        </w:rPr>
        <w:t xml:space="preserve"> calendar month following your Separation from Service date.</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your Involuntary Termination occurs either in connection with a Change in Control (as defined in the Company’s 2016 Equity Incentive Plan), or within 3 months prior to or within twelve (12) months following the closing of a Change in Control, and such termination qualifies as a Separation from Service, and provided that you remain in compliance with the terms of this Agreement, then you will be entitled to the Severance Benefits provided for above, and the following additional benefits: (a) an amount equal to twelve (12) months of your then-current “cash eligible” annual target bonus to be paid in equal installments on the Company’s normal payroll schedule over the twelve (12) month period immediately following the date of Separation from Service, which, for the avoidance of doubt, shall be in addition to payment of (i) any earned but unpaid annual bonus for the fiscal year preceding the fiscal year in which such Separation from Service occurs based on actual performance, as determined by the Compensation Committee and (ii) an annual bonus for the fiscal year in which the Separation from Service occurs, prorated to your date of Separation from Service and determined based on the greater of target performance or actual performance as of your date of Separation from Service, as determined by the Compensation Committee; (b) 100% of all of your then-outstanding time-based unvested Company equity awards will accelerate and will be deemed vested and exercisable (if applicable) as of your date of Separation from Service; and (c) 100% of all of your then-outstanding performance-based unvested Company equity awards will accelerate and will be deemed vested and exercisable (if applicable) based on the greater of your target performance rate or actual performance as of your date of Separation from Service (collectively, the “Change in Control Severance Benefits”), including any performance-based unvested awards granted pursuant to the Company’s Senior Leadership Equity Bonus Program (or similar annual bonus program that may be adopted in the future) (an “Equity Bonus Program”). For the avoidance of doubt, if you have elected to receive your annual bonus in equity in lieu of cash pursuant to an Equity Bonus Program, and have received an equity grant as a result of this election, your annual bonus for the performance period for which you made the election will no longer be considered “cash-eligible” for purposes of subsection (a) of this paragraph; provided however, that for any period for which you have elected to receive your annual bonus in equity in lieu of cash pursuant to an Equity Bonus Program, and for which the Company has not yet granted an equity award to you as of the date of Separation of Service, then such election shall be void, and your annual bonus for such period shall be “cash-eligible” in accordance with subsection (a) of this paragraph.</w:t>
      </w:r>
    </w:p>
    <w:p>
      <w:pPr>
        <w:spacing w:after="0" w:line="2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receipt of the Severance Benefits or the Change in Control Severance Benefits, as applicable, provided above will be subject to you signing and not revoking a separation agreement and release of claims in a form similar to that attached hereto as Exhibit A (as amended to reflect the reason for the separation and any changes to the law) (the “Separation Agreement”) within the time period set forth therein, which will not exceed 50 days from the date of your Separation from Service (the “Release Period”).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You will also resign from all positions and terminate any relationships as an employee, advisor, officer or director with the Company and any of its affiliates, each effective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396" w:right="339" w:bottom="1440" w:gutter="0" w:footer="0" w:header="0"/>
        </w:sectPr>
      </w:pPr>
    </w:p>
    <w:bookmarkStart w:id="141" w:name="page142"/>
    <w:bookmarkEnd w:id="141"/>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238125</wp:posOffset>
            </wp:positionV>
            <wp:extent cx="1510030" cy="3816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6"/>
          <w:szCs w:val="16"/>
          <w:color w:val="auto"/>
        </w:rPr>
        <w:t>For purposes of this Agreement, “Cause” will mean termination based upon (i) your willful failure to follow lawful directions communicated to you by the Board or otherwise to perform your duties to the Company; (ii) the willful or intentional engaging by you in conduct which is injurious to the Company or its reputation, business or business relationships, monetarily or otherwise; (iii) your commission of an act of fraud, misappropriation or embezzlement with respect to the Company or the Company's business; (iv) your conviction of, or a plea of guilty or nolo contendere to, a felony or a crime of moral turpitude (meaning an extreme departure from ordinary standards of honesty, good morals, justice or ethics as to be shocking in the moral sense of community); (v) your habitual drunkenness or use of illegal substances; (vi) a material breach by you of your obligations under this Agreement, including (without limitation) your obligations specified in your Employee Invention Assignment Agreement, Confidentiality and Arbitration Agreement that is not cured (to the extent curable) within 15 days of the Company providing written notice of such material breach; or (vii) your commission of an act of gross neglect or gross misconduct in connection with the performance of your duties.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purposes of this Agreement, “Good Reason” means the occurrence of one of the following events without your written consent: (i) a material diminution by the Company in your title or the nature or scope of your responsibilities, duties or authority with the Company, it being specified that no longer holding the office of Chief Executive Officer of a publicly traded company will be considered a material diminution in responsibilities under this clause (i), (ii) a material reduction of your base salary, (iii) a relocation of your principal place of employment that increases your one-way commute by more than 50 miles as compared to your then-current principal place of employment prior to such relocation (it being understood that you are expected to spend material amounts of time in the Company’s other offices as part of your duties hereunder), or (iv) failure by the Company to ensure that a successor entity assumes this Agreement; provided, however, that to resign for Good Reason, you must (1) provide written notice to the Company’s General Counsel within 30 days after the first occurrence of the event giving rise to Good Reason setting forth the basis for your resignation, (2) allow the Company at least 30 days from receipt of such written notice to cure such event, and (3) if such event is not reasonably cured with such period, your resignation from all positions you then hold with the Company is effective not later than 60 days after the expiration of the cure period.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regular full-time employee, you will continue to be eligible to participate in Company-sponsored medical, dental, vision, life insurance, short and long-term disability plans. The Company may discontinue or modify any such plans, programs or practices at any time, with or without notice.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280G</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any payment or benefit (including payments and benefits pursuant to this Agreement) that you would receive from the Company or otherwise in connection with a Change in Control (the “Transaction Payment”) would (i) constitute a “parachute payment” within the meaning of Section 280G of the Internal Revenue Code of 1986, as amended (the “Code”) and (ii) but for this sentence, be subject to the excise tax imposed by Section 4999 of the Code (the “Excise Tax”), then the Company will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 be subject to the Excise Tax: (1) payment in full of the entire amount of the Transaction Payment (a “Full Payment”), or (2) payment of only a part of the Transaction Payment so that you receive the largest payment possible without the imposition of the Excise Tax (a “Reduced Payment”). For purposes of determining whether to make a Full Payment or a Reduced Payment, the Company will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will have no rights to any additional payments and/or benefits constituting the Transaction Payment, and (y) reduction in payments and/or benefits will occur in the manner that results in the greatest economic benefit to you as determined in this paragraph. If more than one method of reduction will result in the same economic benefit, the portions of the Transaction Payment will be reduced pro rata. Unless you and the Company otherwise agree in writing, any determination required under this section will be made in writing by the Company’s independent public accountants (the “Accountants”), whose determination will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440" w:right="339" w:bottom="1440" w:gutter="0" w:footer="0" w:header="0"/>
        </w:sectPr>
      </w:pPr>
    </w:p>
    <w:bookmarkStart w:id="142" w:name="page143"/>
    <w:bookmarkEnd w:id="142"/>
    <w:p>
      <w:pPr>
        <w:jc w:val="both"/>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238125</wp:posOffset>
            </wp:positionV>
            <wp:extent cx="1510030" cy="3816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upon you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as well as any costs incurred by you with the Accountants for tax planning under Sections 280G and 4999 of the Code.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409A</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It is intended that all of the severance benefits and other payments payable under this Agreement satisfy, to the greatest extent possible, the exemptions from the application of Section 409A of the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 Section 1.409A-2(b)(2)(iii)), your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will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time period, all payments deferred pursuant to this section will be paid in a lump sum to you, and any remaining payments due will be paid as otherwise provided herein or in the applicable agreement. No interest will be due on any amounts so deferred.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Arbitration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You and the Company have previously executed the Company’s standard arbitration agreement that is contained in your Employee Invention Assignment, Confidentiality and Arbitration Agreement (the “Arbitration Agreement”), which agreement remains in full force and effect. You acknowledge and agree to all of the Company’s policies in effect during your employment with Company, including, but not limited to, the policies found in the MongoDB Employee Handbook and the Arbitration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Will Employment</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Your employment relationship with the Company is “at-will." That means you are free, at any time, for any reason, to end your employment with the Company and that the Company may do the same. Our agreement regarding employment-at-will may not be changed, except specifically in writing signed by the Board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396" w:right="339" w:bottom="1440" w:gutter="0" w:footer="0" w:header="0"/>
        </w:sectPr>
      </w:pPr>
    </w:p>
    <w:bookmarkStart w:id="143" w:name="page144"/>
    <w:bookmarkEnd w:id="143"/>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238125</wp:posOffset>
            </wp:positionV>
            <wp:extent cx="1510030" cy="3816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 look forward to your continued contributions to the growth and success of MongoDB over the coming years. Sincerely,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7"/>
              </w:rPr>
              <w:t>/s/ Andrew Stephens</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12/21/2021</w:t>
            </w:r>
          </w:p>
        </w:tc>
      </w:tr>
      <w:tr>
        <w:trPr>
          <w:trHeight w:val="222"/>
        </w:trPr>
        <w:tc>
          <w:tcPr>
            <w:tcW w:w="1880" w:type="dxa"/>
            <w:vAlign w:val="bottom"/>
            <w:gridSpan w:val="2"/>
          </w:tcPr>
          <w:p>
            <w:pPr>
              <w:spacing w:after="0"/>
              <w:rPr>
                <w:sz w:val="20"/>
                <w:szCs w:val="20"/>
                <w:color w:val="auto"/>
              </w:rPr>
            </w:pPr>
            <w:r>
              <w:rPr>
                <w:rFonts w:ascii="Arial" w:cs="Arial" w:eastAsia="Arial" w:hAnsi="Arial"/>
                <w:sz w:val="16"/>
                <w:szCs w:val="16"/>
                <w:color w:val="auto"/>
              </w:rPr>
              <w:t>Andrew Stephens</w:t>
            </w:r>
          </w:p>
        </w:tc>
        <w:tc>
          <w:tcPr>
            <w:tcW w:w="1220" w:type="dxa"/>
            <w:vAlign w:val="bottom"/>
            <w:gridSpan w:val="2"/>
          </w:tcPr>
          <w:p>
            <w:pPr>
              <w:jc w:val="right"/>
              <w:ind w:right="402"/>
              <w:spacing w:after="0"/>
              <w:rPr>
                <w:sz w:val="20"/>
                <w:szCs w:val="20"/>
                <w:color w:val="auto"/>
              </w:rPr>
            </w:pPr>
            <w:r>
              <w:rPr>
                <w:rFonts w:ascii="Arial" w:cs="Arial" w:eastAsia="Arial" w:hAnsi="Arial"/>
                <w:sz w:val="16"/>
                <w:szCs w:val="16"/>
                <w:color w:val="auto"/>
              </w:rPr>
              <w:t>Date</w:t>
            </w: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General Counsel</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I hereby acknowledge my acceptance of continued employment with MongoDB pursuant to the terms and conditions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/s/ Dev Ittycheria</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12/21/2021</w:t>
            </w:r>
          </w:p>
        </w:tc>
      </w:tr>
      <w:tr>
        <w:trPr>
          <w:trHeight w:val="20"/>
        </w:trPr>
        <w:tc>
          <w:tcPr>
            <w:tcW w:w="13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6"/>
                <w:szCs w:val="16"/>
                <w:color w:val="auto"/>
              </w:rPr>
              <w:t>Dev Ittycheria</w:t>
            </w:r>
          </w:p>
        </w:tc>
        <w:tc>
          <w:tcPr>
            <w:tcW w:w="1660" w:type="dxa"/>
            <w:vAlign w:val="bottom"/>
            <w:gridSpan w:val="2"/>
          </w:tcPr>
          <w:p>
            <w:pPr>
              <w:jc w:val="right"/>
              <w:ind w:right="660"/>
              <w:spacing w:after="0"/>
              <w:rPr>
                <w:sz w:val="20"/>
                <w:szCs w:val="20"/>
                <w:color w:val="auto"/>
              </w:rPr>
            </w:pPr>
            <w:r>
              <w:rPr>
                <w:rFonts w:ascii="Arial" w:cs="Arial" w:eastAsia="Arial" w:hAnsi="Arial"/>
                <w:sz w:val="16"/>
                <w:szCs w:val="16"/>
                <w:color w:val="auto"/>
              </w:rPr>
              <w:t>Date</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0139"/>
          </w:cols>
          <w:pgMar w:left="320" w:top="1440" w:right="1440" w:bottom="1440" w:gutter="0" w:footer="0" w:header="0"/>
          <w:type w:val="continuous"/>
        </w:sectPr>
      </w:pPr>
    </w:p>
    <w:bookmarkStart w:id="144" w:name="page145"/>
    <w:bookmarkEnd w:id="144"/>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Exhibit A</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[Month] ,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-17780</wp:posOffset>
            </wp:positionV>
            <wp:extent cx="27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Dev Ittycheria</w:t>
      </w:r>
    </w:p>
    <w:p>
      <w:pPr>
        <w:spacing w:after="0" w:line="201"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 xml:space="preserve">Terms of </w:t>
      </w:r>
      <w:r>
        <w:rPr>
          <w:rFonts w:ascii="Arial" w:cs="Arial" w:eastAsia="Arial" w:hAnsi="Arial"/>
          <w:sz w:val="16"/>
          <w:szCs w:val="16"/>
          <w:b w:val="1"/>
          <w:bCs w:val="1"/>
          <w:u w:val="single" w:color="auto"/>
          <w:color w:val="auto"/>
        </w:rPr>
        <w:t>[Resignation or Separation]</w:t>
      </w:r>
    </w:p>
    <w:p>
      <w:pPr>
        <w:spacing w:after="0" w:line="286"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 xml:space="preserve">This letter confirms the agreement (“Agreement”) between you and MongoDB, Inc. (the “Company”) concerning the terms of your </w:t>
      </w:r>
      <w:r>
        <w:rPr>
          <w:rFonts w:ascii="Arial" w:cs="Arial" w:eastAsia="Arial" w:hAnsi="Arial"/>
          <w:sz w:val="16"/>
          <w:szCs w:val="16"/>
          <w:b w:val="1"/>
          <w:bCs w:val="1"/>
          <w:color w:val="auto"/>
        </w:rPr>
        <w:t>[resignation or separation]</w:t>
      </w:r>
      <w:r>
        <w:rPr>
          <w:rFonts w:ascii="Arial" w:cs="Arial" w:eastAsia="Arial" w:hAnsi="Arial"/>
          <w:sz w:val="16"/>
          <w:szCs w:val="16"/>
          <w:color w:val="auto"/>
        </w:rPr>
        <w:t xml:space="preserve"> and offers you the separation compensation we discussed in exchange for a general release of claims and covenant not to sue.</w:t>
      </w:r>
    </w:p>
    <w:p>
      <w:pPr>
        <w:spacing w:after="0" w:line="186" w:lineRule="exact"/>
        <w:rPr>
          <w:sz w:val="20"/>
          <w:szCs w:val="20"/>
          <w:color w:val="auto"/>
        </w:rPr>
      </w:pPr>
    </w:p>
    <w:p>
      <w:pPr>
        <w:ind w:left="1260" w:hanging="628"/>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Resignation or Separation]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is your last day of employment with the Company (the “</w:t>
      </w:r>
      <w:r>
        <w:rPr>
          <w:rFonts w:ascii="Arial" w:cs="Arial" w:eastAsia="Arial" w:hAnsi="Arial"/>
          <w:sz w:val="16"/>
          <w:szCs w:val="16"/>
          <w:b w:val="1"/>
          <w:bCs w:val="1"/>
          <w:color w:val="auto"/>
        </w:rPr>
        <w:t xml:space="preserve">[Resignation or Separation] </w:t>
      </w:r>
      <w:r>
        <w:rPr>
          <w:rFonts w:ascii="Arial" w:cs="Arial" w:eastAsia="Arial" w:hAnsi="Arial"/>
          <w:sz w:val="16"/>
          <w:szCs w:val="16"/>
          <w:color w:val="auto"/>
        </w:rPr>
        <w:t>Date”).</w:t>
      </w:r>
    </w:p>
    <w:p>
      <w:pPr>
        <w:spacing w:after="0" w:line="228" w:lineRule="exact"/>
        <w:rPr>
          <w:rFonts w:ascii="Arial" w:cs="Arial" w:eastAsia="Arial" w:hAnsi="Arial"/>
          <w:sz w:val="16"/>
          <w:szCs w:val="16"/>
          <w:color w:val="auto"/>
        </w:rPr>
      </w:pPr>
    </w:p>
    <w:p>
      <w:pPr>
        <w:ind w:right="140" w:firstLine="632"/>
        <w:spacing w:after="0" w:line="212" w:lineRule="auto"/>
        <w:tabs>
          <w:tab w:leader="none" w:pos="125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Acknowledgment of Payment of Wages</w:t>
      </w:r>
      <w:r>
        <w:rPr>
          <w:rFonts w:ascii="Arial" w:cs="Arial" w:eastAsia="Arial" w:hAnsi="Arial"/>
          <w:sz w:val="16"/>
          <w:szCs w:val="16"/>
          <w:color w:val="auto"/>
        </w:rPr>
        <w:t>: On the next regularly scheduled pay day following the Separation Date, the Company will pay you an amount that represents all of your salary earned through the Separation Date. Per the Company’s flexible time off program, paid time off is not accrued and is therefore not paid out upon separation from the Company.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spacing w:after="0" w:line="219" w:lineRule="exact"/>
        <w:rPr>
          <w:rFonts w:ascii="Arial" w:cs="Arial" w:eastAsia="Arial" w:hAnsi="Arial"/>
          <w:sz w:val="16"/>
          <w:szCs w:val="16"/>
          <w:color w:val="auto"/>
        </w:rPr>
      </w:pPr>
    </w:p>
    <w:p>
      <w:pPr>
        <w:jc w:val="both"/>
        <w:ind w:right="40" w:firstLine="632"/>
        <w:spacing w:after="0" w:line="218" w:lineRule="auto"/>
        <w:tabs>
          <w:tab w:leader="none" w:pos="125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Separation Compensation</w:t>
      </w:r>
      <w:r>
        <w:rPr>
          <w:rFonts w:ascii="Arial" w:cs="Arial" w:eastAsia="Arial" w:hAnsi="Arial"/>
          <w:sz w:val="16"/>
          <w:szCs w:val="16"/>
          <w:color w:val="auto"/>
        </w:rPr>
        <w:t xml:space="preserve">: In exchange for your agreement to the general release and waiver of claims and covenant not to sue set forth below and your other promises herein, the Company agrees to provide you with the </w:t>
      </w:r>
      <w:r>
        <w:rPr>
          <w:rFonts w:ascii="Arial" w:cs="Arial" w:eastAsia="Arial" w:hAnsi="Arial"/>
          <w:sz w:val="16"/>
          <w:szCs w:val="16"/>
          <w:b w:val="1"/>
          <w:bCs w:val="1"/>
          <w:color w:val="auto"/>
        </w:rPr>
        <w:t>[Severance Benefits / Change in Control Severance Benefits]</w:t>
      </w:r>
      <w:r>
        <w:rPr>
          <w:rFonts w:ascii="Arial" w:cs="Arial" w:eastAsia="Arial" w:hAnsi="Arial"/>
          <w:sz w:val="16"/>
          <w:szCs w:val="16"/>
          <w:color w:val="auto"/>
        </w:rPr>
        <w:t xml:space="preserve"> (as defined in the Offer Letter, dated as of [ ],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-1123950</wp:posOffset>
            </wp:positionV>
            <wp:extent cx="1104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97" w:lineRule="exact"/>
        <w:rPr>
          <w:sz w:val="20"/>
          <w:szCs w:val="20"/>
          <w:color w:val="auto"/>
        </w:rPr>
      </w:pPr>
    </w:p>
    <w:p>
      <w:pPr>
        <w:ind w:firstLine="627"/>
        <w:spacing w:after="0" w:line="224" w:lineRule="auto"/>
        <w:rPr>
          <w:sz w:val="20"/>
          <w:szCs w:val="20"/>
          <w:color w:val="auto"/>
        </w:rPr>
      </w:pPr>
      <w:r>
        <w:rPr>
          <w:rFonts w:ascii="Arial" w:cs="Arial" w:eastAsia="Arial" w:hAnsi="Arial"/>
          <w:sz w:val="16"/>
          <w:szCs w:val="16"/>
          <w:color w:val="auto"/>
        </w:rPr>
        <w:t>By signing below, you acknowledge that you are receiving the separation compensation outlined in this paragraph in consideration for waiving your rights to claims referred to in this Agreement and that you would not otherwise be entitled to the separation compensation.</w:t>
      </w:r>
    </w:p>
    <w:p>
      <w:pPr>
        <w:spacing w:after="0" w:line="219" w:lineRule="exact"/>
        <w:rPr>
          <w:sz w:val="20"/>
          <w:szCs w:val="20"/>
          <w:color w:val="auto"/>
        </w:rPr>
      </w:pPr>
    </w:p>
    <w:p>
      <w:pPr>
        <w:ind w:right="100" w:firstLine="632"/>
        <w:spacing w:after="0" w:line="224" w:lineRule="auto"/>
        <w:tabs>
          <w:tab w:leader="none" w:pos="125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w:t>
      </w:r>
      <w:r>
        <w:rPr>
          <w:rFonts w:ascii="Arial" w:cs="Arial" w:eastAsia="Arial" w:hAnsi="Arial"/>
          <w:sz w:val="16"/>
          <w:szCs w:val="16"/>
          <w:color w:val="auto"/>
        </w:rPr>
        <w:t>: You hereby warrant to the Company that you have returned to the Company all property or data of the Company of any type whatsoever that has been in your possession or control.</w:t>
      </w:r>
    </w:p>
    <w:p>
      <w:pPr>
        <w:spacing w:after="0" w:line="205" w:lineRule="exact"/>
        <w:rPr>
          <w:rFonts w:ascii="Arial" w:cs="Arial" w:eastAsia="Arial" w:hAnsi="Arial"/>
          <w:sz w:val="16"/>
          <w:szCs w:val="16"/>
          <w:color w:val="auto"/>
        </w:rPr>
      </w:pPr>
    </w:p>
    <w:p>
      <w:pPr>
        <w:ind w:right="180" w:firstLine="632"/>
        <w:spacing w:after="0" w:line="212" w:lineRule="auto"/>
        <w:tabs>
          <w:tab w:leader="none" w:pos="125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Proprietary</w:t>
      </w:r>
      <w:r>
        <w:rPr>
          <w:rFonts w:ascii="Arial" w:cs="Arial" w:eastAsia="Arial" w:hAnsi="Arial"/>
          <w:sz w:val="16"/>
          <w:szCs w:val="16"/>
          <w:color w:val="auto"/>
        </w:rPr>
        <w:t xml:space="preserve"> Information: You hereby acknowledge that you are bound by the attached Employee Invention Assignment, Confidentiality and Arbitration Agreement (Exhibit A hereto)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220" w:lineRule="exact"/>
        <w:rPr>
          <w:sz w:val="20"/>
          <w:szCs w:val="20"/>
          <w:color w:val="auto"/>
        </w:rPr>
      </w:pPr>
    </w:p>
    <w:p>
      <w:pPr>
        <w:ind w:right="20" w:firstLine="627"/>
        <w:spacing w:after="0" w:line="204"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[Equity</w:t>
      </w:r>
      <w:r>
        <w:rPr>
          <w:rFonts w:ascii="Arial" w:cs="Arial" w:eastAsia="Arial" w:hAnsi="Arial"/>
          <w:sz w:val="16"/>
          <w:szCs w:val="16"/>
          <w:color w:val="auto"/>
        </w:rPr>
        <w:t>: Pursuant to your Stock Option Agreement[s] with the Company dated and the Company's [2008 / 2016] Equity Incentive Plan (hereafter collectively referred to as the “Stock Option Agreements”), you were granted option[s] to purchase an aggregate of shares of the Company's common stock (the “Option”). The Option[s] [has / have] vested as to shares (the “Vested Shares”) and remains unvested as to shares (the “Unvested Shares”).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-198755</wp:posOffset>
            </wp:positionV>
            <wp:extent cx="221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221615" cy="825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-99060</wp:posOffset>
            </wp:positionV>
            <wp:extent cx="110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0</wp:posOffset>
            </wp:positionV>
            <wp:extent cx="1104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0</wp:posOffset>
            </wp:positionV>
            <wp:extent cx="1104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ind w:right="60"/>
        <w:spacing w:after="0" w:line="212" w:lineRule="auto"/>
        <w:rPr>
          <w:sz w:val="20"/>
          <w:szCs w:val="20"/>
          <w:color w:val="auto"/>
        </w:rPr>
      </w:pPr>
      <w:r>
        <w:rPr>
          <w:rFonts w:ascii="Arial" w:cs="Arial" w:eastAsia="Arial" w:hAnsi="Arial"/>
          <w:sz w:val="16"/>
          <w:szCs w:val="16"/>
          <w:color w:val="auto"/>
        </w:rPr>
        <w:t xml:space="preserve">have exercised of the Vested Shares leaving unexercised Vested Shares (the “Unexercised Vested Shares”). Because your employment is terminating on the </w:t>
      </w:r>
      <w:r>
        <w:rPr>
          <w:rFonts w:ascii="Arial" w:cs="Arial" w:eastAsia="Arial" w:hAnsi="Arial"/>
          <w:sz w:val="16"/>
          <w:szCs w:val="16"/>
          <w:b w:val="1"/>
          <w:bCs w:val="1"/>
          <w:color w:val="auto"/>
        </w:rPr>
        <w:t>[Resignation or Separation Date]</w:t>
      </w:r>
      <w:r>
        <w:rPr>
          <w:rFonts w:ascii="Arial" w:cs="Arial" w:eastAsia="Arial" w:hAnsi="Arial"/>
          <w:sz w:val="16"/>
          <w:szCs w:val="16"/>
          <w:color w:val="auto"/>
        </w:rPr>
        <w:t xml:space="preserve">, none of the Unvested Shares can ever vest. Your rights concerning the Option will continue to be governed by the Stock Option Agreements. Per the Stock Option Agreements, you will have days following the </w:t>
      </w:r>
      <w:r>
        <w:rPr>
          <w:rFonts w:ascii="Arial" w:cs="Arial" w:eastAsia="Arial" w:hAnsi="Arial"/>
          <w:sz w:val="16"/>
          <w:szCs w:val="16"/>
          <w:b w:val="1"/>
          <w:bCs w:val="1"/>
          <w:color w:val="auto"/>
        </w:rPr>
        <w:t>[Resignation or Separation Date]</w:t>
      </w:r>
      <w:r>
        <w:rPr>
          <w:rFonts w:ascii="Arial" w:cs="Arial" w:eastAsia="Arial" w:hAnsi="Arial"/>
          <w:sz w:val="16"/>
          <w:szCs w:val="16"/>
          <w:color w:val="auto"/>
        </w:rPr>
        <w:t xml:space="preserve"> to exercise the Unexercised Vested Shares. After this date, you will no longer have a right to exercise the Option as to any shares. Your rights concerning any unvested Restricted Stock Units will be governed by the applicable Restricted Stock Unit Agreements, except as otherwise set forth in your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-417195</wp:posOffset>
            </wp:positionV>
            <wp:extent cx="221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221615" cy="825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-417195</wp:posOffset>
            </wp:positionV>
            <wp:extent cx="1104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00" w:lineRule="exact"/>
        <w:rPr>
          <w:sz w:val="20"/>
          <w:szCs w:val="20"/>
          <w:color w:val="auto"/>
        </w:rPr>
      </w:pPr>
    </w:p>
    <w:p>
      <w:pPr>
        <w:ind w:left="1260" w:hanging="628"/>
        <w:spacing w:after="0"/>
        <w:tabs>
          <w:tab w:leader="none" w:pos="126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General Release and Waiver of Claims</w:t>
      </w:r>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ind w:right="80" w:firstLine="1255"/>
        <w:spacing w:after="0" w:line="209" w:lineRule="auto"/>
        <w:rPr>
          <w:rFonts w:ascii="Arial" w:cs="Arial" w:eastAsia="Arial" w:hAnsi="Arial"/>
          <w:sz w:val="16"/>
          <w:szCs w:val="16"/>
          <w:color w:val="auto"/>
        </w:rPr>
      </w:pPr>
      <w:r>
        <w:rPr>
          <w:rFonts w:ascii="Arial" w:cs="Arial" w:eastAsia="Arial" w:hAnsi="Arial"/>
          <w:sz w:val="16"/>
          <w:szCs w:val="16"/>
          <w:color w:val="auto"/>
        </w:rPr>
        <w:t>a. The payments and promises set forth in this Agreement are in full satisfaction of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New York Human Rights Law and any other laws and/or regulations relating to employment or employment discrimination, including, without limitation, claims based on 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20"/>
          </w:cols>
          <w:pgMar w:left="320" w:top="1428" w:right="359" w:bottom="1440" w:gutter="0" w:footer="0" w:header="0"/>
        </w:sectPr>
      </w:pPr>
    </w:p>
    <w:bookmarkStart w:id="145" w:name="page146"/>
    <w:bookmarkEnd w:id="145"/>
    <w:p>
      <w:pPr>
        <w:ind w:right="700"/>
        <w:spacing w:after="0" w:line="2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under the Age Discrimination in Employment Act or Older Workers Benefit Protection Act, and/or claims based on disability or under the Americans with Disabilities Act.</w:t>
      </w:r>
    </w:p>
    <w:p>
      <w:pPr>
        <w:spacing w:after="0" w:line="271" w:lineRule="exact"/>
        <w:rPr>
          <w:sz w:val="20"/>
          <w:szCs w:val="20"/>
          <w:color w:val="auto"/>
        </w:rPr>
      </w:pPr>
    </w:p>
    <w:p>
      <w:pPr>
        <w:ind w:right="220" w:firstLine="1259"/>
        <w:spacing w:after="0" w:line="218" w:lineRule="auto"/>
        <w:tabs>
          <w:tab w:leader="none" w:pos="1882" w:val="left"/>
        </w:tabs>
        <w:numPr>
          <w:ilvl w:val="1"/>
          <w:numId w:val="66"/>
        </w:numPr>
        <w:rPr>
          <w:rFonts w:ascii="Arial" w:cs="Arial" w:eastAsia="Arial" w:hAnsi="Arial"/>
          <w:sz w:val="16"/>
          <w:szCs w:val="16"/>
          <w:color w:val="auto"/>
        </w:rPr>
      </w:pPr>
      <w:r>
        <w:rPr>
          <w:rFonts w:ascii="Arial" w:cs="Arial" w:eastAsia="Arial" w:hAnsi="Arial"/>
          <w:sz w:val="16"/>
          <w:szCs w:val="16"/>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217" w:lineRule="exact"/>
        <w:rPr>
          <w:rFonts w:ascii="Arial" w:cs="Arial" w:eastAsia="Arial" w:hAnsi="Arial"/>
          <w:sz w:val="16"/>
          <w:szCs w:val="16"/>
          <w:color w:val="auto"/>
        </w:rPr>
      </w:pPr>
    </w:p>
    <w:p>
      <w:pPr>
        <w:ind w:right="180" w:firstLine="1259"/>
        <w:spacing w:after="0" w:line="218" w:lineRule="auto"/>
        <w:tabs>
          <w:tab w:leader="none" w:pos="1873" w:val="left"/>
        </w:tabs>
        <w:numPr>
          <w:ilvl w:val="1"/>
          <w:numId w:val="66"/>
        </w:numPr>
        <w:rPr>
          <w:rFonts w:ascii="Arial" w:cs="Arial" w:eastAsia="Arial" w:hAnsi="Arial"/>
          <w:sz w:val="16"/>
          <w:szCs w:val="16"/>
          <w:color w:val="auto"/>
        </w:rPr>
      </w:pPr>
      <w:r>
        <w:rPr>
          <w:rFonts w:ascii="Arial" w:cs="Arial" w:eastAsia="Arial" w:hAnsi="Arial"/>
          <w:sz w:val="16"/>
          <w:szCs w:val="16"/>
          <w:color w:val="auto"/>
        </w:rPr>
        <w:t>You and the Company do not intend to release claims that you may not release as a matter of law, including but not limited to claims for indemnity, and any claims for enforcement of this Agreement. To the fullest extent permitted by law, any dispute regarding the scope of this general release shall be determined by an arbitrator under the procedures set forth in the arbitration clause below.</w:t>
      </w:r>
    </w:p>
    <w:p>
      <w:pPr>
        <w:spacing w:after="0" w:line="217" w:lineRule="exact"/>
        <w:rPr>
          <w:rFonts w:ascii="Arial" w:cs="Arial" w:eastAsia="Arial" w:hAnsi="Arial"/>
          <w:sz w:val="16"/>
          <w:szCs w:val="16"/>
          <w:color w:val="auto"/>
        </w:rPr>
      </w:pPr>
    </w:p>
    <w:p>
      <w:pPr>
        <w:ind w:left="1260" w:hanging="628"/>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jc w:val="both"/>
        <w:ind w:right="40" w:firstLine="1259"/>
        <w:spacing w:after="0" w:line="214" w:lineRule="auto"/>
        <w:tabs>
          <w:tab w:leader="none" w:pos="1882" w:val="left"/>
        </w:tabs>
        <w:numPr>
          <w:ilvl w:val="1"/>
          <w:numId w:val="67"/>
        </w:numPr>
        <w:rPr>
          <w:rFonts w:ascii="Arial" w:cs="Arial" w:eastAsia="Arial" w:hAnsi="Arial"/>
          <w:sz w:val="16"/>
          <w:szCs w:val="16"/>
          <w:color w:val="auto"/>
        </w:rPr>
      </w:pPr>
      <w:r>
        <w:rPr>
          <w:rFonts w:ascii="Arial" w:cs="Arial" w:eastAsia="Arial" w:hAnsi="Arial"/>
          <w:sz w:val="16"/>
          <w:szCs w:val="16"/>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spacing w:after="0" w:line="219" w:lineRule="exact"/>
        <w:rPr>
          <w:rFonts w:ascii="Arial" w:cs="Arial" w:eastAsia="Arial" w:hAnsi="Arial"/>
          <w:sz w:val="16"/>
          <w:szCs w:val="16"/>
          <w:color w:val="auto"/>
        </w:rPr>
      </w:pPr>
    </w:p>
    <w:p>
      <w:pPr>
        <w:ind w:right="60" w:firstLine="1259"/>
        <w:spacing w:after="0" w:line="214" w:lineRule="auto"/>
        <w:tabs>
          <w:tab w:leader="none" w:pos="1882"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Nothing in this section shall prohibit you from filing a charge or complaint with a government 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spacing w:after="0" w:line="219" w:lineRule="exact"/>
        <w:rPr>
          <w:rFonts w:ascii="Arial" w:cs="Arial" w:eastAsia="Arial" w:hAnsi="Arial"/>
          <w:sz w:val="16"/>
          <w:szCs w:val="16"/>
          <w:color w:val="auto"/>
        </w:rPr>
      </w:pPr>
    </w:p>
    <w:p>
      <w:pPr>
        <w:ind w:right="20" w:firstLine="1259"/>
        <w:spacing w:after="0" w:line="224" w:lineRule="auto"/>
        <w:tabs>
          <w:tab w:leader="none" w:pos="1873"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218" w:lineRule="exact"/>
        <w:rPr>
          <w:rFonts w:ascii="Arial" w:cs="Arial" w:eastAsia="Arial" w:hAnsi="Arial"/>
          <w:sz w:val="16"/>
          <w:szCs w:val="16"/>
          <w:color w:val="auto"/>
        </w:rPr>
      </w:pPr>
    </w:p>
    <w:p>
      <w:pPr>
        <w:ind w:right="200" w:firstLine="632"/>
        <w:spacing w:after="0" w:line="232" w:lineRule="auto"/>
        <w:tabs>
          <w:tab w:leader="none" w:pos="1255"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spacing w:after="0" w:line="189" w:lineRule="exact"/>
        <w:rPr>
          <w:rFonts w:ascii="Arial" w:cs="Arial" w:eastAsia="Arial" w:hAnsi="Arial"/>
          <w:sz w:val="15"/>
          <w:szCs w:val="15"/>
          <w:color w:val="auto"/>
        </w:rPr>
      </w:pPr>
    </w:p>
    <w:p>
      <w:pPr>
        <w:ind w:left="1260" w:hanging="628"/>
        <w:spacing w:after="0"/>
        <w:tabs>
          <w:tab w:leader="none" w:pos="1260"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Arbitration</w:t>
      </w:r>
      <w:r>
        <w:rPr>
          <w:rFonts w:ascii="Arial" w:cs="Arial" w:eastAsia="Arial" w:hAnsi="Arial"/>
          <w:sz w:val="15"/>
          <w:szCs w:val="15"/>
          <w:color w:val="auto"/>
        </w:rPr>
        <w:t>: Except for any claim for injunctive relief arising out of a breach of a party’s obligations to protect the other’s proprietary information,</w:t>
      </w:r>
    </w:p>
    <w:p>
      <w:pPr>
        <w:ind w:right="60"/>
        <w:spacing w:after="0" w:line="211" w:lineRule="auto"/>
        <w:rPr>
          <w:sz w:val="20"/>
          <w:szCs w:val="20"/>
          <w:color w:val="auto"/>
        </w:rPr>
      </w:pPr>
      <w:r>
        <w:rPr>
          <w:rFonts w:ascii="Arial" w:cs="Arial" w:eastAsia="Arial" w:hAnsi="Arial"/>
          <w:sz w:val="16"/>
          <w:szCs w:val="16"/>
          <w:color w:val="auto"/>
        </w:rPr>
        <w:t>the parties agree to arbitrate, in County, New York,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-517525</wp:posOffset>
            </wp:positionV>
            <wp:extent cx="1104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99" w:lineRule="exact"/>
        <w:rPr>
          <w:sz w:val="20"/>
          <w:szCs w:val="20"/>
          <w:color w:val="auto"/>
        </w:rPr>
      </w:pPr>
    </w:p>
    <w:p>
      <w:pPr>
        <w:ind w:right="280" w:firstLine="632"/>
        <w:spacing w:after="0" w:line="224" w:lineRule="auto"/>
        <w:tabs>
          <w:tab w:leader="none" w:pos="12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218" w:lineRule="exact"/>
        <w:rPr>
          <w:rFonts w:ascii="Arial" w:cs="Arial" w:eastAsia="Arial" w:hAnsi="Arial"/>
          <w:sz w:val="16"/>
          <w:szCs w:val="16"/>
          <w:color w:val="auto"/>
        </w:rPr>
      </w:pPr>
    </w:p>
    <w:p>
      <w:pPr>
        <w:jc w:val="both"/>
        <w:ind w:right="20" w:firstLine="632"/>
        <w:spacing w:after="0" w:line="214" w:lineRule="auto"/>
        <w:tabs>
          <w:tab w:leader="none" w:pos="12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206" w:lineRule="exact"/>
        <w:rPr>
          <w:rFonts w:ascii="Arial" w:cs="Arial" w:eastAsia="Arial" w:hAnsi="Arial"/>
          <w:sz w:val="16"/>
          <w:szCs w:val="16"/>
          <w:color w:val="auto"/>
        </w:rPr>
      </w:pPr>
    </w:p>
    <w:p>
      <w:pPr>
        <w:ind w:firstLine="632"/>
        <w:spacing w:after="0" w:line="214" w:lineRule="auto"/>
        <w:tabs>
          <w:tab w:leader="none" w:pos="12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219" w:lineRule="exact"/>
        <w:rPr>
          <w:rFonts w:ascii="Arial" w:cs="Arial" w:eastAsia="Arial" w:hAnsi="Arial"/>
          <w:sz w:val="16"/>
          <w:szCs w:val="16"/>
          <w:color w:val="auto"/>
        </w:rPr>
      </w:pPr>
    </w:p>
    <w:p>
      <w:pPr>
        <w:ind w:firstLine="632"/>
        <w:spacing w:after="0" w:line="212" w:lineRule="auto"/>
        <w:tabs>
          <w:tab w:leader="none" w:pos="12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Complete and Voluntary Agreement</w:t>
      </w:r>
      <w:r>
        <w:rPr>
          <w:rFonts w:ascii="Arial" w:cs="Arial" w:eastAsia="Arial" w:hAnsi="Arial"/>
          <w:sz w:val="16"/>
          <w:szCs w:val="16"/>
          <w:color w:val="auto"/>
        </w:rPr>
        <w:t>: This Agreement, together with Exhibit A hereto and any equity award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00"/>
          </w:cols>
          <w:pgMar w:left="320" w:top="1383" w:right="379" w:bottom="1440" w:gutter="0" w:footer="0" w:header="0"/>
        </w:sectPr>
      </w:pPr>
    </w:p>
    <w:bookmarkStart w:id="146" w:name="page147"/>
    <w:bookmarkEnd w:id="146"/>
    <w:p>
      <w:pPr>
        <w:ind w:right="300"/>
        <w:spacing w:after="0" w:line="2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reliance only upon such promises, representations and warranties as are contained herein, and that you are executing this Agreement voluntarily, free of any duress or coercion.</w:t>
      </w:r>
    </w:p>
    <w:p>
      <w:pPr>
        <w:spacing w:after="0" w:line="219" w:lineRule="exact"/>
        <w:rPr>
          <w:sz w:val="20"/>
          <w:szCs w:val="20"/>
          <w:color w:val="auto"/>
        </w:rPr>
      </w:pPr>
    </w:p>
    <w:p>
      <w:pPr>
        <w:ind w:right="40" w:firstLine="632"/>
        <w:spacing w:after="0" w:line="214" w:lineRule="auto"/>
        <w:tabs>
          <w:tab w:leader="none" w:pos="125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271" w:lineRule="exact"/>
        <w:rPr>
          <w:rFonts w:ascii="Arial" w:cs="Arial" w:eastAsia="Arial" w:hAnsi="Arial"/>
          <w:sz w:val="16"/>
          <w:szCs w:val="16"/>
          <w:color w:val="auto"/>
        </w:rPr>
      </w:pPr>
    </w:p>
    <w:p>
      <w:pPr>
        <w:ind w:firstLine="632"/>
        <w:spacing w:after="0" w:line="212" w:lineRule="auto"/>
        <w:tabs>
          <w:tab w:leader="none" w:pos="125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Modification; Counterparts; Facsimile/PDF Signatures</w:t>
      </w:r>
      <w:r>
        <w:rPr>
          <w:rFonts w:ascii="Arial" w:cs="Arial" w:eastAsia="Arial" w:hAnsi="Arial"/>
          <w:sz w:val="16"/>
          <w:szCs w:val="16"/>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219" w:lineRule="exact"/>
        <w:rPr>
          <w:rFonts w:ascii="Arial" w:cs="Arial" w:eastAsia="Arial" w:hAnsi="Arial"/>
          <w:sz w:val="16"/>
          <w:szCs w:val="16"/>
          <w:color w:val="auto"/>
        </w:rPr>
      </w:pPr>
    </w:p>
    <w:p>
      <w:pPr>
        <w:ind w:right="20" w:firstLine="632"/>
        <w:spacing w:after="0" w:line="218" w:lineRule="auto"/>
        <w:tabs>
          <w:tab w:leader="none" w:pos="1250"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Review of Separation Agreement</w:t>
      </w:r>
      <w:r>
        <w:rPr>
          <w:rFonts w:ascii="Arial" w:cs="Arial" w:eastAsia="Arial" w:hAnsi="Arial"/>
          <w:sz w:val="15"/>
          <w:szCs w:val="15"/>
          <w:color w:val="auto"/>
        </w:rPr>
        <w:t>: You understand that you may take up to twenty-one (21) days to consider this Agreement and, by signing below, affirm that you were advised to consult with an attorney prior to signing this agreement. You also understand you may revoke this Agreement within seven</w:t>
      </w:r>
    </w:p>
    <w:p>
      <w:pPr>
        <w:ind w:right="660" w:firstLine="5"/>
        <w:spacing w:after="0" w:line="224" w:lineRule="auto"/>
        <w:tabs>
          <w:tab w:leader="none" w:pos="2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days of signing this document and that the compensation to be paid to you pursuant to Paragraph 3 will be paid only at the end of that seven (7) day revocation period.</w:t>
      </w:r>
    </w:p>
    <w:p>
      <w:pPr>
        <w:spacing w:after="0" w:line="218" w:lineRule="exact"/>
        <w:rPr>
          <w:rFonts w:ascii="Arial" w:cs="Arial" w:eastAsia="Arial" w:hAnsi="Arial"/>
          <w:sz w:val="16"/>
          <w:szCs w:val="16"/>
          <w:color w:val="auto"/>
        </w:rPr>
      </w:pPr>
    </w:p>
    <w:p>
      <w:pPr>
        <w:ind w:left="1260" w:hanging="628"/>
        <w:spacing w:after="0"/>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is effective on the eighth (8th) day after you sign it and without revocation by you.</w:t>
      </w:r>
    </w:p>
    <w:p>
      <w:pPr>
        <w:spacing w:after="0" w:line="208" w:lineRule="exact"/>
        <w:rPr>
          <w:rFonts w:ascii="Arial" w:cs="Arial" w:eastAsia="Arial" w:hAnsi="Arial"/>
          <w:sz w:val="16"/>
          <w:szCs w:val="16"/>
          <w:color w:val="auto"/>
        </w:rPr>
      </w:pPr>
    </w:p>
    <w:p>
      <w:pPr>
        <w:ind w:left="1260" w:hanging="628"/>
        <w:spacing w:after="0"/>
        <w:tabs>
          <w:tab w:leader="none" w:pos="126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160"/>
          </w:cols>
          <w:pgMar w:left="320" w:top="1383" w:right="419" w:bottom="1440" w:gutter="0" w:footer="0" w:header="0"/>
        </w:sectPr>
      </w:pPr>
    </w:p>
    <w:bookmarkStart w:id="147" w:name="page148"/>
    <w:bookmarkEnd w:id="147"/>
    <w:p>
      <w:pPr>
        <w:ind w:firstLine="627"/>
        <w:spacing w:after="0" w:line="2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If you agree to abide by the terms outlined in this letter, please sign this letter below and also sign the attached copy and return it to me. I wish you the best in your future endeavors.</w:t>
      </w:r>
    </w:p>
    <w:p>
      <w:pPr>
        <w:spacing w:after="0" w:line="297"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Sincerely,</w:t>
      </w:r>
    </w:p>
    <w:p>
      <w:pPr>
        <w:spacing w:after="0" w:line="16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MongoDB, Inc.</w:t>
      </w:r>
    </w:p>
    <w:p>
      <w:pPr>
        <w:spacing w:after="0" w:line="156"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By: _______________________________</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[Name and title of person signing on behalf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READ, UNDERSTOOD AND AGREED</w:t>
      </w:r>
    </w:p>
    <w:p>
      <w:pPr>
        <w:spacing w:after="0" w:line="200" w:lineRule="exact"/>
        <w:rPr>
          <w:sz w:val="20"/>
          <w:szCs w:val="20"/>
          <w:color w:val="auto"/>
        </w:rPr>
      </w:pPr>
    </w:p>
    <w:p>
      <w:pPr>
        <w:spacing w:after="0" w:line="322"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color w:val="auto"/>
        </w:rPr>
        <w:t>Dev Ittycheria: ____________________________</w:t>
      </w:r>
      <w:r>
        <w:rPr>
          <w:sz w:val="20"/>
          <w:szCs w:val="20"/>
          <w:color w:val="auto"/>
        </w:rPr>
        <w:tab/>
      </w:r>
      <w:r>
        <w:rPr>
          <w:rFonts w:ascii="Arial" w:cs="Arial" w:eastAsia="Arial" w:hAnsi="Arial"/>
          <w:sz w:val="15"/>
          <w:szCs w:val="15"/>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383"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December 21, 2021</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Michael Gordon [via email]</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Dear Michael,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you know, you are currently employed by MongoDB, Inc. (the “Company”) as its Chief Operating Officer and Chief Financial Officer pursuant to the terms of an amended and restated offer letter from the Company dated September 29, 2017 (the “Offer Letter”). As discussed, you and the Company hereby agree to further amend and restate the Offer Letter. The terms and conditions set forth in this offer letter agreement (the “Agreement”) will become effective as of the effective date of the date hereof and will supersede and replace the terms and conditions set forth in the Offer Letter.</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In your position as Chief Operating Officer and Chief Financial Officer, you will continue to be based in our New York office reporting to the Chief Executive Officer.</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You will remain employed as a full-time salaried employee, compensated at the rate of $13,541.67 per semi-monthly pay period ($325,000 annually). Currently, the Company’s regular pay dates are the 15th and last day of each calendar month. If a pay date falls on a weekend or Federal/bank holiday, then the pay date will be on the previous business day. Said salary will be paid in accordance with the Company’s normal payroll practices as may exist from time to time and is subject to required and voluntary withholdings.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Bonus</w:t>
      </w:r>
    </w:p>
    <w:p>
      <w:pPr>
        <w:spacing w:after="0" w:line="2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addition to your base salary, during your employment as Chief Financial Officer, you will continue to be eligible for an annual bonus with a target of $211,250 per annum paid semi-annually, and which will be based on achievement of Company performance goals to be determined by the Company in its sole discretion. Bonus is subject to required and voluntary withholdings and paid according to Company payroll practices. You must be employed on the bonus payment date to be eligible for the bonus payment, except as otherwise provided below.</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5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You have previously been granted certain stock options and restricted stock units, which will continue to be governed by the terms of the applicable equity incentive plan and award agreements. Eligibility for any future equity awards will be subject to the discretion of the Board of Directors of the Company (the “Board”).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Except as provided below, if you resign or the Company terminates your employment, or upon your death or disability, then (i) you will no longer vest in any equity awards, (ii) all payments of compensation by the Company to you hereunder will terminate immediately (except as to amounts already earned), and (iii) you will not be entitled to any severance benefits. In addition, you will resign from all positions and terminate any relationships as an employee, advisor, officer or director with the Company and any of its affiliates, each effective on the date of termination.</w:t>
      </w:r>
    </w:p>
    <w:p>
      <w:pPr>
        <w:spacing w:after="0" w:line="23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the event your employment with the Company is terminated by the Company without Cause (and other than as result of death or disability) or due to your resignation for Good Reason (collectively, an “Involuntary Termination”), then provided such Involuntary Termination constitutes a “separation from service” (as defined under Treasury Regulation Section 1.409A-1(h), without regard to any alternative definition thereunder, a “Separation from Service”), and provided that you remain in compliance with the terms of this Agreement, the Company will provide you with the following severance benefits (collectively, the “Severance Benefits”): (a) an amount equal to six (6) months of your then-current base salary to be paid in equal installments on the Company’s normal payroll schedule over the six (6) month period immediately following the date of Separation from Service; and (b) provided that you timely elect continued coverage under COBRA, the Company will pay your COBRA premiums to continue your coverage</w:t>
      </w:r>
    </w:p>
    <w:p>
      <w:pPr>
        <w:sectPr>
          <w:pgSz w:w="11900" w:h="16838" w:orient="portrait"/>
          <w:cols w:equalWidth="0" w:num="1">
            <w:col w:w="11240"/>
          </w:cols>
          <w:pgMar w:left="320" w:top="809" w:right="339" w:bottom="1440" w:gutter="0" w:footer="0" w:header="0"/>
        </w:sectPr>
      </w:pPr>
    </w:p>
    <w:bookmarkStart w:id="149" w:name="page150"/>
    <w:bookmarkEnd w:id="149"/>
    <w:p>
      <w:pPr>
        <w:jc w:val="both"/>
        <w:spacing w:after="0" w:line="256" w:lineRule="auto"/>
        <w:rPr>
          <w:sz w:val="20"/>
          <w:szCs w:val="20"/>
          <w:color w:val="auto"/>
        </w:rPr>
      </w:pPr>
      <w:r>
        <w:rPr>
          <w:rFonts w:ascii="Arial" w:cs="Arial" w:eastAsia="Arial" w:hAnsi="Arial"/>
          <w:sz w:val="15"/>
          <w:szCs w:val="15"/>
          <w:color w:val="auto"/>
        </w:rPr>
        <w:t>(including coverage for eligible dependents, if applicable) (“COBRA Premiums”) through the period (the “COBRA Premium Period”) starting on your Separation from Service date and ending on the earliest to occur of: (i) six (6) months following your Separation from Service;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will in lieu thereof provide to you a taxable monthly payment in an amount equal to the monthly COBRA premium that you would be required to pay to continue your group health coverage in effect on the date of your employment termination (which amount will be based on the premium for the first month of COBRA coverage), which payments will be made on the last day of each month regardless of whether you elect COBRA continuation coverage and will end on the earlier of (x) the date upon which you obtain other employment or (y) the last day of the 6</w:t>
      </w:r>
      <w:r>
        <w:rPr>
          <w:rFonts w:ascii="Arial" w:cs="Arial" w:eastAsia="Arial" w:hAnsi="Arial"/>
          <w:sz w:val="9"/>
          <w:szCs w:val="9"/>
          <w:color w:val="auto"/>
        </w:rPr>
        <w:t>th</w:t>
      </w:r>
      <w:r>
        <w:rPr>
          <w:rFonts w:ascii="Arial" w:cs="Arial" w:eastAsia="Arial" w:hAnsi="Arial"/>
          <w:sz w:val="15"/>
          <w:szCs w:val="15"/>
          <w:color w:val="auto"/>
        </w:rPr>
        <w:t xml:space="preserve"> calendar month following your Separation from Service date.</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your Involuntary Termination occurs either in connection with a Change in Control (as defined in the Company’s 2016 Equity Incentive Plan), or within three (3) months prior to or within twelve (12) months following the closing of a Change in Control, and such termination qualifies as a Separation from Service, and provided that you remain in compliance with the terms of this Agreement, then you will be entitled to the Severance Benefits provided for above, and the following additional benefits: (a) an amount equal to six (6) months of your then-current “cash-eligible” annual target bonus to be paid in equal installments on the Company’s normal payroll schedule over the six (6) month period immediately following the date of Separation from Service, which, for the avoidance of doubt, shall be in addition to payment of (i) any earned but unpaid annual bonus for the fiscal year preceding the fiscal year in which such Separation from Service occurs based on actual performance, as determined by the Compensation Committee and (ii) an annual bonus for the fiscal year in which the Separation from Service occurs, prorated to your date of Separation from Service and determined based on the greater of target performance or actual performance as of your date of Separation from Service, as determined by the Compensation Committee (b) 100% of all of your then-outstanding time-based unvested Company equity awards will accelerate and will be deemed vested and exercisable (if applicable) as of your date of Separation from Service; and (c) 100% of all of your then-outstanding performance-based unvested Company equity awards will accelerate and will be deemed vested and exercisable (if applicable) based on the greater of your target performance rate or actual performance as of your date of Separation from Service (collectively, the “Change in Control Severance Benefits”), including any performance-based unvested awards granted pursuant to the Company’s Senior Leadership Equity Bonus Program (or similar annual bonus program that may be adopted in the future) (an “Equity Bonus Program”). For the avoidance of doubt, if you have elected to receive your annual bonus in equity in lieu of cash pursuant to an Equity Bonus Program, and have received an equity grant as a result of this election, your annual bonus for the performance period for which you made the election will no longer be considered “cash-eligible” for purposes of subsection (a) of this paragraph; provided however, that for any period for which you have elected to receive your annual bonus in equity in lieu of cash pursuant to an Equity Bonus Program, and for which the Company has not yet granted an equity award to you as of the date of Separation of Service, then such election shall be void, and your annual bonus for such period shall be “cash-eligible” in accordance with subsection (a) of this paragraph.</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receipt of the Severance Benefits or the Change in Control Severance Benefits, as applicable, provided above will be subject to you signing and not revoking a separation agreement and release of claims in a form similar to that attached hereto as Exhibit A (as amended to reflect the reason for the separation and any changes to the law) (the “Separation Agreement”) within the time period set forth therein, which will not exceed 50 days from the date of your Separation from Service (the “Release Period”).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You will also resign from all positions and terminate any relationships as an employee, advisor, officer or director with the Company and any of its affiliates, each effective on the date of termination.</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purposes of this Agreement, “Cause” will mean termination based upon (i) your willful failure to follow lawful directions communicated to you by the Chief Executive Officer or otherwise to perform your duties to the Company; (ii) the willful or intentional engaging by you in conduct which is injurious to the Company or its reputation, business or business relationships, monetarily or otherwise; (iii) your commission of an act of fraud, misappropriation or embezzlement with respect to the Company or the Company's business; (iv) your conviction of, or a plea of guilty or nolo contendere to, a felony or a crime of moral turpitude (meaning an extreme departure from ordinary standards of</w:t>
      </w:r>
    </w:p>
    <w:p>
      <w:pPr>
        <w:sectPr>
          <w:pgSz w:w="11900" w:h="16838" w:orient="portrait"/>
          <w:cols w:equalWidth="0" w:num="1">
            <w:col w:w="11240"/>
          </w:cols>
          <w:pgMar w:left="320" w:top="1396" w:right="339" w:bottom="1440" w:gutter="0" w:footer="0" w:header="0"/>
        </w:sectPr>
      </w:pPr>
    </w:p>
    <w:bookmarkStart w:id="150" w:name="page151"/>
    <w:bookmarkEnd w:id="150"/>
    <w:p>
      <w:pPr>
        <w:jc w:val="both"/>
        <w:spacing w:after="0"/>
        <w:rPr>
          <w:sz w:val="20"/>
          <w:szCs w:val="20"/>
          <w:color w:val="auto"/>
        </w:rPr>
      </w:pPr>
      <w:r>
        <w:rPr>
          <w:rFonts w:ascii="Arial" w:cs="Arial" w:eastAsia="Arial" w:hAnsi="Arial"/>
          <w:sz w:val="16"/>
          <w:szCs w:val="16"/>
          <w:color w:val="auto"/>
        </w:rPr>
        <w:t>honesty, good morals, justice or ethics as to be shocking in the moral sense of community); (v) your habitual drunkenness or use of illegal substances; (vi) a material breach by you of your obligations under this Agreement, including (without limitation) your obligations specified in your Employee Invention Assignment Agreement, Confidentiality and Arbitration Agreement that is not cured (to the extent curable) within 15 days of the Company providing written notice of such material breach; or (vii) your commission of an act of gross neglect or gross misconduct in connection with the performance of your duties.</w:t>
      </w:r>
    </w:p>
    <w:p>
      <w:pPr>
        <w:spacing w:after="0" w:line="23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purposes of this Agreement, “Good Reason” means the occurrence of one of the following events without your written consent: (i) a material diminution by the Company in your title or the nature or scope of your responsibilities, duties or authority with the Company, it being specified that no longer holding the office of Chief Financial Officer of a publicly traded company will be considered a material diminution in responsibilities under this clause (i), (ii) a material reduction of your base salary, (iii) a relocation of your principal place of employment that increases your one-way commute by more than 50 miles as compared to your then-current principal place of employment prior to such relocation (it being understood that you are expected to spend material amounts of time in the Company’s other offices as part of your duties hereunder), or (iv) failure by the Company to ensure that a successor entity assumes this Agreement; provided, however, that to resign for Good Reason, you must (1) provide written notice to the Company’s General Counsel within 30 days after the first occurrence of the event giving rise to Good Reason setting forth the basis for your resignation, (2) allow the Company at least 30 days from receipt of such written notice to cure such event, and (3) if such event is not reasonably cured with such period, your resignation from all positions you then hold with the Company is effective not later than 60 days after the expiration of the cure period.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As a regular full-time employee, you will continue to be eligible to participate in Company-sponsored medical, dental, vision, life insurance, short and long-term disability plans. The Company may discontinue or modify any such plans, programs or practices at any time, with or without notice.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280G</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If any payment or benefit (including payments and benefits pursuant to this Agreement) that you would receive from the Company or otherwise in connection with a Change in Control (the “Transaction Payment”) would (i) constitute a “parachute payment” within the meaning of Section 280G of the Internal Revenue Code of 1986, as amended (the “Code”) and (ii) but for this sentence, be subject to the excise tax imposed by Section 4999 of the Code (the “Excise Tax”), then the Company will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 be subject to the Excise Tax: (1) payment in full of the entire amount of the Transaction Payment (a “Full Payment”), or (2) payment of only a part of the Transaction Payment so that you receive the largest payment possible without the imposition of the Excise Tax (a “Reduced Payment”). For purposes of determining whether to make a Full Payment or a Reduced Payment, the Company will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will have no rights to any additional payments and/or benefits constituting the Transaction Payment, and (y) reduction in payments and/or benefits will occur in the manner that results in the greatest economic benefit to you as determined in this paragraph. If more than one method of reduction will result in the same economic benefit, the portions of the Transaction Payment will be reduced pro rata. Unless you and the Company otherwise agree in writing, any determination required under this section will be made in writing by the Company’s independent public accountants (the “Accountants”), whose determination will be conclusive and binding upon you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as well as any costs incurred by you with the Accountants for tax planning under Sections 280G and 4999 of the Code.</w:t>
      </w:r>
    </w:p>
    <w:p>
      <w:pPr>
        <w:sectPr>
          <w:pgSz w:w="11900" w:h="16838" w:orient="portrait"/>
          <w:cols w:equalWidth="0" w:num="1">
            <w:col w:w="11240"/>
          </w:cols>
          <w:pgMar w:left="320" w:top="1396"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color w:val="auto"/>
        </w:rPr>
        <w:t>Section 409A</w:t>
      </w: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It is intended that all of the severance benefits and other payments payable under this Agreement satisfy, to the greatest extent possible, the exemptions from the application of Section 409A of the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 Section 1.409A-2(b)(2)(iii)), your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will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time period, all payments deferred pursuant to this section will be paid in a lump sum to you, and any remaining payments due will be paid as otherwise provided herein or in the applicable agreement. No interest will be due on any amounts so deferred.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Arbitration</w:t>
      </w:r>
    </w:p>
    <w:p>
      <w:pPr>
        <w:spacing w:after="0" w:line="2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You and the Company have previously executed the Company’s standard arbitration agreement that is contained in your Employee Invention Assignment, Confidentiality and Arbitration Agreement (the “Arbitration Agreement”), which agreement remains in full force and effect. You acknowledge and agree to all of the Company’s policies in effect during your employment with Company, including, but not limited to, the policies found in the MongoDB Employee Handbook and the Arbitration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Will Employment</w:t>
      </w:r>
    </w:p>
    <w:p>
      <w:pPr>
        <w:spacing w:after="0" w:line="25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Your employment relationship with the Company is “at-will." That means you are free, at any time, for any reason, to end your employment with the Company and that the Company may do the same. Our agreement regarding employment-at-will may not be changed, except specifically in writing signed by the Chief Executive Officer and you.</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your continued contributions to the growth and success of MongoDB over the coming years.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w w:val="97"/>
              </w:rPr>
              <w:t>/s/ Andrew Stephens</w:t>
            </w:r>
          </w:p>
        </w:tc>
        <w:tc>
          <w:tcPr>
            <w:tcW w:w="5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12/21/2021</w:t>
            </w:r>
          </w:p>
        </w:tc>
      </w:tr>
      <w:tr>
        <w:trPr>
          <w:trHeight w:val="20"/>
        </w:trPr>
        <w:tc>
          <w:tcPr>
            <w:tcW w:w="1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48"/>
        </w:trPr>
        <w:tc>
          <w:tcPr>
            <w:tcW w:w="1460" w:type="dxa"/>
            <w:vAlign w:val="bottom"/>
          </w:tcPr>
          <w:p>
            <w:pPr>
              <w:spacing w:after="0"/>
              <w:rPr>
                <w:sz w:val="20"/>
                <w:szCs w:val="20"/>
                <w:color w:val="auto"/>
              </w:rPr>
            </w:pPr>
            <w:r>
              <w:rPr>
                <w:rFonts w:ascii="Arial" w:cs="Arial" w:eastAsia="Arial" w:hAnsi="Arial"/>
                <w:sz w:val="16"/>
                <w:szCs w:val="16"/>
                <w:color w:val="auto"/>
              </w:rPr>
              <w:t>Andrew Stephens</w:t>
            </w:r>
          </w:p>
        </w:tc>
        <w:tc>
          <w:tcPr>
            <w:tcW w:w="50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Date</w:t>
            </w:r>
          </w:p>
        </w:tc>
      </w:tr>
      <w:tr>
        <w:trPr>
          <w:trHeight w:val="235"/>
        </w:trPr>
        <w:tc>
          <w:tcPr>
            <w:tcW w:w="1960" w:type="dxa"/>
            <w:vAlign w:val="bottom"/>
            <w:gridSpan w:val="2"/>
          </w:tcPr>
          <w:p>
            <w:pPr>
              <w:spacing w:after="0"/>
              <w:rPr>
                <w:sz w:val="20"/>
                <w:szCs w:val="20"/>
                <w:color w:val="auto"/>
              </w:rPr>
            </w:pPr>
            <w:r>
              <w:rPr>
                <w:rFonts w:ascii="Arial" w:cs="Arial" w:eastAsia="Arial" w:hAnsi="Arial"/>
                <w:sz w:val="16"/>
                <w:szCs w:val="16"/>
                <w:color w:val="auto"/>
              </w:rPr>
              <w:t>General Counsel</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 hereby acknowledge my acceptance of continued employment with MongoDB pursuant to the terms and conditions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/s/ Michael Gordon</w:t>
            </w:r>
          </w:p>
        </w:tc>
        <w:tc>
          <w:tcPr>
            <w:tcW w:w="10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01/14/2022</w:t>
            </w:r>
          </w:p>
        </w:tc>
      </w:tr>
    </w:tbl>
    <w:p>
      <w:pPr>
        <w:spacing w:after="0" w:line="67"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color w:val="auto"/>
        </w:rPr>
        <w:t>Michael Gordon</w:t>
        <w:tab/>
        <w:t>Date</w:t>
      </w:r>
    </w:p>
    <w:p>
      <w:pPr>
        <w:sectPr>
          <w:pgSz w:w="11900" w:h="16838" w:orient="portrait"/>
          <w:cols w:equalWidth="0" w:num="1">
            <w:col w:w="11240"/>
          </w:cols>
          <w:pgMar w:left="320" w:top="1376" w:right="33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16"/>
          <w:szCs w:val="16"/>
          <w:b w:val="1"/>
          <w:bCs w:val="1"/>
          <w:u w:val="single" w:color="auto"/>
          <w:color w:val="auto"/>
        </w:rPr>
        <w:t>Exhibit A</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[Month] , 201_</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Michael Gordon</w:t>
      </w:r>
    </w:p>
    <w:p>
      <w:pPr>
        <w:spacing w:after="0" w:line="214" w:lineRule="exact"/>
        <w:rPr>
          <w:sz w:val="20"/>
          <w:szCs w:val="20"/>
          <w:color w:val="auto"/>
        </w:rPr>
      </w:pPr>
    </w:p>
    <w:p>
      <w:pPr>
        <w:jc w:val="center"/>
        <w:ind w:left="4020"/>
        <w:spacing w:after="0"/>
        <w:tabs>
          <w:tab w:leader="none" w:pos="1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 xml:space="preserve">Terms of </w:t>
      </w:r>
      <w:r>
        <w:rPr>
          <w:rFonts w:ascii="Arial" w:cs="Arial" w:eastAsia="Arial" w:hAnsi="Arial"/>
          <w:sz w:val="16"/>
          <w:szCs w:val="16"/>
          <w:b w:val="1"/>
          <w:bCs w:val="1"/>
          <w:u w:val="single" w:color="auto"/>
          <w:color w:val="auto"/>
        </w:rPr>
        <w:t>[Resignation or Separation]</w:t>
      </w:r>
    </w:p>
    <w:p>
      <w:pPr>
        <w:spacing w:after="0" w:line="234"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 xml:space="preserve">This letter confirms the agreement (“Agreement”) between you and MongoDB, Inc. (the “Company”) concerning the terms of your </w:t>
      </w:r>
      <w:r>
        <w:rPr>
          <w:rFonts w:ascii="Arial" w:cs="Arial" w:eastAsia="Arial" w:hAnsi="Arial"/>
          <w:sz w:val="16"/>
          <w:szCs w:val="16"/>
          <w:b w:val="1"/>
          <w:bCs w:val="1"/>
          <w:color w:val="auto"/>
        </w:rPr>
        <w:t>[resignation or separation]</w:t>
      </w:r>
      <w:r>
        <w:rPr>
          <w:rFonts w:ascii="Arial" w:cs="Arial" w:eastAsia="Arial" w:hAnsi="Arial"/>
          <w:sz w:val="16"/>
          <w:szCs w:val="16"/>
          <w:color w:val="auto"/>
        </w:rPr>
        <w:t xml:space="preserve"> and offers you the separation compensation we discussed in exchange for a general release of claims and covenant not to sue.</w:t>
      </w:r>
    </w:p>
    <w:p>
      <w:pPr>
        <w:spacing w:after="0" w:line="189" w:lineRule="exact"/>
        <w:rPr>
          <w:sz w:val="20"/>
          <w:szCs w:val="20"/>
          <w:color w:val="auto"/>
        </w:rPr>
      </w:pPr>
    </w:p>
    <w:p>
      <w:pPr>
        <w:ind w:left="640" w:hanging="635"/>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Resignation or Separation]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is your last day of employment with the Company (the “</w:t>
      </w:r>
      <w:r>
        <w:rPr>
          <w:rFonts w:ascii="Arial" w:cs="Arial" w:eastAsia="Arial" w:hAnsi="Arial"/>
          <w:sz w:val="16"/>
          <w:szCs w:val="16"/>
          <w:b w:val="1"/>
          <w:bCs w:val="1"/>
          <w:color w:val="auto"/>
        </w:rPr>
        <w:t xml:space="preserve">[Resignation or Separation] </w:t>
      </w:r>
      <w:r>
        <w:rPr>
          <w:rFonts w:ascii="Arial" w:cs="Arial" w:eastAsia="Arial" w:hAnsi="Arial"/>
          <w:sz w:val="16"/>
          <w:szCs w:val="16"/>
          <w:color w:val="auto"/>
        </w:rPr>
        <w:t>Date”).</w:t>
      </w:r>
    </w:p>
    <w:p>
      <w:pPr>
        <w:spacing w:after="0" w:line="254" w:lineRule="exact"/>
        <w:rPr>
          <w:rFonts w:ascii="Arial" w:cs="Arial" w:eastAsia="Arial" w:hAnsi="Arial"/>
          <w:sz w:val="16"/>
          <w:szCs w:val="16"/>
          <w:color w:val="auto"/>
        </w:rPr>
      </w:pPr>
    </w:p>
    <w:p>
      <w:pPr>
        <w:ind w:right="200" w:firstLine="5"/>
        <w:spacing w:after="0" w:line="239" w:lineRule="auto"/>
        <w:tabs>
          <w:tab w:leader="none" w:pos="62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Acknowledgment of Payment of Wages</w:t>
      </w:r>
      <w:r>
        <w:rPr>
          <w:rFonts w:ascii="Arial" w:cs="Arial" w:eastAsia="Arial" w:hAnsi="Arial"/>
          <w:sz w:val="16"/>
          <w:szCs w:val="16"/>
          <w:color w:val="auto"/>
        </w:rPr>
        <w:t>: On the next regularly scheduled pay day following the Separation Date, the Company will pay you an amount that represents all of your salary earned through the Separation Date. Per the Company’s flexible time off program, paid time off is not accrued and is therefore not paid out upon separation from the Company.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spacing w:after="0" w:line="233" w:lineRule="exact"/>
        <w:rPr>
          <w:rFonts w:ascii="Arial" w:cs="Arial" w:eastAsia="Arial" w:hAnsi="Arial"/>
          <w:sz w:val="16"/>
          <w:szCs w:val="16"/>
          <w:color w:val="auto"/>
        </w:rPr>
      </w:pPr>
    </w:p>
    <w:p>
      <w:pPr>
        <w:ind w:firstLine="5"/>
        <w:spacing w:after="0" w:line="241" w:lineRule="auto"/>
        <w:tabs>
          <w:tab w:leader="none" w:pos="62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Separation Compensation</w:t>
      </w:r>
      <w:r>
        <w:rPr>
          <w:rFonts w:ascii="Arial" w:cs="Arial" w:eastAsia="Arial" w:hAnsi="Arial"/>
          <w:sz w:val="16"/>
          <w:szCs w:val="16"/>
          <w:color w:val="auto"/>
        </w:rPr>
        <w:t xml:space="preserve">: In exchange for your agreement to the general release and waiver of claims and covenant not to sue set forth below and your other promises herein, the Company agrees to provide you with the </w:t>
      </w:r>
      <w:r>
        <w:rPr>
          <w:rFonts w:ascii="Arial" w:cs="Arial" w:eastAsia="Arial" w:hAnsi="Arial"/>
          <w:sz w:val="16"/>
          <w:szCs w:val="16"/>
          <w:b w:val="1"/>
          <w:bCs w:val="1"/>
          <w:color w:val="auto"/>
        </w:rPr>
        <w:t>[Severance Benefits / Change in Control Severance Benefits]</w:t>
      </w:r>
      <w:r>
        <w:rPr>
          <w:rFonts w:ascii="Arial" w:cs="Arial" w:eastAsia="Arial" w:hAnsi="Arial"/>
          <w:sz w:val="16"/>
          <w:szCs w:val="16"/>
          <w:color w:val="auto"/>
        </w:rPr>
        <w:t xml:space="preserve"> (as defined in the Offer Letter, dated as of [ ],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-1248410</wp:posOffset>
            </wp:positionV>
            <wp:extent cx="110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10" w:lineRule="exact"/>
        <w:rPr>
          <w:sz w:val="20"/>
          <w:szCs w:val="20"/>
          <w:color w:val="auto"/>
        </w:rPr>
      </w:pPr>
    </w:p>
    <w:p>
      <w:pPr>
        <w:ind w:right="460"/>
        <w:spacing w:after="0" w:line="243" w:lineRule="auto"/>
        <w:rPr>
          <w:sz w:val="20"/>
          <w:szCs w:val="20"/>
          <w:color w:val="auto"/>
        </w:rPr>
      </w:pPr>
      <w:r>
        <w:rPr>
          <w:rFonts w:ascii="Arial" w:cs="Arial" w:eastAsia="Arial" w:hAnsi="Arial"/>
          <w:sz w:val="16"/>
          <w:szCs w:val="16"/>
          <w:color w:val="auto"/>
        </w:rPr>
        <w:t>By signing below, you acknowledge that you are receiving the separation compensation outlined in this paragraph in consideration for waiving your rights to claims referred to in this Agreement and that you would not otherwise be entitled to the separation compensation.</w:t>
      </w:r>
    </w:p>
    <w:p>
      <w:pPr>
        <w:spacing w:after="0" w:line="229" w:lineRule="exact"/>
        <w:rPr>
          <w:sz w:val="20"/>
          <w:szCs w:val="20"/>
          <w:color w:val="auto"/>
        </w:rPr>
      </w:pPr>
    </w:p>
    <w:p>
      <w:pPr>
        <w:ind w:right="260" w:firstLine="5"/>
        <w:spacing w:after="0" w:line="243" w:lineRule="auto"/>
        <w:tabs>
          <w:tab w:leader="none" w:pos="62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w:t>
      </w:r>
      <w:r>
        <w:rPr>
          <w:rFonts w:ascii="Arial" w:cs="Arial" w:eastAsia="Arial" w:hAnsi="Arial"/>
          <w:sz w:val="16"/>
          <w:szCs w:val="16"/>
          <w:color w:val="auto"/>
        </w:rPr>
        <w:t>: You hereby warrant to the Company that you have returned to the Company all property or data of the Company of any type whatsoever that has been in your possession or control.</w:t>
      </w:r>
    </w:p>
    <w:p>
      <w:pPr>
        <w:spacing w:after="0" w:line="228" w:lineRule="exact"/>
        <w:rPr>
          <w:rFonts w:ascii="Arial" w:cs="Arial" w:eastAsia="Arial" w:hAnsi="Arial"/>
          <w:sz w:val="16"/>
          <w:szCs w:val="16"/>
          <w:color w:val="auto"/>
        </w:rPr>
      </w:pPr>
    </w:p>
    <w:p>
      <w:pPr>
        <w:ind w:right="180" w:firstLine="5"/>
        <w:spacing w:after="0" w:line="239" w:lineRule="auto"/>
        <w:tabs>
          <w:tab w:leader="none" w:pos="62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You hereby acknowledge that you are bound by the attached Employee Invention Assignment, Confidentiality and Arbitration Agreement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233" w:lineRule="exact"/>
        <w:rPr>
          <w:sz w:val="20"/>
          <w:szCs w:val="20"/>
          <w:color w:val="auto"/>
        </w:rPr>
      </w:pPr>
    </w:p>
    <w:p>
      <w:pPr>
        <w:spacing w:after="0"/>
        <w:tabs>
          <w:tab w:leader="none" w:pos="620" w:val="left"/>
          <w:tab w:leader="none" w:pos="632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u w:val="single" w:color="auto"/>
          <w:color w:val="auto"/>
        </w:rPr>
        <w:t>[Equity</w:t>
      </w:r>
      <w:r>
        <w:rPr>
          <w:rFonts w:ascii="Arial" w:cs="Arial" w:eastAsia="Arial" w:hAnsi="Arial"/>
          <w:sz w:val="16"/>
          <w:szCs w:val="16"/>
          <w:color w:val="auto"/>
        </w:rPr>
        <w:t>: Pursuant to your Stock Option Agreement[s] with the Company dated</w:t>
      </w:r>
      <w:r>
        <w:rPr>
          <w:sz w:val="20"/>
          <w:szCs w:val="20"/>
          <w:color w:val="auto"/>
        </w:rPr>
        <w:tab/>
      </w:r>
      <w:r>
        <w:rPr>
          <w:rFonts w:ascii="Arial" w:cs="Arial" w:eastAsia="Arial" w:hAnsi="Arial"/>
          <w:sz w:val="15"/>
          <w:szCs w:val="15"/>
          <w:color w:val="auto"/>
        </w:rPr>
        <w:t>and the Company's [2008 / 2016] Equity Incentive Plan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-17145</wp:posOffset>
            </wp:positionV>
            <wp:extent cx="2216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221615" cy="8255"/>
                    </a:xfrm>
                    <a:prstGeom prst="rect">
                      <a:avLst/>
                    </a:prstGeom>
                    <a:noFill/>
                  </pic:spPr>
                </pic:pic>
              </a:graphicData>
            </a:graphic>
          </wp:anchor>
        </w:drawing>
      </w:r>
    </w:p>
    <w:p>
      <w:pPr>
        <w:ind w:right="20"/>
        <w:spacing w:after="0" w:line="238" w:lineRule="auto"/>
        <w:rPr>
          <w:sz w:val="20"/>
          <w:szCs w:val="20"/>
          <w:color w:val="auto"/>
        </w:rPr>
      </w:pPr>
      <w:r>
        <w:rPr>
          <w:rFonts w:ascii="Arial" w:cs="Arial" w:eastAsia="Arial" w:hAnsi="Arial"/>
          <w:sz w:val="16"/>
          <w:szCs w:val="16"/>
          <w:color w:val="auto"/>
        </w:rPr>
        <w:t>collectively referred to as the “Stock Option Agreements”), you were granted option[s] to purchase an aggregate of shares of the Company's common stock (the “Option”). The Option[s] [has / have] vested as to shares (the “Vested Shares”) and remains unvested as to shares (the “Unvested Shares”). You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-132715</wp:posOffset>
            </wp:positionV>
            <wp:extent cx="1104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-16510</wp:posOffset>
            </wp:positionV>
            <wp:extent cx="1104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-16510</wp:posOffset>
            </wp:positionV>
            <wp:extent cx="1104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tabs>
          <w:tab w:leader="none" w:pos="1000" w:val="left"/>
          <w:tab w:leader="none" w:pos="3180" w:val="left"/>
        </w:tabs>
        <w:rPr>
          <w:sz w:val="20"/>
          <w:szCs w:val="20"/>
          <w:color w:val="auto"/>
        </w:rPr>
      </w:pPr>
      <w:r>
        <w:rPr>
          <w:rFonts w:ascii="Arial" w:cs="Arial" w:eastAsia="Arial" w:hAnsi="Arial"/>
          <w:sz w:val="16"/>
          <w:szCs w:val="16"/>
          <w:color w:val="auto"/>
        </w:rPr>
        <w:t>exercised</w:t>
      </w:r>
      <w:r>
        <w:rPr>
          <w:sz w:val="20"/>
          <w:szCs w:val="20"/>
          <w:color w:val="auto"/>
        </w:rPr>
        <w:tab/>
      </w:r>
      <w:r>
        <w:rPr>
          <w:rFonts w:ascii="Arial" w:cs="Arial" w:eastAsia="Arial" w:hAnsi="Arial"/>
          <w:sz w:val="16"/>
          <w:szCs w:val="16"/>
          <w:color w:val="auto"/>
        </w:rPr>
        <w:t>of the Vested Shares leaving</w:t>
      </w:r>
      <w:r>
        <w:rPr>
          <w:sz w:val="20"/>
          <w:szCs w:val="20"/>
          <w:color w:val="auto"/>
        </w:rPr>
        <w:tab/>
      </w:r>
      <w:r>
        <w:rPr>
          <w:rFonts w:ascii="Arial" w:cs="Arial" w:eastAsia="Arial" w:hAnsi="Arial"/>
          <w:sz w:val="15"/>
          <w:szCs w:val="15"/>
          <w:color w:val="auto"/>
        </w:rPr>
        <w:t>unexercised Vested Shares (the “Unexercised Vested Shares”). Because your employment is terminating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-17145</wp:posOffset>
            </wp:positionV>
            <wp:extent cx="221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221615" cy="825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-17145</wp:posOffset>
            </wp:positionV>
            <wp:extent cx="1104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ind w:right="60"/>
        <w:spacing w:after="0"/>
        <w:rPr>
          <w:sz w:val="20"/>
          <w:szCs w:val="20"/>
          <w:color w:val="auto"/>
        </w:rPr>
      </w:pPr>
      <w:r>
        <w:rPr>
          <w:rFonts w:ascii="Arial" w:cs="Arial" w:eastAsia="Arial" w:hAnsi="Arial"/>
          <w:sz w:val="16"/>
          <w:szCs w:val="16"/>
          <w:b w:val="1"/>
          <w:bCs w:val="1"/>
          <w:color w:val="auto"/>
        </w:rPr>
        <w:t>[Resignation or Separation Date]</w:t>
      </w:r>
      <w:r>
        <w:rPr>
          <w:rFonts w:ascii="Arial" w:cs="Arial" w:eastAsia="Arial" w:hAnsi="Arial"/>
          <w:sz w:val="16"/>
          <w:szCs w:val="16"/>
          <w:color w:val="auto"/>
        </w:rPr>
        <w:t>, none of the Unvested Shares can ever vest. Your rights concerning the Option will continue to be governed by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Agreements. Per the Stock Option Agreements, you will have days following the </w:t>
      </w:r>
      <w:r>
        <w:rPr>
          <w:rFonts w:ascii="Arial" w:cs="Arial" w:eastAsia="Arial" w:hAnsi="Arial"/>
          <w:sz w:val="16"/>
          <w:szCs w:val="16"/>
          <w:b w:val="1"/>
          <w:bCs w:val="1"/>
          <w:color w:val="auto"/>
        </w:rPr>
        <w:t>[Resignation or Separation Date]</w:t>
      </w:r>
      <w:r>
        <w:rPr>
          <w:rFonts w:ascii="Arial" w:cs="Arial" w:eastAsia="Arial" w:hAnsi="Arial"/>
          <w:sz w:val="16"/>
          <w:szCs w:val="16"/>
          <w:color w:val="auto"/>
        </w:rPr>
        <w:t xml:space="preserve"> to exercise the Unexercised Vested Shares. After this date, you will no longer have a right to exercise the Option as to any shares. Your rights concerning any unvested Restricted Stock Units will be governed by the applicable Restricted Stock Unit Agreements, except as otherwise set forth in your Offer Letter.]</w:t>
      </w:r>
    </w:p>
    <w:p>
      <w:pPr>
        <w:spacing w:after="0" w:line="231" w:lineRule="exact"/>
        <w:rPr>
          <w:sz w:val="20"/>
          <w:szCs w:val="20"/>
          <w:color w:val="auto"/>
        </w:rPr>
      </w:pPr>
    </w:p>
    <w:p>
      <w:pPr>
        <w:ind w:left="640" w:hanging="635"/>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General Release and Waiver of Claims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5"/>
          <w:szCs w:val="15"/>
          <w:color w:val="auto"/>
        </w:rPr>
        <w:t>The payments and promises set forth in this Agreement are in full satisfaction of all accrued salary, vacation pay, bonus and commission pay,</w:t>
      </w:r>
    </w:p>
    <w:p>
      <w:pPr>
        <w:sectPr>
          <w:pgSz w:w="11900" w:h="16838" w:orient="portrait"/>
          <w:cols w:equalWidth="0" w:num="1">
            <w:col w:w="11220"/>
          </w:cols>
          <w:pgMar w:left="320" w:top="1376" w:right="359" w:bottom="1440" w:gutter="0" w:footer="0" w:header="0"/>
        </w:sectPr>
      </w:pPr>
    </w:p>
    <w:bookmarkStart w:id="153" w:name="page154"/>
    <w:bookmarkEnd w:id="153"/>
    <w:p>
      <w:pPr>
        <w:ind w:left="640" w:right="60"/>
        <w:spacing w:after="0" w:line="238" w:lineRule="auto"/>
        <w:rPr>
          <w:sz w:val="20"/>
          <w:szCs w:val="20"/>
          <w:color w:val="auto"/>
        </w:rPr>
      </w:pPr>
      <w:r>
        <w:rPr>
          <w:rFonts w:ascii="Arial" w:cs="Arial" w:eastAsia="Arial" w:hAnsi="Arial"/>
          <w:sz w:val="16"/>
          <w:szCs w:val="16"/>
          <w:color w:val="auto"/>
        </w:rPr>
        <w:t>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w:t>
      </w:r>
    </w:p>
    <w:p>
      <w:pPr>
        <w:spacing w:after="0" w:line="2" w:lineRule="exact"/>
        <w:rPr>
          <w:sz w:val="20"/>
          <w:szCs w:val="20"/>
          <w:color w:val="auto"/>
        </w:rPr>
      </w:pPr>
    </w:p>
    <w:p>
      <w:pPr>
        <w:ind w:left="640" w:right="280"/>
        <w:spacing w:after="0" w:line="258" w:lineRule="auto"/>
        <w:rPr>
          <w:sz w:val="20"/>
          <w:szCs w:val="20"/>
          <w:color w:val="auto"/>
        </w:rPr>
      </w:pPr>
      <w:r>
        <w:rPr>
          <w:rFonts w:ascii="Arial" w:cs="Arial" w:eastAsia="Arial" w:hAnsi="Arial"/>
          <w:sz w:val="15"/>
          <w:szCs w:val="15"/>
          <w:color w:val="auto"/>
        </w:rPr>
        <w:t>(collectively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New York Human Rights Law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220" w:lineRule="exact"/>
        <w:rPr>
          <w:sz w:val="20"/>
          <w:szCs w:val="20"/>
          <w:color w:val="auto"/>
        </w:rPr>
      </w:pPr>
    </w:p>
    <w:p>
      <w:pPr>
        <w:ind w:left="640" w:right="20" w:hanging="8"/>
        <w:spacing w:after="0" w:line="241" w:lineRule="auto"/>
        <w:tabs>
          <w:tab w:leader="none" w:pos="1267" w:val="left"/>
        </w:tabs>
        <w:numPr>
          <w:ilvl w:val="1"/>
          <w:numId w:val="74"/>
        </w:numPr>
        <w:rPr>
          <w:rFonts w:ascii="Arial" w:cs="Arial" w:eastAsia="Arial" w:hAnsi="Arial"/>
          <w:sz w:val="16"/>
          <w:szCs w:val="16"/>
          <w:color w:val="auto"/>
        </w:rPr>
      </w:pPr>
      <w:r>
        <w:rPr>
          <w:rFonts w:ascii="Arial" w:cs="Arial" w:eastAsia="Arial" w:hAnsi="Arial"/>
          <w:sz w:val="16"/>
          <w:szCs w:val="16"/>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229" w:lineRule="exact"/>
        <w:rPr>
          <w:rFonts w:ascii="Arial" w:cs="Arial" w:eastAsia="Arial" w:hAnsi="Arial"/>
          <w:sz w:val="16"/>
          <w:szCs w:val="16"/>
          <w:color w:val="auto"/>
        </w:rPr>
      </w:pPr>
    </w:p>
    <w:p>
      <w:pPr>
        <w:ind w:left="640" w:right="420" w:hanging="8"/>
        <w:spacing w:after="0" w:line="241" w:lineRule="auto"/>
        <w:tabs>
          <w:tab w:leader="none" w:pos="1259" w:val="left"/>
        </w:tabs>
        <w:numPr>
          <w:ilvl w:val="1"/>
          <w:numId w:val="74"/>
        </w:numPr>
        <w:rPr>
          <w:rFonts w:ascii="Arial" w:cs="Arial" w:eastAsia="Arial" w:hAnsi="Arial"/>
          <w:sz w:val="16"/>
          <w:szCs w:val="16"/>
          <w:color w:val="auto"/>
        </w:rPr>
      </w:pPr>
      <w:r>
        <w:rPr>
          <w:rFonts w:ascii="Arial" w:cs="Arial" w:eastAsia="Arial" w:hAnsi="Arial"/>
          <w:sz w:val="16"/>
          <w:szCs w:val="16"/>
          <w:color w:val="auto"/>
        </w:rPr>
        <w:t>You and the Company do not intend to release claims that you may not release as a matter of law, including but not limited to claims for indemnity, and any claims for enforcement of this Agreement. To the fullest extent permitted by law, any dispute regarding the scope of this general release shall be determined by an arbitrator under the procedures set forth in the arbitration clause below.</w:t>
      </w:r>
    </w:p>
    <w:p>
      <w:pPr>
        <w:spacing w:after="0" w:line="229" w:lineRule="exact"/>
        <w:rPr>
          <w:rFonts w:ascii="Arial" w:cs="Arial" w:eastAsia="Arial" w:hAnsi="Arial"/>
          <w:sz w:val="16"/>
          <w:szCs w:val="16"/>
          <w:color w:val="auto"/>
        </w:rPr>
      </w:pPr>
    </w:p>
    <w:p>
      <w:pPr>
        <w:ind w:left="640" w:hanging="63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40" w:right="80" w:hanging="8"/>
        <w:spacing w:after="0"/>
        <w:tabs>
          <w:tab w:leader="none" w:pos="1267" w:val="left"/>
        </w:tabs>
        <w:numPr>
          <w:ilvl w:val="1"/>
          <w:numId w:val="75"/>
        </w:numPr>
        <w:rPr>
          <w:rFonts w:ascii="Arial" w:cs="Arial" w:eastAsia="Arial" w:hAnsi="Arial"/>
          <w:sz w:val="16"/>
          <w:szCs w:val="16"/>
          <w:color w:val="auto"/>
        </w:rPr>
      </w:pPr>
      <w:r>
        <w:rPr>
          <w:rFonts w:ascii="Arial" w:cs="Arial" w:eastAsia="Arial" w:hAnsi="Arial"/>
          <w:sz w:val="16"/>
          <w:szCs w:val="16"/>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spacing w:after="0" w:line="231" w:lineRule="exact"/>
        <w:rPr>
          <w:rFonts w:ascii="Arial" w:cs="Arial" w:eastAsia="Arial" w:hAnsi="Arial"/>
          <w:sz w:val="16"/>
          <w:szCs w:val="16"/>
          <w:color w:val="auto"/>
        </w:rPr>
      </w:pPr>
    </w:p>
    <w:p>
      <w:pPr>
        <w:ind w:left="640" w:hanging="8"/>
        <w:spacing w:after="0"/>
        <w:tabs>
          <w:tab w:leader="none" w:pos="1267"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Nothing in this section shall prohibit you from filing a charge or complaint with a government 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spacing w:after="0" w:line="231" w:lineRule="exact"/>
        <w:rPr>
          <w:rFonts w:ascii="Arial" w:cs="Arial" w:eastAsia="Arial" w:hAnsi="Arial"/>
          <w:sz w:val="16"/>
          <w:szCs w:val="16"/>
          <w:color w:val="auto"/>
        </w:rPr>
      </w:pPr>
    </w:p>
    <w:p>
      <w:pPr>
        <w:ind w:left="640" w:right="680" w:hanging="8"/>
        <w:spacing w:after="0" w:line="243" w:lineRule="auto"/>
        <w:tabs>
          <w:tab w:leader="none" w:pos="1259"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228" w:lineRule="exact"/>
        <w:rPr>
          <w:rFonts w:ascii="Arial" w:cs="Arial" w:eastAsia="Arial" w:hAnsi="Arial"/>
          <w:sz w:val="16"/>
          <w:szCs w:val="16"/>
          <w:color w:val="auto"/>
        </w:rPr>
      </w:pPr>
    </w:p>
    <w:p>
      <w:pPr>
        <w:ind w:right="220" w:firstLine="5"/>
        <w:spacing w:after="0" w:line="265" w:lineRule="auto"/>
        <w:tabs>
          <w:tab w:leader="none" w:pos="627"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spacing w:after="0" w:line="211" w:lineRule="exact"/>
        <w:rPr>
          <w:rFonts w:ascii="Arial" w:cs="Arial" w:eastAsia="Arial" w:hAnsi="Arial"/>
          <w:sz w:val="15"/>
          <w:szCs w:val="15"/>
          <w:color w:val="auto"/>
        </w:rPr>
      </w:pPr>
    </w:p>
    <w:p>
      <w:pPr>
        <w:ind w:left="620" w:hanging="615"/>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Except for any claim for injunctive relief arising out of a breach of a party’s obligations to protect the other’s proprietary information, the</w:t>
      </w:r>
    </w:p>
    <w:p>
      <w:pPr>
        <w:spacing w:after="0" w:line="239" w:lineRule="auto"/>
        <w:rPr>
          <w:sz w:val="20"/>
          <w:szCs w:val="20"/>
          <w:color w:val="auto"/>
        </w:rPr>
      </w:pPr>
      <w:r>
        <w:rPr>
          <w:rFonts w:ascii="Arial" w:cs="Arial" w:eastAsia="Arial" w:hAnsi="Arial"/>
          <w:sz w:val="16"/>
          <w:szCs w:val="16"/>
          <w:color w:val="auto"/>
        </w:rPr>
        <w:t>parties agree to arbitrate, in County, New York,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-598805</wp:posOffset>
            </wp:positionV>
            <wp:extent cx="1104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ectPr>
          <w:pgSz w:w="11900" w:h="16838" w:orient="portrait"/>
          <w:cols w:equalWidth="0" w:num="1">
            <w:col w:w="11220"/>
          </w:cols>
          <w:pgMar w:left="320" w:top="1396" w:right="359" w:bottom="1440" w:gutter="0" w:footer="0" w:header="0"/>
        </w:sectPr>
      </w:pPr>
    </w:p>
    <w:bookmarkStart w:id="154" w:name="page155"/>
    <w:bookmarkEnd w:id="154"/>
    <w:p>
      <w:pPr>
        <w:spacing w:after="0" w:line="244" w:lineRule="exact"/>
        <w:rPr>
          <w:sz w:val="20"/>
          <w:szCs w:val="20"/>
          <w:color w:val="auto"/>
        </w:rPr>
      </w:pPr>
    </w:p>
    <w:p>
      <w:pPr>
        <w:ind w:right="160" w:firstLine="631"/>
        <w:spacing w:after="0" w:line="224"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205" w:lineRule="exact"/>
        <w:rPr>
          <w:rFonts w:ascii="Arial" w:cs="Arial" w:eastAsia="Arial" w:hAnsi="Arial"/>
          <w:sz w:val="16"/>
          <w:szCs w:val="16"/>
          <w:color w:val="auto"/>
        </w:rPr>
      </w:pPr>
    </w:p>
    <w:p>
      <w:pPr>
        <w:ind w:right="180" w:firstLine="631"/>
        <w:spacing w:after="0" w:line="214"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219" w:lineRule="exact"/>
        <w:rPr>
          <w:rFonts w:ascii="Arial" w:cs="Arial" w:eastAsia="Arial" w:hAnsi="Arial"/>
          <w:sz w:val="16"/>
          <w:szCs w:val="16"/>
          <w:color w:val="auto"/>
        </w:rPr>
      </w:pPr>
    </w:p>
    <w:p>
      <w:pPr>
        <w:ind w:firstLine="631"/>
        <w:spacing w:after="0" w:line="214"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219" w:lineRule="exact"/>
        <w:rPr>
          <w:rFonts w:ascii="Arial" w:cs="Arial" w:eastAsia="Arial" w:hAnsi="Arial"/>
          <w:sz w:val="16"/>
          <w:szCs w:val="16"/>
          <w:color w:val="auto"/>
        </w:rPr>
      </w:pPr>
    </w:p>
    <w:p>
      <w:pPr>
        <w:ind w:firstLine="631"/>
        <w:spacing w:after="0" w:line="211"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Complete and Voluntary Agreement</w:t>
      </w:r>
      <w:r>
        <w:rPr>
          <w:rFonts w:ascii="Arial" w:cs="Arial" w:eastAsia="Arial" w:hAnsi="Arial"/>
          <w:sz w:val="16"/>
          <w:szCs w:val="16"/>
          <w:color w:val="auto"/>
        </w:rPr>
        <w:t>: This Agreement, together with Exhibit A hereto and any equity award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218" w:lineRule="exact"/>
        <w:rPr>
          <w:rFonts w:ascii="Arial" w:cs="Arial" w:eastAsia="Arial" w:hAnsi="Arial"/>
          <w:sz w:val="16"/>
          <w:szCs w:val="16"/>
          <w:color w:val="auto"/>
        </w:rPr>
      </w:pPr>
    </w:p>
    <w:p>
      <w:pPr>
        <w:ind w:right="100" w:firstLine="631"/>
        <w:spacing w:after="0" w:line="214"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206" w:lineRule="exact"/>
        <w:rPr>
          <w:rFonts w:ascii="Arial" w:cs="Arial" w:eastAsia="Arial" w:hAnsi="Arial"/>
          <w:sz w:val="16"/>
          <w:szCs w:val="16"/>
          <w:color w:val="auto"/>
        </w:rPr>
      </w:pPr>
    </w:p>
    <w:p>
      <w:pPr>
        <w:ind w:right="140" w:firstLine="631"/>
        <w:spacing w:after="0" w:line="212"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Modification; Counterparts; Facsimile/PDF Signatures</w:t>
      </w:r>
      <w:r>
        <w:rPr>
          <w:rFonts w:ascii="Arial" w:cs="Arial" w:eastAsia="Arial" w:hAnsi="Arial"/>
          <w:sz w:val="16"/>
          <w:szCs w:val="16"/>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206" w:lineRule="exact"/>
        <w:rPr>
          <w:rFonts w:ascii="Arial" w:cs="Arial" w:eastAsia="Arial" w:hAnsi="Arial"/>
          <w:sz w:val="16"/>
          <w:szCs w:val="16"/>
          <w:color w:val="auto"/>
        </w:rPr>
      </w:pPr>
    </w:p>
    <w:p>
      <w:pPr>
        <w:ind w:left="20" w:right="100" w:firstLine="620"/>
        <w:spacing w:after="0" w:line="214" w:lineRule="auto"/>
        <w:tabs>
          <w:tab w:leader="none" w:pos="125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Review of Separation Agreement</w:t>
      </w:r>
      <w:r>
        <w:rPr>
          <w:rFonts w:ascii="Arial" w:cs="Arial" w:eastAsia="Arial" w:hAnsi="Arial"/>
          <w:sz w:val="16"/>
          <w:szCs w:val="16"/>
          <w:color w:val="auto"/>
        </w:rPr>
        <w:t>: You understand that you may take up to twenty-one (21) days to consider this Agreement and, by signing below, affirm that you were advised to consult with an attorney prior to signing this agreement. You also understand you may revoke this Agreement within seven (7) days of signing this document and that the compensation to be paid to you pursuant to Paragraph 3 will be paid only at the end of that seven (7) day revocation period.</w:t>
      </w:r>
    </w:p>
    <w:p>
      <w:pPr>
        <w:spacing w:after="0" w:line="206" w:lineRule="exact"/>
        <w:rPr>
          <w:rFonts w:ascii="Arial" w:cs="Arial" w:eastAsia="Arial" w:hAnsi="Arial"/>
          <w:sz w:val="16"/>
          <w:szCs w:val="16"/>
          <w:color w:val="auto"/>
        </w:rPr>
      </w:pPr>
    </w:p>
    <w:p>
      <w:pPr>
        <w:ind w:left="1260" w:hanging="620"/>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is effective on the eighth (8th) day after you sign it and without revocation by you.</w:t>
      </w:r>
    </w:p>
    <w:p>
      <w:pPr>
        <w:spacing w:after="0" w:line="208" w:lineRule="exact"/>
        <w:rPr>
          <w:rFonts w:ascii="Arial" w:cs="Arial" w:eastAsia="Arial" w:hAnsi="Arial"/>
          <w:sz w:val="16"/>
          <w:szCs w:val="16"/>
          <w:color w:val="auto"/>
        </w:rPr>
      </w:pPr>
    </w:p>
    <w:p>
      <w:pPr>
        <w:ind w:left="1260" w:hanging="620"/>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221" w:lineRule="exact"/>
        <w:rPr>
          <w:sz w:val="20"/>
          <w:szCs w:val="20"/>
          <w:color w:val="auto"/>
        </w:rPr>
      </w:pPr>
    </w:p>
    <w:p>
      <w:pPr>
        <w:ind w:right="320" w:firstLine="626"/>
        <w:spacing w:after="0" w:line="224" w:lineRule="auto"/>
        <w:rPr>
          <w:sz w:val="20"/>
          <w:szCs w:val="20"/>
          <w:color w:val="auto"/>
        </w:rPr>
      </w:pPr>
      <w:r>
        <w:rPr>
          <w:rFonts w:ascii="Arial" w:cs="Arial" w:eastAsia="Arial" w:hAnsi="Arial"/>
          <w:sz w:val="16"/>
          <w:szCs w:val="16"/>
          <w:color w:val="auto"/>
        </w:rPr>
        <w:t>If you agree to abide by the terms outlined in this letter, please sign this letter below and also sign the attached copy and return it to me. I wish you the best in your future endeavors.</w:t>
      </w:r>
    </w:p>
    <w:p>
      <w:pPr>
        <w:spacing w:after="0" w:line="297"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Sincerely,</w:t>
      </w:r>
    </w:p>
    <w:p>
      <w:pPr>
        <w:spacing w:after="0" w:line="16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MongoDB, Inc.</w:t>
      </w:r>
    </w:p>
    <w:p>
      <w:pPr>
        <w:spacing w:after="0" w:line="156"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By: _______________________________</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[Name and title of person signing on behalf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READ, UNDERSTOOD AND AGREED</w:t>
      </w:r>
    </w:p>
    <w:p>
      <w:pPr>
        <w:spacing w:after="0" w:line="200" w:lineRule="exact"/>
        <w:rPr>
          <w:sz w:val="20"/>
          <w:szCs w:val="20"/>
          <w:color w:val="auto"/>
        </w:rPr>
      </w:pPr>
    </w:p>
    <w:p>
      <w:pPr>
        <w:spacing w:after="0" w:line="223"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Michael Gordon:</w:t>
      </w:r>
      <w:r>
        <w:rPr>
          <w:rFonts w:ascii="Arial" w:cs="Arial" w:eastAsia="Arial" w:hAnsi="Arial"/>
          <w:sz w:val="16"/>
          <w:szCs w:val="16"/>
          <w:b w:val="1"/>
          <w:bCs w:val="1"/>
          <w:color w:val="auto"/>
        </w:rPr>
        <w:t>________________________________</w:t>
      </w:r>
      <w:r>
        <w:rPr>
          <w:sz w:val="20"/>
          <w:szCs w:val="20"/>
          <w:color w:val="auto"/>
        </w:rPr>
        <w:tab/>
      </w:r>
      <w:r>
        <w:rPr>
          <w:rFonts w:ascii="Arial" w:cs="Arial" w:eastAsia="Arial" w:hAnsi="Arial"/>
          <w:sz w:val="15"/>
          <w:szCs w:val="15"/>
          <w:color w:val="auto"/>
        </w:rPr>
        <w:t>Date:</w:t>
      </w:r>
      <w:r>
        <w:rPr>
          <w:rFonts w:ascii="Arial" w:cs="Arial" w:eastAsia="Arial" w:hAnsi="Arial"/>
          <w:sz w:val="15"/>
          <w:szCs w:val="15"/>
          <w:b w:val="1"/>
          <w:bCs w:val="1"/>
          <w:color w:val="auto"/>
        </w:rPr>
        <w:t>______________________________</w:t>
      </w:r>
    </w:p>
    <w:p>
      <w:pPr>
        <w:sectPr>
          <w:pgSz w:w="11900" w:h="16838" w:orient="portrait"/>
          <w:cols w:equalWidth="0" w:num="1">
            <w:col w:w="11080"/>
          </w:cols>
          <w:pgMar w:left="320" w:top="1440" w:right="499" w:bottom="1440" w:gutter="0" w:footer="0" w:header="0"/>
        </w:sectPr>
      </w:pPr>
    </w:p>
    <w:bookmarkStart w:id="155" w:name="page156"/>
    <w:bookmarkEnd w:id="155"/>
    <w:p>
      <w:pPr>
        <w:ind w:left="10180"/>
        <w:spacing w:after="0"/>
        <w:rPr>
          <w:sz w:val="20"/>
          <w:szCs w:val="20"/>
          <w:color w:val="auto"/>
        </w:rPr>
      </w:pPr>
      <w:r>
        <w:rPr>
          <w:rFonts w:ascii="Arial" w:cs="Arial" w:eastAsia="Arial" w:hAnsi="Arial"/>
          <w:sz w:val="17"/>
          <w:szCs w:val="17"/>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EMPLOYMENT AGREEMENT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84"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MongoDB Switzerland GmbH, c/o Curator &amp; Horwath AG, Zweigniederlassung Zug, Industriestrasse 7, 6300 Zug, a company registered under the laws of Switzerland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(hereafter the "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Cedric Pech</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(hereafter the "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right="20" w:firstLine="601"/>
        <w:spacing w:after="0" w:line="25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Employee and the Company previously entered into an employment agreement, with an effective date of February 11,</w:t>
      </w:r>
      <w:r>
        <w:rPr>
          <w:rFonts w:ascii="Arial" w:cs="Arial" w:eastAsia="Arial" w:hAnsi="Arial"/>
          <w:sz w:val="17"/>
          <w:szCs w:val="17"/>
          <w:b w:val="1"/>
          <w:bCs w:val="1"/>
          <w:color w:val="auto"/>
        </w:rPr>
        <w:t xml:space="preserve"> </w:t>
      </w:r>
      <w:r>
        <w:rPr>
          <w:rFonts w:ascii="Arial" w:cs="Arial" w:eastAsia="Arial" w:hAnsi="Arial"/>
          <w:sz w:val="17"/>
          <w:szCs w:val="17"/>
          <w:color w:val="auto"/>
        </w:rPr>
        <w:t>2019 (the “</w:t>
      </w:r>
      <w:r>
        <w:rPr>
          <w:rFonts w:ascii="Arial" w:cs="Arial" w:eastAsia="Arial" w:hAnsi="Arial"/>
          <w:sz w:val="17"/>
          <w:szCs w:val="17"/>
          <w:b w:val="1"/>
          <w:bCs w:val="1"/>
          <w:color w:val="auto"/>
        </w:rPr>
        <w:t>2019 Agreement</w:t>
      </w:r>
      <w:r>
        <w:rPr>
          <w:rFonts w:ascii="Arial" w:cs="Arial" w:eastAsia="Arial" w:hAnsi="Arial"/>
          <w:sz w:val="17"/>
          <w:szCs w:val="17"/>
          <w:color w:val="auto"/>
        </w:rPr>
        <w:t>”); and</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now desire to amend and restate the 2019 Agreement on the terms and conditions set forth herein.</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contained herein, it has been agreed by and between the parties as</w:t>
      </w:r>
    </w:p>
    <w:p>
      <w:pPr>
        <w:ind w:left="20"/>
        <w:spacing w:after="0"/>
        <w:rPr>
          <w:sz w:val="20"/>
          <w:szCs w:val="20"/>
          <w:color w:val="auto"/>
        </w:rPr>
      </w:pPr>
      <w:r>
        <w:rPr>
          <w:rFonts w:ascii="Arial" w:cs="Arial" w:eastAsia="Arial" w:hAnsi="Arial"/>
          <w:sz w:val="17"/>
          <w:szCs w:val="17"/>
          <w:color w:val="auto"/>
        </w:rPr>
        <w:t>follows:</w:t>
      </w:r>
    </w:p>
    <w:p>
      <w:pPr>
        <w:spacing w:after="0" w:line="122" w:lineRule="exact"/>
        <w:rPr>
          <w:sz w:val="20"/>
          <w:szCs w:val="20"/>
          <w:color w:val="auto"/>
        </w:rPr>
      </w:pPr>
    </w:p>
    <w:p>
      <w:pPr>
        <w:ind w:left="760" w:hanging="738"/>
        <w:spacing w:after="0"/>
        <w:tabs>
          <w:tab w:leader="none" w:pos="7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POSITION/SPHERE OF ACTIVITY</w:t>
      </w:r>
    </w:p>
    <w:p>
      <w:pPr>
        <w:spacing w:after="0" w:line="153"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34"/>
          <w:szCs w:val="34"/>
          <w:color w:val="auto"/>
          <w:vertAlign w:val="superscript"/>
        </w:rPr>
        <w:t>1.1.</w:t>
      </w:r>
      <w:r>
        <w:rPr>
          <w:sz w:val="20"/>
          <w:szCs w:val="20"/>
          <w:color w:val="auto"/>
        </w:rPr>
        <w:tab/>
      </w:r>
      <w:r>
        <w:rPr>
          <w:rFonts w:ascii="Arial" w:cs="Arial" w:eastAsia="Arial" w:hAnsi="Arial"/>
          <w:sz w:val="17"/>
          <w:szCs w:val="17"/>
          <w:color w:val="auto"/>
        </w:rPr>
        <w:t xml:space="preserve">The Employee is employed by the Company as Chief Revenue Officer of MongoDB, Inc., the U.S. parent of the Company (“ </w:t>
      </w:r>
      <w:r>
        <w:rPr>
          <w:rFonts w:ascii="Arial" w:cs="Arial" w:eastAsia="Arial" w:hAnsi="Arial"/>
          <w:sz w:val="17"/>
          <w:szCs w:val="17"/>
          <w:b w:val="1"/>
          <w:bCs w:val="1"/>
          <w:color w:val="auto"/>
        </w:rPr>
        <w:t>Parent</w:t>
      </w:r>
      <w:r>
        <w:rPr>
          <w:rFonts w:ascii="Arial" w:cs="Arial" w:eastAsia="Arial" w:hAnsi="Arial"/>
          <w:sz w:val="17"/>
          <w:szCs w:val="17"/>
          <w:color w:val="auto"/>
        </w:rPr>
        <w:t xml:space="preserve"> ”).</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80" w:type="dxa"/>
            <w:vAlign w:val="bottom"/>
          </w:tcPr>
          <w:p>
            <w:pPr>
              <w:jc w:val="right"/>
              <w:ind w:right="93"/>
              <w:spacing w:after="0"/>
              <w:rPr>
                <w:sz w:val="20"/>
                <w:szCs w:val="20"/>
                <w:color w:val="auto"/>
              </w:rPr>
            </w:pPr>
            <w:r>
              <w:rPr>
                <w:rFonts w:ascii="Arial" w:cs="Arial" w:eastAsia="Arial" w:hAnsi="Arial"/>
                <w:sz w:val="17"/>
                <w:szCs w:val="17"/>
                <w:color w:val="auto"/>
                <w:w w:val="98"/>
              </w:rPr>
              <w:t>1.2.</w:t>
            </w:r>
          </w:p>
        </w:tc>
        <w:tc>
          <w:tcPr>
            <w:tcW w:w="5040" w:type="dxa"/>
            <w:vAlign w:val="bottom"/>
            <w:vMerge w:val="restart"/>
          </w:tcPr>
          <w:p>
            <w:pPr>
              <w:ind w:left="200"/>
              <w:spacing w:after="0"/>
              <w:rPr>
                <w:sz w:val="20"/>
                <w:szCs w:val="20"/>
                <w:color w:val="auto"/>
              </w:rPr>
            </w:pPr>
            <w:r>
              <w:rPr>
                <w:rFonts w:ascii="Arial" w:cs="Arial" w:eastAsia="Arial" w:hAnsi="Arial"/>
                <w:sz w:val="17"/>
                <w:szCs w:val="17"/>
                <w:color w:val="auto"/>
              </w:rPr>
              <w:t>The Employee shall report to Chief Executive Officer of Parent.</w:t>
            </w:r>
          </w:p>
        </w:tc>
        <w:tc>
          <w:tcPr>
            <w:tcW w:w="0" w:type="dxa"/>
            <w:vAlign w:val="bottom"/>
          </w:tcPr>
          <w:p>
            <w:pPr>
              <w:spacing w:after="0"/>
              <w:rPr>
                <w:sz w:val="1"/>
                <w:szCs w:val="1"/>
                <w:color w:val="auto"/>
              </w:rPr>
            </w:pPr>
          </w:p>
        </w:tc>
      </w:tr>
      <w:tr>
        <w:trPr>
          <w:trHeight w:val="65"/>
        </w:trPr>
        <w:tc>
          <w:tcPr>
            <w:tcW w:w="480" w:type="dxa"/>
            <w:vAlign w:val="bottom"/>
          </w:tcPr>
          <w:p>
            <w:pPr>
              <w:spacing w:after="0"/>
              <w:rPr>
                <w:sz w:val="5"/>
                <w:szCs w:val="5"/>
                <w:color w:val="auto"/>
              </w:rPr>
            </w:pP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760" w:right="20" w:hanging="744"/>
        <w:spacing w:after="0" w:line="232" w:lineRule="auto"/>
        <w:tabs>
          <w:tab w:leader="none" w:pos="7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Employee's main duties and responsibilities shall consist in particular in Management of Parent’s sales organization including Recruiting, Development and Execution.</w:t>
      </w:r>
    </w:p>
    <w:p>
      <w:pPr>
        <w:spacing w:after="0" w:line="119" w:lineRule="exact"/>
        <w:rPr>
          <w:sz w:val="20"/>
          <w:szCs w:val="20"/>
          <w:color w:val="auto"/>
        </w:rPr>
      </w:pPr>
    </w:p>
    <w:p>
      <w:pPr>
        <w:ind w:left="740" w:right="20" w:hanging="718"/>
        <w:spacing w:after="0" w:line="232" w:lineRule="auto"/>
        <w:tabs>
          <w:tab w:leader="none" w:pos="7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The Company reserves its right to assign to the Employee, from time to time, other duties and responsibilities that are in line with his education and expertise.</w:t>
      </w:r>
    </w:p>
    <w:p>
      <w:pPr>
        <w:spacing w:after="0" w:line="110" w:lineRule="exact"/>
        <w:rPr>
          <w:sz w:val="20"/>
          <w:szCs w:val="20"/>
          <w:color w:val="auto"/>
        </w:rPr>
      </w:pPr>
    </w:p>
    <w:p>
      <w:pPr>
        <w:ind w:left="740" w:hanging="718"/>
        <w:spacing w:after="0"/>
        <w:tabs>
          <w:tab w:leader="none" w:pos="7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DUTIES</w:t>
      </w:r>
    </w:p>
    <w:p>
      <w:pPr>
        <w:spacing w:after="0" w:line="16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Employee shall promote the affairs of the Company diligently and carefully and shall safeguard the interests of the Company.</w:t>
      </w:r>
    </w:p>
    <w:p>
      <w:pPr>
        <w:spacing w:after="0" w:line="131" w:lineRule="exact"/>
        <w:rPr>
          <w:sz w:val="20"/>
          <w:szCs w:val="20"/>
          <w:color w:val="auto"/>
        </w:rPr>
      </w:pPr>
    </w:p>
    <w:p>
      <w:pPr>
        <w:jc w:val="both"/>
        <w:ind w:left="740" w:right="20" w:hanging="718"/>
        <w:spacing w:after="0"/>
        <w:tabs>
          <w:tab w:leader="none" w:pos="7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Employee may be required to provide confirmation of his eligibility to work in Switzerland. This will include a copy of his passport and, if necessary, of his work permit. Employment with the Company is strictly conditional upon the Employee's eligibility to work in Switzerland.</w:t>
      </w:r>
    </w:p>
    <w:p>
      <w:pPr>
        <w:spacing w:after="0" w:line="289" w:lineRule="exact"/>
        <w:rPr>
          <w:sz w:val="20"/>
          <w:szCs w:val="20"/>
          <w:color w:val="auto"/>
        </w:rPr>
      </w:pPr>
    </w:p>
    <w:p>
      <w:pPr>
        <w:jc w:val="both"/>
        <w:ind w:left="740" w:right="20" w:hanging="718"/>
        <w:spacing w:after="0" w:line="265" w:lineRule="auto"/>
        <w:tabs>
          <w:tab w:leader="none" w:pos="7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The Employee shall devote his full working energy to the benefit of his role as per this Agreement. The exercise of any other professional or business activity for the Employee's own account or for the account of a third party, whether this work is remunerated or not, requires the prior written approval of the Company.</w:t>
      </w:r>
    </w:p>
    <w:p>
      <w:pPr>
        <w:spacing w:after="0" w:line="150" w:lineRule="exact"/>
        <w:rPr>
          <w:sz w:val="20"/>
          <w:szCs w:val="20"/>
          <w:color w:val="auto"/>
        </w:rPr>
      </w:pPr>
    </w:p>
    <w:p>
      <w:pPr>
        <w:jc w:val="both"/>
        <w:ind w:left="740" w:right="20" w:hanging="718"/>
        <w:spacing w:after="0" w:line="220" w:lineRule="auto"/>
        <w:tabs>
          <w:tab w:leader="none" w:pos="7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The Employee represents and warrants that (i) neither the execution of this Agreement, nor his employment by the Company violates any restriction, contractual or otherwise, to which he is subject, notably related to any previous employment, and (ii) he is not subject to any restriction, contractual or otherwise, that might interfere with the performance of his duties to the Company once he commences employment.</w:t>
      </w:r>
    </w:p>
    <w:p>
      <w:pPr>
        <w:sectPr>
          <w:pgSz w:w="11900" w:h="16838" w:orient="portrait"/>
          <w:cols w:equalWidth="0" w:num="1">
            <w:col w:w="11240"/>
          </w:cols>
          <w:pgMar w:left="320" w:top="104" w:right="339" w:bottom="1440" w:gutter="0" w:footer="0" w:header="0"/>
        </w:sectPr>
      </w:pPr>
    </w:p>
    <w:bookmarkStart w:id="156" w:name="page157"/>
    <w:bookmarkEnd w:id="156"/>
    <w:p>
      <w:pPr>
        <w:ind w:left="20"/>
        <w:spacing w:after="0"/>
        <w:tabs>
          <w:tab w:leader="none" w:pos="7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The Employee acknowledges that the Company is part of a multinational group of companies with a parent company in the U.S.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Employee's responsibilities, functions, duties and powers have to be exercised in compliance with Swiss law and any other applicable law, including but not limited to the anti-corruption and anti-bribery provisions in the U.S. Foreign Corrupt Practices Act, the Company's articles of incorporation as well as in accordance with the specific strategies, policies and directives issued by the Company.</w:t>
      </w:r>
    </w:p>
    <w:p>
      <w:pPr>
        <w:spacing w:after="0" w:line="71" w:lineRule="exact"/>
        <w:rPr>
          <w:sz w:val="20"/>
          <w:szCs w:val="20"/>
          <w:color w:val="auto"/>
        </w:rPr>
      </w:pPr>
    </w:p>
    <w:p>
      <w:pPr>
        <w:jc w:val="both"/>
        <w:ind w:left="740" w:right="20" w:hanging="718"/>
        <w:spacing w:after="0" w:line="224" w:lineRule="auto"/>
        <w:tabs>
          <w:tab w:leader="none" w:pos="7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Without limiting the foregoing (Clause 2.5), the Employee understands that he may not at any time during the employment with the Company, pay, give, provide, or offer, or promise to pay, give, provide or offer, any money or any other thing of value not legitimately due, directly or indirectly, to, or for the benefit of:</w:t>
      </w:r>
    </w:p>
    <w:p>
      <w:pPr>
        <w:spacing w:after="0" w:line="80" w:lineRule="exact"/>
        <w:rPr>
          <w:sz w:val="20"/>
          <w:szCs w:val="20"/>
          <w:color w:val="auto"/>
        </w:rPr>
      </w:pPr>
    </w:p>
    <w:p>
      <w:pPr>
        <w:ind w:left="1260" w:hanging="628"/>
        <w:spacing w:after="0"/>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government or public official, political party, candidate for political office, or public international organization; or</w:t>
      </w:r>
    </w:p>
    <w:p>
      <w:pPr>
        <w:spacing w:after="0" w:line="13" w:lineRule="exact"/>
        <w:rPr>
          <w:rFonts w:ascii="Arial" w:cs="Arial" w:eastAsia="Arial" w:hAnsi="Arial"/>
          <w:sz w:val="17"/>
          <w:szCs w:val="17"/>
          <w:color w:val="auto"/>
        </w:rPr>
      </w:pPr>
    </w:p>
    <w:p>
      <w:pPr>
        <w:jc w:val="both"/>
        <w:ind w:left="640" w:hanging="8"/>
        <w:spacing w:after="0" w:line="262" w:lineRule="auto"/>
        <w:tabs>
          <w:tab w:leader="none" w:pos="1262"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other person, firm, corporation or other entity, with the knowledge that some or all of that money or other thing of value will be paid, given, offered or promised to a government or public official, political party, candidate for political office, or public international organization, for the purpose of obtaining or retaining any business, or to obtain any other unfair advantage, in connection with the Company's business.</w:t>
      </w:r>
    </w:p>
    <w:p>
      <w:pPr>
        <w:spacing w:after="0" w:line="22" w:lineRule="exact"/>
        <w:rPr>
          <w:sz w:val="20"/>
          <w:szCs w:val="20"/>
          <w:color w:val="auto"/>
        </w:rPr>
      </w:pPr>
    </w:p>
    <w:p>
      <w:pPr>
        <w:jc w:val="both"/>
        <w:ind w:left="740" w:right="20" w:hanging="718"/>
        <w:spacing w:after="0" w:line="258" w:lineRule="auto"/>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The Employee is not allowed to bind the Company or any of its affiliated companies towards third parties, as he does not have any power or authority to represent the Company or any of its affiliated companies. More in particular, the Employee does not have any authority to negotiate any contract on behalf of the Company or any of its affiliated companies, nor does the Employee have authority or power to enter into contracts of any kind and nature on behalf of the Company or any of its affiliated companies. Furthermore, the Employee does not have any authority to sign and accept any sales orders on behalf of the Company or any of its affiliated companies. Any contracts shall be negotiated by the Company or its affiliated company, as appropriate. Any contracts and sales orders shall be approved by a duly authorized officer of the Company or its affiliated company, as appropriate. For sake of clarity any customer contracts can only be negotiated, entered into and approved by Parent or the Company’s affiliate MongoDB Limited (Ireland) and any sales orders from customers can only be accepted and approved by Parent or the Company’s affiliate MongoDB Limited (Ireland). Furthermore, during his employment, the Employee must not have any financial interest in, or derive any financial or other benefit from, contracts or transactions with any third party entered into by the Company or any affiliated company or a group company for which he has performed services under this Agreement without prior disclosure of such interest or benefit to the Company and obtaining written approval of the Company.</w:t>
      </w:r>
    </w:p>
    <w:p>
      <w:pPr>
        <w:spacing w:after="0" w:line="249" w:lineRule="exact"/>
        <w:rPr>
          <w:sz w:val="20"/>
          <w:szCs w:val="20"/>
          <w:color w:val="auto"/>
        </w:rPr>
      </w:pPr>
    </w:p>
    <w:p>
      <w:pPr>
        <w:jc w:val="both"/>
        <w:ind w:left="740" w:right="20" w:hanging="718"/>
        <w:spacing w:after="0" w:line="233" w:lineRule="auto"/>
        <w:tabs>
          <w:tab w:leader="none" w:pos="7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color w:val="auto"/>
        </w:rPr>
        <w:t>In case of discrepancy between one or several provisions of this Agreement and any regulations, rules or directives issued from time to time by the Company, the provision(s) of this Agreement shall prevail.</w:t>
      </w:r>
    </w:p>
    <w:p>
      <w:pPr>
        <w:spacing w:after="0" w:line="343" w:lineRule="exact"/>
        <w:rPr>
          <w:sz w:val="20"/>
          <w:szCs w:val="20"/>
          <w:color w:val="auto"/>
        </w:rPr>
      </w:pPr>
    </w:p>
    <w:p>
      <w:pPr>
        <w:ind w:left="760" w:hanging="738"/>
        <w:spacing w:after="0"/>
        <w:tabs>
          <w:tab w:leader="none" w:pos="76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DURATION AND TERMINATION OF THIS AGREEMENT</w:t>
      </w:r>
    </w:p>
    <w:p>
      <w:pPr>
        <w:spacing w:after="0" w:line="157" w:lineRule="exact"/>
        <w:rPr>
          <w:sz w:val="20"/>
          <w:szCs w:val="20"/>
          <w:color w:val="auto"/>
        </w:rPr>
      </w:pPr>
    </w:p>
    <w:p>
      <w:pPr>
        <w:ind w:left="740" w:right="20" w:hanging="718"/>
        <w:spacing w:after="0" w:line="301" w:lineRule="auto"/>
        <w:tabs>
          <w:tab w:leader="none" w:pos="7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 xml:space="preserve">This Agreement becomes effective on the date of the last signature affixed hereto (the "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 with recognized seniority since July 3, 2017.</w:t>
      </w:r>
    </w:p>
    <w:p>
      <w:pPr>
        <w:spacing w:after="0" w:line="94" w:lineRule="exact"/>
        <w:rPr>
          <w:sz w:val="20"/>
          <w:szCs w:val="20"/>
          <w:color w:val="auto"/>
        </w:rPr>
      </w:pPr>
    </w:p>
    <w:p>
      <w:pPr>
        <w:ind w:left="740" w:right="20" w:hanging="718"/>
        <w:spacing w:after="0" w:line="232" w:lineRule="auto"/>
        <w:tabs>
          <w:tab w:leader="none" w:pos="7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This Agreement is concluded for an indefinite period of time, but ends without notice at the end of the month during which the Employee reaches retirement age, as defined by Swiss law.</w:t>
      </w:r>
    </w:p>
    <w:p>
      <w:pPr>
        <w:spacing w:after="0" w:line="132" w:lineRule="exact"/>
        <w:rPr>
          <w:sz w:val="20"/>
          <w:szCs w:val="20"/>
          <w:color w:val="auto"/>
        </w:rPr>
      </w:pPr>
    </w:p>
    <w:p>
      <w:pPr>
        <w:ind w:left="740" w:right="20" w:hanging="718"/>
        <w:spacing w:after="0"/>
        <w:tabs>
          <w:tab w:leader="none" w:pos="7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Agreement may further be immediately terminated for valid reasons pursuant to Article 337 and seq. of the Swiss Code of Obligations.</w:t>
      </w:r>
    </w:p>
    <w:p>
      <w:pPr>
        <w:spacing w:after="0" w:line="300"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The Company is entitled to place the Employee on garden leave during part or all the notice period.</w:t>
      </w:r>
    </w:p>
    <w:p>
      <w:pPr>
        <w:sectPr>
          <w:pgSz w:w="11900" w:h="16838" w:orient="portrait"/>
          <w:cols w:equalWidth="0" w:num="1">
            <w:col w:w="11240"/>
          </w:cols>
          <w:pgMar w:left="320" w:top="1433" w:right="339" w:bottom="1440" w:gutter="0" w:footer="0" w:header="0"/>
        </w:sectPr>
      </w:pPr>
    </w:p>
    <w:bookmarkStart w:id="157" w:name="page158"/>
    <w:bookmarkEnd w:id="157"/>
    <w:p>
      <w:pPr>
        <w:jc w:val="both"/>
        <w:ind w:left="720" w:hanging="718"/>
        <w:spacing w:after="0" w:line="258" w:lineRule="auto"/>
        <w:tabs>
          <w:tab w:leader="none" w:pos="70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 xml:space="preserve">In the event the Employee’s employment is terminated by the Company without “Cause” (as defined below) (and other than as a result of death or disability), or the Employee terminate the Employee’s employment with the Company for “Good Reason” (as defined below) (collectively, an “ </w:t>
      </w:r>
      <w:r>
        <w:rPr>
          <w:rFonts w:ascii="Arial" w:cs="Arial" w:eastAsia="Arial" w:hAnsi="Arial"/>
          <w:sz w:val="17"/>
          <w:szCs w:val="17"/>
          <w:b w:val="1"/>
          <w:bCs w:val="1"/>
          <w:color w:val="auto"/>
        </w:rPr>
        <w:t>Involuntary Termination</w:t>
      </w:r>
      <w:r>
        <w:rPr>
          <w:rFonts w:ascii="Arial" w:cs="Arial" w:eastAsia="Arial" w:hAnsi="Arial"/>
          <w:sz w:val="17"/>
          <w:szCs w:val="17"/>
          <w:color w:val="auto"/>
        </w:rPr>
        <w:t xml:space="preserve"> ”), and provided that the Employee remain in compliance with the terms of this Agreement, the Company will provide the Employee with the following severance benefits (collectively, the “ </w:t>
      </w:r>
      <w:r>
        <w:rPr>
          <w:rFonts w:ascii="Arial" w:cs="Arial" w:eastAsia="Arial" w:hAnsi="Arial"/>
          <w:sz w:val="17"/>
          <w:szCs w:val="17"/>
          <w:b w:val="1"/>
          <w:bCs w:val="1"/>
          <w:color w:val="auto"/>
        </w:rPr>
        <w:t>Severance Benefits</w:t>
      </w:r>
      <w:r>
        <w:rPr>
          <w:rFonts w:ascii="Arial" w:cs="Arial" w:eastAsia="Arial" w:hAnsi="Arial"/>
          <w:sz w:val="17"/>
          <w:szCs w:val="17"/>
          <w:color w:val="auto"/>
        </w:rPr>
        <w:t xml:space="preserve"> ”): (a) an amount equal to six (6) months (minus any notice period required by Swiss law) of the Employee’s then-current annual gross salary as per Clause 6.1 below to be paid in equal instalments on the Company’s normal payroll schedule over the six (6) month period immediately following the date of the Involuntary Termination; and (b) an amount equal to six (6) months of the Employee’s then-current premium for mandatory health insurance to be paid in equal instalments on the Company’s normal payroll schedule over the six (6) month period minus any notice period required by Swiss law immediately following the date of the Involuntary Termination.</w:t>
      </w:r>
    </w:p>
    <w:p>
      <w:pPr>
        <w:spacing w:after="0" w:line="4" w:lineRule="exact"/>
        <w:rPr>
          <w:sz w:val="20"/>
          <w:szCs w:val="20"/>
          <w:color w:val="auto"/>
        </w:rPr>
      </w:pPr>
    </w:p>
    <w:p>
      <w:pPr>
        <w:jc w:val="both"/>
        <w:ind w:left="720"/>
        <w:spacing w:after="0" w:line="258" w:lineRule="auto"/>
        <w:rPr>
          <w:sz w:val="20"/>
          <w:szCs w:val="20"/>
          <w:color w:val="auto"/>
        </w:rPr>
      </w:pPr>
      <w:r>
        <w:rPr>
          <w:rFonts w:ascii="Arial" w:cs="Arial" w:eastAsia="Arial" w:hAnsi="Arial"/>
          <w:sz w:val="17"/>
          <w:szCs w:val="17"/>
          <w:color w:val="auto"/>
        </w:rPr>
        <w:t xml:space="preserve">The receipt of the Severance Benefits or Change in Control Severance Benefits (as defined in Section 7) will be subject to the Employee signing and not revoking a separation agreement and release of claims in a form similar to that attached as Appendix I (as amended to reflect for the reason for the separation and any changes to the law) (the “ </w:t>
      </w:r>
      <w:r>
        <w:rPr>
          <w:rFonts w:ascii="Arial" w:cs="Arial" w:eastAsia="Arial" w:hAnsi="Arial"/>
          <w:sz w:val="17"/>
          <w:szCs w:val="17"/>
          <w:b w:val="1"/>
          <w:bCs w:val="1"/>
          <w:color w:val="auto"/>
        </w:rPr>
        <w:t>Separation Agreement</w:t>
      </w:r>
      <w:r>
        <w:rPr>
          <w:rFonts w:ascii="Arial" w:cs="Arial" w:eastAsia="Arial" w:hAnsi="Arial"/>
          <w:sz w:val="17"/>
          <w:szCs w:val="17"/>
          <w:color w:val="auto"/>
        </w:rPr>
        <w:t xml:space="preserve"> ”) within the time period set forth therein, which will not exceed 50 days from the date of the Employee’s Involuntary Termination (the “ </w:t>
      </w:r>
      <w:r>
        <w:rPr>
          <w:rFonts w:ascii="Arial" w:cs="Arial" w:eastAsia="Arial" w:hAnsi="Arial"/>
          <w:sz w:val="17"/>
          <w:szCs w:val="17"/>
          <w:b w:val="1"/>
          <w:bCs w:val="1"/>
          <w:color w:val="auto"/>
        </w:rPr>
        <w:t>Release Period</w:t>
      </w:r>
      <w:r>
        <w:rPr>
          <w:rFonts w:ascii="Arial" w:cs="Arial" w:eastAsia="Arial" w:hAnsi="Arial"/>
          <w:sz w:val="17"/>
          <w:szCs w:val="17"/>
          <w:color w:val="auto"/>
        </w:rPr>
        <w:t xml:space="preserve"> ”).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The Employee will also resign from all positions and terminate any relationships as an employee, advisor, officer or director with the Company and any of its affiliates, each effective on the date of termination.</w:t>
      </w:r>
    </w:p>
    <w:p>
      <w:pPr>
        <w:spacing w:after="0" w:line="226" w:lineRule="exact"/>
        <w:rPr>
          <w:sz w:val="20"/>
          <w:szCs w:val="20"/>
          <w:color w:val="auto"/>
        </w:rPr>
      </w:pPr>
    </w:p>
    <w:p>
      <w:pPr>
        <w:jc w:val="both"/>
        <w:ind w:left="720"/>
        <w:spacing w:after="0" w:line="258" w:lineRule="auto"/>
        <w:rPr>
          <w:sz w:val="20"/>
          <w:szCs w:val="20"/>
          <w:color w:val="auto"/>
        </w:rPr>
      </w:pPr>
      <w:r>
        <w:rPr>
          <w:rFonts w:ascii="Arial" w:cs="Arial" w:eastAsia="Arial" w:hAnsi="Arial"/>
          <w:sz w:val="17"/>
          <w:szCs w:val="17"/>
          <w:color w:val="auto"/>
        </w:rPr>
        <w:t>“Cause” shall mean termination based upon (i) the Employee’s willful failure to follow lawful directions communicated to the Employee by the Chief Executive Officer of Parent or otherwise to perform the Employee’s duties to the Company or Parent; (ii) the willful or intentional engaging by the Employee in conduct which is injurious to the Company or its reputation, business or business relationships, monetarily or otherwise; (iii) the Employee’s commission of an act of fraud, misappropriation or embezzlement (with respect to the Company or its affiliates, the Company or its affiliates’ business or otherwise), (iv) the Employee’s conviction of, or a plea of guilty or nolo contendere to, a felony or a crime of moral turpitude (meaning an extreme departure from ordinary standards of honesty, good morals, justice or ethics as to be shocking in the moral sense of community); (v) the Employee’s habitual drunkenness or use of illegal substances; (vi) a material breach by the Employee of the Employee’s obligations under this Agreement that is not cured (to the extent curable) within 15 days of the Company providing written notice of such material breach; (vii) the Employee’s commission of an act of gross neglect or gross misconduct in connection with the performance of the Employee’s duties.</w:t>
      </w:r>
    </w:p>
    <w:p>
      <w:pPr>
        <w:spacing w:after="0" w:line="225" w:lineRule="exact"/>
        <w:rPr>
          <w:sz w:val="20"/>
          <w:szCs w:val="20"/>
          <w:color w:val="auto"/>
        </w:rPr>
      </w:pPr>
    </w:p>
    <w:p>
      <w:pPr>
        <w:jc w:val="both"/>
        <w:ind w:left="720"/>
        <w:spacing w:after="0" w:line="259" w:lineRule="auto"/>
        <w:rPr>
          <w:sz w:val="20"/>
          <w:szCs w:val="20"/>
          <w:color w:val="auto"/>
        </w:rPr>
      </w:pPr>
      <w:r>
        <w:rPr>
          <w:rFonts w:ascii="Arial" w:cs="Arial" w:eastAsia="Arial" w:hAnsi="Arial"/>
          <w:sz w:val="17"/>
          <w:szCs w:val="17"/>
          <w:color w:val="auto"/>
        </w:rPr>
        <w:t>“Good Reason” means the following: (i) a material diminution by the Company in the Employee’s title or the nature or scope of the Employee’s responsibilities, duties or authority with the Company; (ii) a material reduction of the Employee’s annual gross salary; or (iii) failure by the Company to ensure that a successor entity assumes this Agreement; provided, however, that to terminate the Employee’s employment for Good Reason, you must (1) provide written notice to Parent’s General Counsel within 30 days after the first occurrence of the event giving rise to Good Reason setting forth the basis for the Employee’s resignation, (2) allow the Company at least 30 days from receipt of such written notice to cure such event, and (3) if such event is not reasonably cured with such period, the Employee’s resignation from all positions the Employee then hold with the Company is effective not later than 60 days after the expiration of the cure period.</w:t>
      </w:r>
    </w:p>
    <w:p>
      <w:pPr>
        <w:spacing w:after="0" w:line="200" w:lineRule="exact"/>
        <w:rPr>
          <w:sz w:val="20"/>
          <w:szCs w:val="20"/>
          <w:color w:val="auto"/>
        </w:rPr>
      </w:pPr>
    </w:p>
    <w:p>
      <w:pPr>
        <w:spacing w:after="0" w:line="262" w:lineRule="exact"/>
        <w:rPr>
          <w:sz w:val="20"/>
          <w:szCs w:val="20"/>
          <w:color w:val="auto"/>
        </w:rPr>
      </w:pPr>
    </w:p>
    <w:p>
      <w:pPr>
        <w:ind w:left="720" w:hanging="718"/>
        <w:spacing w:after="0"/>
        <w:tabs>
          <w:tab w:leader="none" w:pos="72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PLACE OF WORK / HOME OFFICE / WORKING HOURS</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Given his position within the Company, the Employee shall be traveling and performing his activities throughout the assigned countries.</w:t>
      </w:r>
    </w:p>
    <w:p>
      <w:pPr>
        <w:ind w:left="720"/>
        <w:spacing w:after="0"/>
        <w:rPr>
          <w:sz w:val="20"/>
          <w:szCs w:val="20"/>
          <w:color w:val="auto"/>
        </w:rPr>
      </w:pPr>
      <w:r>
        <w:rPr>
          <w:rFonts w:ascii="Arial" w:cs="Arial" w:eastAsia="Arial" w:hAnsi="Arial"/>
          <w:sz w:val="17"/>
          <w:szCs w:val="17"/>
          <w:color w:val="auto"/>
        </w:rPr>
        <w:t>Any travel must comply with the Company’s travel policies in effect at the time of travel.</w:t>
      </w:r>
    </w:p>
    <w:p>
      <w:pPr>
        <w:spacing w:after="0" w:line="131" w:lineRule="exact"/>
        <w:rPr>
          <w:sz w:val="20"/>
          <w:szCs w:val="20"/>
          <w:color w:val="auto"/>
        </w:rPr>
      </w:pPr>
    </w:p>
    <w:p>
      <w:pPr>
        <w:jc w:val="both"/>
        <w:ind w:left="720" w:hanging="718"/>
        <w:spacing w:after="0" w:line="218" w:lineRule="auto"/>
        <w:tabs>
          <w:tab w:leader="none" w:pos="7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Besides the travelling, the Employee's normal place of work is his home in Switzerland. However, the Employee is not authorized to hold out his home office location as a company place of business or list it in any official communication. The Employee does not receive any remuneration from the Company for the home office. The Employee's home is not at the disposal of the Company. When the Employee works from home, he undertakes to carry out his work alone, without the assistance of any family members or other persons not associated with the Company.</w:t>
      </w:r>
    </w:p>
    <w:p>
      <w:pPr>
        <w:spacing w:after="0" w:line="132" w:lineRule="exact"/>
        <w:rPr>
          <w:sz w:val="20"/>
          <w:szCs w:val="20"/>
          <w:color w:val="auto"/>
        </w:rPr>
      </w:pPr>
    </w:p>
    <w:p>
      <w:pPr>
        <w:jc w:val="both"/>
        <w:ind w:left="720" w:hanging="718"/>
        <w:spacing w:after="0" w:line="233" w:lineRule="auto"/>
        <w:tabs>
          <w:tab w:leader="none" w:pos="7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parties may mutually agree to base the Employee at other locations whether temporarily or permanently, in or outside Switzerland, as the needs of the business require. The Employee is not required to conduct any day to day activity in Italy.</w:t>
      </w:r>
    </w:p>
    <w:p>
      <w:pPr>
        <w:sectPr>
          <w:pgSz w:w="11900" w:h="16838" w:orient="portrait"/>
          <w:cols w:equalWidth="0" w:num="1">
            <w:col w:w="11200"/>
          </w:cols>
          <w:pgMar w:left="340" w:top="1432" w:right="359" w:bottom="1440" w:gutter="0" w:footer="0" w:header="0"/>
        </w:sectPr>
      </w:pPr>
    </w:p>
    <w:bookmarkStart w:id="158" w:name="page159"/>
    <w:bookmarkEnd w:id="158"/>
    <w:p>
      <w:pPr>
        <w:jc w:val="both"/>
        <w:ind w:left="720" w:hanging="718"/>
        <w:spacing w:after="0" w:line="258" w:lineRule="auto"/>
        <w:tabs>
          <w:tab w:leader="none" w:pos="70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The Employee shall work on a full-time basis. The Employee's working hours shall be determined based on the actual needs of the Company in accordance with the Employee's position and responsibilities. The Employee acknowledges and accepts that he holds a position of trust or a managerial position and that, given his function, he is expected to work the time necessary to best achieve his work, which supposes that he works at least a minimum of forty (40) hours per week. Given his managerial function or position of trust, it is nevertheless normal that the proper execution of his tasks and responsibilities requires the Employee to provide complementary work hours in addition to the minimum working hours mentioned above, or even to work on Saturdays. The Employee acknowledges and accepts that his remuneration, as defined in this employment contract (Clause 6), constitutes adequate compensation for such complementary work. Therefore, no additional proportional remuneration, nor any overtime payment or compensatory leave, will be due for this complementary work.</w:t>
      </w:r>
    </w:p>
    <w:p>
      <w:pPr>
        <w:spacing w:after="0" w:line="161" w:lineRule="exact"/>
        <w:rPr>
          <w:sz w:val="20"/>
          <w:szCs w:val="20"/>
          <w:color w:val="auto"/>
        </w:rPr>
      </w:pPr>
    </w:p>
    <w:p>
      <w:pPr>
        <w:jc w:val="both"/>
        <w:ind w:left="720" w:hanging="718"/>
        <w:spacing w:after="0" w:line="224" w:lineRule="auto"/>
        <w:tabs>
          <w:tab w:leader="none" w:pos="70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The Employee agrees with a simplified recording of working time in the meaning of Article 73b paragraph 1 of the Employment Ordinance 1 (ArGV 1). The Employee shall keep a record and inform the Company of his daily working hours, in order for the Company and any authority, as the case may be, to ascertain at any time that his working hours comply with Swiss laws.</w:t>
      </w:r>
    </w:p>
    <w:p>
      <w:pPr>
        <w:spacing w:after="0" w:line="119" w:lineRule="exact"/>
        <w:rPr>
          <w:sz w:val="20"/>
          <w:szCs w:val="20"/>
          <w:color w:val="auto"/>
        </w:rPr>
      </w:pPr>
    </w:p>
    <w:p>
      <w:pPr>
        <w:jc w:val="both"/>
        <w:ind w:left="720" w:hanging="718"/>
        <w:spacing w:after="0" w:line="218" w:lineRule="auto"/>
        <w:tabs>
          <w:tab w:leader="none" w:pos="70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The Employee shall comply with all work and rest period provisions as per the Federal Labor Act, summarized in the Appendix II to the present agreement. Without limiting the foregoing, the Employee understands that he may not undertake any work on Sundays, Swiss public holidays, and between 11:00 PM and 6:00 AM (Central European Time). The Employee shall take breaks according to the following schedule on a daily basis of no less than: 15 minutes in the event his working day exceeds 5 ½ hours, 30 minutes in the event his working day exceeds 7 hours, and 1 hour in the event his working day exceeds 9 hours.</w:t>
      </w:r>
    </w:p>
    <w:p>
      <w:pPr>
        <w:spacing w:after="0" w:line="345" w:lineRule="exact"/>
        <w:rPr>
          <w:sz w:val="20"/>
          <w:szCs w:val="20"/>
          <w:color w:val="auto"/>
        </w:rPr>
      </w:pPr>
    </w:p>
    <w:p>
      <w:pPr>
        <w:ind w:left="740" w:hanging="738"/>
        <w:spacing w:after="0"/>
        <w:tabs>
          <w:tab w:leader="none" w:pos="74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WORKING TOOLS AND MATERIALS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The Employer shall provide the Employee with the necessary tools for the performance of its contractual obligations, such as a laptop.</w:t>
      </w:r>
    </w:p>
    <w:p>
      <w:pPr>
        <w:spacing w:after="0" w:line="131" w:lineRule="exact"/>
        <w:rPr>
          <w:sz w:val="20"/>
          <w:szCs w:val="20"/>
          <w:color w:val="auto"/>
        </w:rPr>
      </w:pPr>
    </w:p>
    <w:p>
      <w:pPr>
        <w:jc w:val="both"/>
        <w:ind w:left="720" w:hanging="718"/>
        <w:spacing w:after="0" w:line="224" w:lineRule="auto"/>
        <w:tabs>
          <w:tab w:leader="none" w:pos="7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items under Clause 5.1 are lent to the Employee. The Employee is required to preserve the items under Clause 5.1 in good working conditions and to inform the Company without delay if the items are not working properly. In all cases, the Employee is liable to the Company for wrongful damage and loss of equipment.</w:t>
      </w:r>
    </w:p>
    <w:p>
      <w:pPr>
        <w:spacing w:after="0" w:line="132" w:lineRule="exact"/>
        <w:rPr>
          <w:sz w:val="20"/>
          <w:szCs w:val="20"/>
          <w:color w:val="auto"/>
        </w:rPr>
      </w:pPr>
    </w:p>
    <w:p>
      <w:pPr>
        <w:jc w:val="both"/>
        <w:ind w:left="720" w:hanging="718"/>
        <w:spacing w:after="0"/>
        <w:tabs>
          <w:tab w:leader="none" w:pos="7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The Employee shall be responsible for taking out and maintaining a valid policy of insurance covering the equipment used to work at home.</w:t>
      </w:r>
    </w:p>
    <w:p>
      <w:pPr>
        <w:spacing w:after="0" w:line="300" w:lineRule="exact"/>
        <w:rPr>
          <w:sz w:val="20"/>
          <w:szCs w:val="20"/>
          <w:color w:val="auto"/>
        </w:rPr>
      </w:pPr>
    </w:p>
    <w:p>
      <w:pPr>
        <w:jc w:val="both"/>
        <w:ind w:left="720" w:hanging="718"/>
        <w:spacing w:after="0" w:line="224" w:lineRule="auto"/>
        <w:tabs>
          <w:tab w:leader="none" w:pos="7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The Employee also agrees and accepts that he is responsible for ensuring the security of Company confidential information in his home. The Employee is required to take all necessary measures to ensure that no one else can access the items made available by the Company. In all cases, access to the computer will be restricted by a password known only to the Employee.</w:t>
      </w:r>
    </w:p>
    <w:p>
      <w:pPr>
        <w:spacing w:after="0" w:line="119" w:lineRule="exact"/>
        <w:rPr>
          <w:sz w:val="20"/>
          <w:szCs w:val="20"/>
          <w:color w:val="auto"/>
        </w:rPr>
      </w:pPr>
    </w:p>
    <w:p>
      <w:pPr>
        <w:jc w:val="both"/>
        <w:ind w:left="720" w:hanging="718"/>
        <w:spacing w:after="0" w:line="233" w:lineRule="auto"/>
        <w:tabs>
          <w:tab w:leader="none" w:pos="70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The items under Clause 5.1 are intended for the exclusive performance of the Employee's contractual obligations. Any use of the items under Clause 5.1 for private purposes is strictly prohibited.</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The Employee is forbidden to make any technical changes to the items under Clause 5.1 without prior written consent of the Employer.</w:t>
      </w:r>
    </w:p>
    <w:p>
      <w:pPr>
        <w:spacing w:after="0" w:line="144" w:lineRule="exact"/>
        <w:rPr>
          <w:sz w:val="20"/>
          <w:szCs w:val="20"/>
          <w:color w:val="auto"/>
        </w:rPr>
      </w:pPr>
    </w:p>
    <w:p>
      <w:pPr>
        <w:jc w:val="both"/>
        <w:ind w:left="720" w:hanging="718"/>
        <w:spacing w:after="0" w:line="233" w:lineRule="auto"/>
        <w:tabs>
          <w:tab w:leader="none" w:pos="70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The items under Clause 5.1 remains the Company's property. These items must be returned to the Company at the end of the employment relationship or earlier, upon the Company's request.</w:t>
      </w:r>
    </w:p>
    <w:p>
      <w:pPr>
        <w:spacing w:after="0" w:line="330" w:lineRule="exact"/>
        <w:rPr>
          <w:sz w:val="20"/>
          <w:szCs w:val="20"/>
          <w:color w:val="auto"/>
        </w:rPr>
      </w:pPr>
    </w:p>
    <w:p>
      <w:pPr>
        <w:ind w:left="740" w:hanging="738"/>
        <w:spacing w:after="0"/>
        <w:tabs>
          <w:tab w:leader="none" w:pos="74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BONUS, EXPENSES, ALLOWANCES</w:t>
      </w:r>
    </w:p>
    <w:p>
      <w:pPr>
        <w:spacing w:after="0" w:line="166" w:lineRule="exact"/>
        <w:rPr>
          <w:sz w:val="20"/>
          <w:szCs w:val="20"/>
          <w:color w:val="auto"/>
        </w:rPr>
      </w:pPr>
    </w:p>
    <w:p>
      <w:pPr>
        <w:jc w:val="both"/>
        <w:ind w:left="720" w:hanging="718"/>
        <w:spacing w:after="0" w:line="265" w:lineRule="auto"/>
        <w:tabs>
          <w:tab w:leader="none" w:pos="7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 xml:space="preserve">The Employee shall receive an annual gross salary of CHF 252,033, payable in thirteen monthly installments at the end of each month. The thirteenth salary shall be paid to the Employee together with his December salary. If the Employee starts working for or leaves the Company during the course of the calendar year, his thirteenth salary shall be calculated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w:t>
      </w:r>
    </w:p>
    <w:p>
      <w:pPr>
        <w:spacing w:after="0" w:line="150" w:lineRule="exact"/>
        <w:rPr>
          <w:sz w:val="20"/>
          <w:szCs w:val="20"/>
          <w:color w:val="auto"/>
        </w:rPr>
      </w:pPr>
    </w:p>
    <w:p>
      <w:pPr>
        <w:jc w:val="both"/>
        <w:ind w:left="720" w:hanging="718"/>
        <w:spacing w:after="0" w:line="224" w:lineRule="auto"/>
        <w:tabs>
          <w:tab w:leader="none" w:pos="7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During his employment as Chief Revenue Officer of Parent, the Employee will be eligible to participate in the Sales Compensation Plan adopted by the company. The Employee’s target sales compensation plan allows the Employee to earn an additional CHF 352,846 gross per annum as bonus, subject to the terms of the plan. The plan will be provided separately.</w:t>
      </w:r>
    </w:p>
    <w:p>
      <w:pPr>
        <w:sectPr>
          <w:pgSz w:w="11900" w:h="16838" w:orient="portrait"/>
          <w:cols w:equalWidth="0" w:num="1">
            <w:col w:w="11200"/>
          </w:cols>
          <w:pgMar w:left="340" w:top="1432" w:right="359" w:bottom="1440" w:gutter="0" w:footer="0" w:header="0"/>
        </w:sectPr>
      </w:pPr>
    </w:p>
    <w:bookmarkStart w:id="159" w:name="page160"/>
    <w:bookmarkEnd w:id="159"/>
    <w:p>
      <w:pPr>
        <w:jc w:val="both"/>
        <w:ind w:left="740" w:right="20" w:hanging="718"/>
        <w:spacing w:after="0" w:line="220" w:lineRule="auto"/>
        <w:tabs>
          <w:tab w:leader="none" w:pos="7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Company will deduct the legally and statutory required social security contributions from the Employee's salary, unless otherwise agreed between the parties (who would then sign an official form so that the Employee would register with the Social Security Authorities and remit the social security contributions himself) to the extent admissible under Swiss law. The Company will also deduct tax at sources from the Employee's salary, if applicable.</w:t>
      </w:r>
    </w:p>
    <w:p>
      <w:pPr>
        <w:spacing w:after="0" w:line="133" w:lineRule="exact"/>
        <w:rPr>
          <w:sz w:val="20"/>
          <w:szCs w:val="20"/>
          <w:color w:val="auto"/>
        </w:rPr>
      </w:pPr>
    </w:p>
    <w:p>
      <w:pPr>
        <w:jc w:val="both"/>
        <w:ind w:left="740" w:right="20" w:hanging="718"/>
        <w:spacing w:after="0" w:line="216" w:lineRule="auto"/>
        <w:tabs>
          <w:tab w:leader="none" w:pos="7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The Employee shall be reimbursed by the Company for all items of travel, hotel, and other miscellaneous business expenses reasonably incurred by him on behalf of the Company in the performance of his duties under this Agreement provided always that the incurring of such expenses has been expressly authorized and approved by the Company and upon provision of receipts or other evidence to the Company, in accordance with the Company travel and expense policy. Notwithstanding anything to the contrary contained herein, the Employee shall not be entitled to reimbursement for any personal-related expenses. For sake of clarity, the Employee does not receive any remuneration or expense reimbursement from the Company for his home office.</w:t>
      </w:r>
    </w:p>
    <w:p>
      <w:pPr>
        <w:spacing w:after="0" w:line="121" w:lineRule="exact"/>
        <w:rPr>
          <w:sz w:val="20"/>
          <w:szCs w:val="20"/>
          <w:color w:val="auto"/>
        </w:rPr>
      </w:pPr>
    </w:p>
    <w:p>
      <w:pPr>
        <w:jc w:val="both"/>
        <w:ind w:left="740" w:right="20" w:hanging="718"/>
        <w:spacing w:after="0" w:line="232" w:lineRule="auto"/>
        <w:tabs>
          <w:tab w:leader="none" w:pos="7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The Company will provide the Employee with a monthly lump sum to cover his own housing and health care coverage premiums in the amount of CHF 3,024 gross per month.</w:t>
      </w:r>
    </w:p>
    <w:p>
      <w:pPr>
        <w:spacing w:after="0" w:line="345" w:lineRule="exact"/>
        <w:rPr>
          <w:sz w:val="20"/>
          <w:szCs w:val="20"/>
          <w:color w:val="auto"/>
        </w:rPr>
      </w:pPr>
    </w:p>
    <w:p>
      <w:pPr>
        <w:ind w:left="740" w:hanging="718"/>
        <w:spacing w:after="0"/>
        <w:tabs>
          <w:tab w:leader="none" w:pos="74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Employee has previously been granted certain restricted stock units which will continue to be subject to the vesting schedule and other terms and conditions of Parent’s 2016 Equity Incentive Plan and the related Restricted Stock Unit Grant Notice and Restricted Stock Unit Agreement, all of which the Employee has received under separate cover. The Employee will be required to sign a Restricted Stock Unit Agreement as a condition of receiving restricted stock units.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If the Employee’s Involuntary Termination occurs either in connection with a Change in Control (as defined in the Company’s 2016 Equity Incentive Plan), or within three (3) months prior to or within twelve (12) months following the closing of a Change in Control, and provided that the Employee remains in compliance with the terms of this Agreement, then the Employee will be entitled to the Severance Benefits provided for above in Section 3.5, and the following additional benefits: (a) an amount equal to six (6) months of the Employee’s then-current “cash-eligible” annual target bonus as per Clause 6.2 to be paid in equal instalments on the Company’s normal payroll schedule over the six (6) month period immediately following the date of the Involuntary Termination , which, for the avoidance of doubt, shall be in addition to payment of (i) any earned but unpaid annual bonus for the fiscal year preceding the fiscal year in which such Involuntary Termination occurs based on actual performance, as determined by the Compensation Committee and (ii) an annual bonus for the fiscal year in which the Involuntary Termination occurs, prorated to the date of Involuntary Termination and determined based on the greater of target performance or actual performance as of the date of Involuntary Termination, as determined by the Compensation Committee; (b) 100% of all of the Employee’s then-outstanding time-based unvested Parent equity awards will accelerate and will be deemed vested and exercisable (if applicable) as of the Employee’s date of Involuntary Termination; and (c) 100% of all of the Employee’s then-outstanding performance-based unvested Company equity awards will accelerate and will be deemed vested and exercisable (if applicable) based on the greater of the Employee’s target performance rate or actual performance as of the Employee’s date of Involuntary Termination (collectively, the “ </w:t>
      </w:r>
      <w:r>
        <w:rPr>
          <w:rFonts w:ascii="Arial" w:cs="Arial" w:eastAsia="Arial" w:hAnsi="Arial"/>
          <w:sz w:val="17"/>
          <w:szCs w:val="17"/>
          <w:b w:val="1"/>
          <w:bCs w:val="1"/>
          <w:color w:val="auto"/>
        </w:rPr>
        <w:t>Change in Control Severance Benefits</w:t>
      </w:r>
      <w:r>
        <w:rPr>
          <w:rFonts w:ascii="Arial" w:cs="Arial" w:eastAsia="Arial" w:hAnsi="Arial"/>
          <w:sz w:val="17"/>
          <w:szCs w:val="17"/>
          <w:color w:val="auto"/>
        </w:rPr>
        <w:t xml:space="preserve"> ”), including any performance-based unvested awards granted pursuant to the Company’s Senior Leadership Equity Bonus Program (or similar annual bonus program that may be adopted in the future) (an “Equity Bonus Program”). For the avoidance of doubt, if the Employee has elected to receive his annual bonus in equity in lieu of cash pursuant to an Equity Bonus Program, and has received an equity grant as a result of this election, his annual bonus for the performance period for which he made the election will no longer be considered “cash-eligible” for purposes of subsection 7(a); provided however, that for any period for which the Employee has elected to receive his annual bonus in equity in lieu of cash pursuant to an Equity Bonus Program, and for which the Company has not yet granted an equity award to the Employee as of the date of Involuntary Termination, then such election shall be void, and the Employee’s annual bonus for such period shall be “cash-eligible” in accordance with subsection 7(a).</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Employee will be eligible for consideration for future grants of equity awards in connection with the annual executive compensation determination process of the Compensation Committee of the Parent’s Board of Directors.</w:t>
      </w:r>
    </w:p>
    <w:p>
      <w:pPr>
        <w:spacing w:after="0" w:line="224" w:lineRule="exact"/>
        <w:rPr>
          <w:sz w:val="20"/>
          <w:szCs w:val="20"/>
          <w:color w:val="auto"/>
        </w:rPr>
      </w:pPr>
    </w:p>
    <w:p>
      <w:pPr>
        <w:ind w:left="760" w:hanging="738"/>
        <w:spacing w:after="0"/>
        <w:tabs>
          <w:tab w:leader="none" w:pos="76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PENSION PLAN – ACCIDENT INSURANCE</w:t>
      </w:r>
    </w:p>
    <w:p>
      <w:pPr>
        <w:spacing w:after="0" w:line="153" w:lineRule="exact"/>
        <w:rPr>
          <w:sz w:val="20"/>
          <w:szCs w:val="20"/>
          <w:color w:val="auto"/>
        </w:rPr>
      </w:pPr>
    </w:p>
    <w:p>
      <w:pPr>
        <w:ind w:left="740" w:right="20" w:hanging="718"/>
        <w:spacing w:after="0" w:line="233" w:lineRule="auto"/>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Employee shall participate in the Company's pension fund and be subject to the regulations concerning employee contributions and benefits as applicable from time to time.</w:t>
      </w:r>
    </w:p>
    <w:p>
      <w:pPr>
        <w:sectPr>
          <w:pgSz w:w="11900" w:h="16838" w:orient="portrait"/>
          <w:cols w:equalWidth="0" w:num="1">
            <w:col w:w="11240"/>
          </w:cols>
          <w:pgMar w:left="320" w:top="1433" w:right="339" w:bottom="1440" w:gutter="0" w:footer="0" w:header="0"/>
        </w:sectPr>
      </w:pPr>
    </w:p>
    <w:bookmarkStart w:id="160" w:name="page161"/>
    <w:bookmarkEnd w:id="160"/>
    <w:p>
      <w:pPr>
        <w:ind w:left="720" w:hanging="718"/>
        <w:spacing w:after="0" w:line="232" w:lineRule="auto"/>
        <w:tabs>
          <w:tab w:leader="none" w:pos="7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The Employee shall be insured against professional and non-professional accidents in compliance with the Federal Act on Accident Insurance (UVG).</w:t>
      </w:r>
    </w:p>
    <w:p>
      <w:pPr>
        <w:spacing w:after="0" w:line="345" w:lineRule="exact"/>
        <w:rPr>
          <w:sz w:val="20"/>
          <w:szCs w:val="20"/>
          <w:color w:val="auto"/>
        </w:rPr>
      </w:pPr>
    </w:p>
    <w:p>
      <w:pPr>
        <w:ind w:left="720" w:hanging="718"/>
        <w:spacing w:after="0"/>
        <w:tabs>
          <w:tab w:leader="none" w:pos="7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HOLIDAYS</w:t>
      </w:r>
    </w:p>
    <w:p>
      <w:pPr>
        <w:spacing w:after="0" w:line="153" w:lineRule="exact"/>
        <w:rPr>
          <w:sz w:val="20"/>
          <w:szCs w:val="20"/>
          <w:color w:val="auto"/>
        </w:rPr>
      </w:pPr>
    </w:p>
    <w:p>
      <w:pPr>
        <w:ind w:left="720" w:hanging="718"/>
        <w:spacing w:after="0" w:line="232" w:lineRule="auto"/>
        <w:tabs>
          <w:tab w:leader="none" w:pos="70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In addition to the public holidays in the place where he is domiciled in Switzerland, the Employee is entitled to twenty five (25) days holiday per calendar year, which shall be taken in agreement with the Company.</w:t>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Vacation must be taken during the corresponding calendar year.</w:t>
      </w:r>
    </w:p>
    <w:p>
      <w:pPr>
        <w:spacing w:after="0" w:line="144" w:lineRule="exact"/>
        <w:rPr>
          <w:sz w:val="20"/>
          <w:szCs w:val="20"/>
          <w:color w:val="auto"/>
        </w:rPr>
      </w:pPr>
    </w:p>
    <w:p>
      <w:pPr>
        <w:ind w:left="720" w:hanging="718"/>
        <w:spacing w:after="0" w:line="232" w:lineRule="auto"/>
        <w:tabs>
          <w:tab w:leader="none" w:pos="70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In case of garden leave, the Employee is supposed to take all his remaining days of holidays during this period, up to the maximum amount admissible under Swiss law.</w:t>
      </w:r>
    </w:p>
    <w:p>
      <w:pPr>
        <w:spacing w:after="0" w:line="332" w:lineRule="exact"/>
        <w:rPr>
          <w:sz w:val="20"/>
          <w:szCs w:val="20"/>
          <w:color w:val="auto"/>
        </w:rPr>
      </w:pPr>
    </w:p>
    <w:p>
      <w:pPr>
        <w:ind w:left="740" w:hanging="738"/>
        <w:spacing w:after="0"/>
        <w:tabs>
          <w:tab w:leader="none" w:pos="74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UNFITNESS TO WORK</w:t>
      </w:r>
    </w:p>
    <w:p>
      <w:pPr>
        <w:spacing w:after="0" w:line="49" w:lineRule="exact"/>
        <w:rPr>
          <w:sz w:val="20"/>
          <w:szCs w:val="20"/>
          <w:color w:val="auto"/>
        </w:rPr>
      </w:pPr>
    </w:p>
    <w:p>
      <w:pPr>
        <w:jc w:val="both"/>
        <w:ind w:left="740" w:hanging="731"/>
        <w:spacing w:after="0" w:line="274" w:lineRule="auto"/>
        <w:tabs>
          <w:tab w:leader="none" w:pos="7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If the Employee is incapacitated during the employment for a period exceeding three working days, he will have to provide the Company with a medical certificate signed by a qualified medical practitioner.</w:t>
      </w:r>
    </w:p>
    <w:p>
      <w:pPr>
        <w:spacing w:after="0" w:line="142" w:lineRule="exact"/>
        <w:rPr>
          <w:sz w:val="20"/>
          <w:szCs w:val="20"/>
          <w:color w:val="auto"/>
        </w:rPr>
      </w:pPr>
    </w:p>
    <w:p>
      <w:pPr>
        <w:jc w:val="both"/>
        <w:ind w:left="720" w:hanging="718"/>
        <w:spacing w:after="0" w:line="215" w:lineRule="auto"/>
        <w:tabs>
          <w:tab w:leader="none" w:pos="7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Company has a standard insurance policy for loss of salary due to inability to work in case of illness. The contract foresees coverage of up to 80% of the gross salary up to a maximum of 300,000 CHF per year, from the 31st to the 730th day of disability to work in the case of illness. From the initial day of disability up to the initial day of insurance benefits, the Company will pay the full salary in accordance to Article 324a Swiss Code of Obligations (CO) and the Zurich Scale. The payment of the premium is paid 50 % by the Company and 50% by the Employee per a deduction from the monthly salary. The current conditions and details of the standard insurance policy have been communicated to the Employee. The conditions of the insurance may vary at any time. The Company is free from all other obligations as to the Article 324a CO with regards to illness.</w:t>
      </w:r>
    </w:p>
    <w:p>
      <w:pPr>
        <w:spacing w:after="0" w:line="347" w:lineRule="exact"/>
        <w:rPr>
          <w:sz w:val="20"/>
          <w:szCs w:val="20"/>
          <w:color w:val="auto"/>
        </w:rPr>
      </w:pPr>
    </w:p>
    <w:p>
      <w:pPr>
        <w:ind w:left="740" w:hanging="738"/>
        <w:spacing w:after="0"/>
        <w:tabs>
          <w:tab w:leader="none" w:pos="74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153" w:lineRule="exact"/>
        <w:rPr>
          <w:sz w:val="20"/>
          <w:szCs w:val="20"/>
          <w:color w:val="auto"/>
        </w:rPr>
      </w:pPr>
    </w:p>
    <w:p>
      <w:pPr>
        <w:jc w:val="both"/>
        <w:ind w:left="720" w:hanging="718"/>
        <w:spacing w:after="0" w:line="218" w:lineRule="auto"/>
        <w:tabs>
          <w:tab w:leader="none" w:pos="70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The Employee shall not during the continuance of his employment or afterwards (unless authorized in writing to do so by the Company) use for his own benefit or that of any other persons or disclose or permit or cause the unauthorized disclosure of any confidential information of the Company or any of its affiliates which he has obtained by virtue of his employment or by virtue of his activities within the Company and Parent. Confidential information includes, but is not limited to, any business matters and procedures related to the Company or any of its affiliates, its or their clients and suppliers and other business contacts of the Company or any of its affiliates.</w:t>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The Employee undertakes to take all necessary measures to ensure that no one else can have access to confidential information.</w:t>
      </w:r>
    </w:p>
    <w:p>
      <w:pPr>
        <w:spacing w:after="0" w:line="144" w:lineRule="exact"/>
        <w:rPr>
          <w:sz w:val="20"/>
          <w:szCs w:val="20"/>
          <w:color w:val="auto"/>
        </w:rPr>
      </w:pPr>
    </w:p>
    <w:p>
      <w:pPr>
        <w:jc w:val="both"/>
        <w:ind w:left="720" w:hanging="718"/>
        <w:spacing w:after="0" w:line="220" w:lineRule="auto"/>
        <w:tabs>
          <w:tab w:leader="none" w:pos="70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Upon leaving the Company or upon request by the Company or Parent, the Employee will have to return to the Company all correspondence, documents, lists, disks, keys and security, passes and other papers (or other means of storing or recording information), including drafts and copies, and all other material of whatever nature in the possession or under the control of the Employee which relate directly or indirectly to the affairs of the Company or any of its affiliates.</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The provisions under this section 11 survive the end of the employment relationship.</w:t>
      </w:r>
    </w:p>
    <w:p>
      <w:pPr>
        <w:spacing w:after="0" w:line="358" w:lineRule="exact"/>
        <w:rPr>
          <w:sz w:val="20"/>
          <w:szCs w:val="20"/>
          <w:color w:val="auto"/>
        </w:rPr>
      </w:pPr>
    </w:p>
    <w:p>
      <w:pPr>
        <w:ind w:left="740" w:hanging="738"/>
        <w:spacing w:after="0"/>
        <w:tabs>
          <w:tab w:leader="none" w:pos="74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 RIGHTS</w:t>
      </w:r>
    </w:p>
    <w:p>
      <w:pPr>
        <w:spacing w:after="0" w:line="166" w:lineRule="exact"/>
        <w:rPr>
          <w:sz w:val="20"/>
          <w:szCs w:val="20"/>
          <w:color w:val="auto"/>
        </w:rPr>
      </w:pPr>
    </w:p>
    <w:p>
      <w:pPr>
        <w:jc w:val="both"/>
        <w:ind w:left="720" w:hanging="718"/>
        <w:spacing w:after="0" w:line="218" w:lineRule="auto"/>
        <w:tabs>
          <w:tab w:leader="none" w:pos="70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The Employee acknowledges that inventions, improvements, discoveries, technical ideas and designs made or acquired by him, alone or with others, during the course of his employment with the Company in relation to the products, techniques, processes and formulas, formulations and applications, and all patents, designs, copyright and other artistic, commercial or industrial property rights covering the same, are the absolute property of the Company. The Employee shall promptly disclose to the Company any idea or invention created or developed by him which is actually or potentially relevant to the business of the Company.</w:t>
      </w:r>
    </w:p>
    <w:p>
      <w:pPr>
        <w:sectPr>
          <w:pgSz w:w="11900" w:h="16838" w:orient="portrait"/>
          <w:cols w:equalWidth="0" w:num="1">
            <w:col w:w="11200"/>
          </w:cols>
          <w:pgMar w:left="340" w:top="1432" w:right="359" w:bottom="1440" w:gutter="0" w:footer="0" w:header="0"/>
        </w:sectPr>
      </w:pPr>
    </w:p>
    <w:bookmarkStart w:id="161" w:name="page162"/>
    <w:bookmarkEnd w:id="161"/>
    <w:p>
      <w:pPr>
        <w:jc w:val="both"/>
        <w:ind w:left="720" w:right="20" w:hanging="718"/>
        <w:spacing w:after="0" w:line="216" w:lineRule="auto"/>
        <w:tabs>
          <w:tab w:leader="none" w:pos="7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To the fullest extent permitted by law the Employee waives irrevocably and unconditionally any moral rights in any part of the world that he has or may have in any such inventions. If and to the extent that an assignment or waiver of any of the above-mentioned rights is not permitted under applicable law, the Employees agrees not to assert them and authorize the Company the exercise such rights on his behalf. In particular, the Company shall have the unrestricted right to exercise the author's moral rights in the works, including without limitation the right to alter the works, create derivative works and to determine whether, when, how and under what name the works shall be published.</w:t>
      </w:r>
    </w:p>
    <w:p>
      <w:pPr>
        <w:spacing w:after="0" w:line="134" w:lineRule="exact"/>
        <w:rPr>
          <w:sz w:val="20"/>
          <w:szCs w:val="20"/>
          <w:color w:val="auto"/>
        </w:rPr>
      </w:pPr>
    </w:p>
    <w:p>
      <w:pPr>
        <w:jc w:val="both"/>
        <w:ind w:left="720" w:right="20" w:hanging="718"/>
        <w:spacing w:after="0" w:line="260" w:lineRule="auto"/>
        <w:tabs>
          <w:tab w:leader="none" w:pos="70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 xml:space="preserve">All inventions, patents, trademarks, and corresponding applications and designs which are generated by the Employee, alone or with others, while performing his activity for the Company but outside the performance of his contractual duties, shall also belong to the Company, as long as this does not conflict with the Company's regulations. If the Employee makes any such invention/design, he shall promptly inform the Company thereof in writing. If the Company declares that it wishes to acquire such invention/design, the Employee shall be entitled to an appropriate special compensation, which shall be assessed in accordance with Article 332(4) of the Swiss Code of Obligations (" </w:t>
      </w:r>
      <w:r>
        <w:rPr>
          <w:rFonts w:ascii="Arial" w:cs="Arial" w:eastAsia="Arial" w:hAnsi="Arial"/>
          <w:sz w:val="17"/>
          <w:szCs w:val="17"/>
          <w:b w:val="1"/>
          <w:bCs w:val="1"/>
          <w:color w:val="auto"/>
        </w:rPr>
        <w:t>CO</w:t>
      </w:r>
      <w:r>
        <w:rPr>
          <w:rFonts w:ascii="Arial" w:cs="Arial" w:eastAsia="Arial" w:hAnsi="Arial"/>
          <w:sz w:val="17"/>
          <w:szCs w:val="17"/>
          <w:color w:val="auto"/>
        </w:rPr>
        <w:t xml:space="preserve"> ").</w:t>
      </w:r>
    </w:p>
    <w:p>
      <w:pPr>
        <w:spacing w:after="0" w:line="141" w:lineRule="exact"/>
        <w:rPr>
          <w:sz w:val="20"/>
          <w:szCs w:val="20"/>
          <w:color w:val="auto"/>
        </w:rPr>
      </w:pPr>
    </w:p>
    <w:p>
      <w:pPr>
        <w:jc w:val="both"/>
        <w:ind w:left="720" w:right="20" w:hanging="718"/>
        <w:spacing w:after="0" w:line="220" w:lineRule="auto"/>
        <w:tabs>
          <w:tab w:leader="none" w:pos="70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To the extent that such inventions, patents, trademarks and corresponding applications, designs, tangible and intangible work result do not vest automatically in the Company pursuant to Clauses 12.1 and 12.3 the Employee hereby irrevocably assigns to the Company all right title and interest in all such inventions, patents, trademarks and corresponding applications designs, tangible and intangible work result and will execute all documents which may be necessary to give effect to the provision of Clauses 12.1 and 12.3.</w:t>
      </w:r>
    </w:p>
    <w:p>
      <w:pPr>
        <w:spacing w:after="0" w:line="133" w:lineRule="exact"/>
        <w:rPr>
          <w:sz w:val="20"/>
          <w:szCs w:val="20"/>
          <w:color w:val="auto"/>
        </w:rPr>
      </w:pPr>
    </w:p>
    <w:p>
      <w:pPr>
        <w:jc w:val="both"/>
        <w:ind w:left="720" w:right="20" w:hanging="718"/>
        <w:spacing w:after="0" w:line="224" w:lineRule="auto"/>
        <w:tabs>
          <w:tab w:leader="none" w:pos="70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color w:val="auto"/>
        </w:rPr>
        <w:t>Save for the special compensation according to Article 332 (4) CO regarding inventions generated by the Employee alone or with others while performing his employment activity for the Company but outside his contractual duties, the Employee shall not be entitled to any compensation for the rights granted to the Company under the provisions of this Agreement in addition to his contractual salary.</w:t>
      </w:r>
    </w:p>
    <w:p>
      <w:pPr>
        <w:spacing w:after="0" w:line="132" w:lineRule="exact"/>
        <w:rPr>
          <w:sz w:val="20"/>
          <w:szCs w:val="20"/>
          <w:color w:val="auto"/>
        </w:rPr>
      </w:pPr>
    </w:p>
    <w:p>
      <w:pPr>
        <w:jc w:val="both"/>
        <w:ind w:left="720" w:right="20" w:hanging="718"/>
        <w:spacing w:after="0" w:line="265" w:lineRule="auto"/>
        <w:tabs>
          <w:tab w:leader="none" w:pos="70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color w:val="auto"/>
        </w:rPr>
        <w:t>This provision shall survive termination of employment insofar as they relate to discoveries, inventions, secret processes, improvements in procedure, trademarks, registered designs, design rights, copyright, database rights and all other intellectual property rights which were created before the termination date.</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DATA PROTECTION / PERSONAL DATA</w:t>
      </w:r>
    </w:p>
    <w:p>
      <w:pPr>
        <w:spacing w:after="0" w:line="166" w:lineRule="exact"/>
        <w:rPr>
          <w:sz w:val="20"/>
          <w:szCs w:val="20"/>
          <w:color w:val="auto"/>
        </w:rPr>
      </w:pPr>
    </w:p>
    <w:p>
      <w:pPr>
        <w:jc w:val="both"/>
        <w:ind w:left="720" w:right="20" w:hanging="718"/>
        <w:spacing w:after="0" w:line="233" w:lineRule="auto"/>
        <w:tabs>
          <w:tab w:leader="none" w:pos="70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The Employee acknowledges and agrees that the Company may process personal data to the extent that such data concern the employee's suitability for his job or are necessary for the performance of the employment contract.</w:t>
      </w:r>
    </w:p>
    <w:p>
      <w:pPr>
        <w:spacing w:after="0" w:line="130" w:lineRule="exact"/>
        <w:rPr>
          <w:sz w:val="20"/>
          <w:szCs w:val="20"/>
          <w:color w:val="auto"/>
        </w:rPr>
      </w:pPr>
    </w:p>
    <w:p>
      <w:pPr>
        <w:jc w:val="both"/>
        <w:ind w:left="720" w:right="20" w:hanging="718"/>
        <w:spacing w:after="0" w:line="260" w:lineRule="auto"/>
        <w:tabs>
          <w:tab w:leader="none" w:pos="70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The Employee acknowledges and agrees that the Company may transfer his data to an external service provider that would deal with Human Resources tasks, such as salary management. The Employee authorizes the Company to process and transfer his data abroad, to associated companies or third parties in and outside Switzerland, including to the United States of America or to countries within the European Economic Area (EEA), where the Company has affiliates and/or service providers supporting the Company in human resources, legal, accounting or financial matters. The Company shall take appropriate steps to ensure that the information will have an adequate level of data protection.</w:t>
      </w:r>
    </w:p>
    <w:p>
      <w:pPr>
        <w:spacing w:after="0" w:line="141" w:lineRule="exact"/>
        <w:rPr>
          <w:sz w:val="20"/>
          <w:szCs w:val="20"/>
          <w:color w:val="auto"/>
        </w:rPr>
      </w:pPr>
    </w:p>
    <w:p>
      <w:pPr>
        <w:jc w:val="both"/>
        <w:ind w:left="740" w:right="20" w:hanging="731"/>
        <w:spacing w:after="0" w:line="232" w:lineRule="auto"/>
        <w:tabs>
          <w:tab w:leader="none" w:pos="7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It is the responsibility of the Employee to communicate his personal data (such as private address, telephone number, change in marital status, births, adoption, etc.) and all changes thereto to the Company without delay.</w:t>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The Employee must inform the Company at least six weeks in advance of any change of place of residence.</w:t>
      </w:r>
    </w:p>
    <w:p>
      <w:pPr>
        <w:spacing w:after="0" w:line="358" w:lineRule="exact"/>
        <w:rPr>
          <w:sz w:val="20"/>
          <w:szCs w:val="20"/>
          <w:color w:val="auto"/>
        </w:rPr>
      </w:pPr>
    </w:p>
    <w:p>
      <w:pPr>
        <w:ind w:left="740" w:hanging="738"/>
        <w:spacing w:after="0"/>
        <w:tabs>
          <w:tab w:leader="none" w:pos="74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NON-COMPETITION AND NON-SOLICITATION</w:t>
      </w:r>
    </w:p>
    <w:p>
      <w:pPr>
        <w:spacing w:after="0" w:line="153" w:lineRule="exact"/>
        <w:rPr>
          <w:sz w:val="20"/>
          <w:szCs w:val="20"/>
          <w:color w:val="auto"/>
        </w:rPr>
      </w:pPr>
    </w:p>
    <w:p>
      <w:pPr>
        <w:ind w:left="720" w:right="20" w:hanging="718"/>
        <w:spacing w:after="0" w:line="233" w:lineRule="auto"/>
        <w:tabs>
          <w:tab w:leader="none" w:pos="70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The Employee acknowledges that he will have access to the customers and/or to business secrets, and that the use of such knowledge could significantly damage the Company.</w:t>
      </w:r>
    </w:p>
    <w:p>
      <w:pPr>
        <w:spacing w:after="0" w:line="130" w:lineRule="exact"/>
        <w:rPr>
          <w:sz w:val="20"/>
          <w:szCs w:val="20"/>
          <w:color w:val="auto"/>
        </w:rPr>
      </w:pPr>
    </w:p>
    <w:p>
      <w:pPr>
        <w:ind w:left="720" w:right="20" w:hanging="718"/>
        <w:spacing w:after="0" w:line="232" w:lineRule="auto"/>
        <w:tabs>
          <w:tab w:leader="none" w:pos="70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For a period of twelve (12) months after the termination of this Agreement, the Employee undertakes not to engage in any of the following activities anywhere in the world:</w:t>
      </w:r>
    </w:p>
    <w:p>
      <w:pPr>
        <w:spacing w:after="0" w:line="93" w:lineRule="exact"/>
        <w:rPr>
          <w:sz w:val="20"/>
          <w:szCs w:val="20"/>
          <w:color w:val="auto"/>
        </w:rPr>
      </w:pPr>
    </w:p>
    <w:p>
      <w:pPr>
        <w:jc w:val="both"/>
        <w:ind w:left="620" w:hanging="8"/>
        <w:spacing w:after="0" w:line="265" w:lineRule="auto"/>
        <w:tabs>
          <w:tab w:leader="none" w:pos="1082"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directly or indirectly engaging himself, as owner, partner, director, employee, agent, consultant or in any other capacity, in any business which competes with the Company in order to carry out an activity that is identical or similar to the one he used to perform during his employment for the Company;</w:t>
      </w:r>
    </w:p>
    <w:p>
      <w:pPr>
        <w:sectPr>
          <w:pgSz w:w="11900" w:h="16838" w:orient="portrait"/>
          <w:cols w:equalWidth="0" w:num="1">
            <w:col w:w="11220"/>
          </w:cols>
          <w:pgMar w:left="340" w:top="1433" w:right="339" w:bottom="1440" w:gutter="0" w:footer="0" w:header="0"/>
        </w:sectPr>
      </w:pPr>
    </w:p>
    <w:bookmarkStart w:id="162" w:name="page163"/>
    <w:bookmarkEnd w:id="162"/>
    <w:p>
      <w:pPr>
        <w:ind w:left="640" w:hanging="8"/>
        <w:spacing w:after="0" w:line="256" w:lineRule="auto"/>
        <w:tabs>
          <w:tab w:leader="none" w:pos="10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directly or indirectly approaching or soliciting any of the Company’s customers, or attempting to do so, either for his own account or for the account of any third party, in order to incite them to do business with any entity which competes with the Company;</w:t>
      </w:r>
    </w:p>
    <w:p>
      <w:pPr>
        <w:spacing w:after="0" w:line="1" w:lineRule="exact"/>
        <w:rPr>
          <w:rFonts w:ascii="Arial" w:cs="Arial" w:eastAsia="Arial" w:hAnsi="Arial"/>
          <w:sz w:val="17"/>
          <w:szCs w:val="17"/>
          <w:color w:val="auto"/>
        </w:rPr>
      </w:pPr>
    </w:p>
    <w:p>
      <w:pPr>
        <w:ind w:left="640" w:hanging="8"/>
        <w:spacing w:after="0" w:line="274" w:lineRule="auto"/>
        <w:tabs>
          <w:tab w:leader="none" w:pos="9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directly or indirectly poaching any employees of the Company, or attempting to do so, either for his own account or for the account of any third party, in order to incite them to join, in any capacity, a business that competes with the Company.</w:t>
      </w:r>
    </w:p>
    <w:p>
      <w:pPr>
        <w:spacing w:after="0" w:line="11" w:lineRule="exact"/>
        <w:rPr>
          <w:sz w:val="20"/>
          <w:szCs w:val="20"/>
          <w:color w:val="auto"/>
        </w:rPr>
      </w:pPr>
    </w:p>
    <w:p>
      <w:pPr>
        <w:jc w:val="both"/>
        <w:ind w:left="740" w:right="20" w:hanging="718"/>
        <w:spacing w:after="0" w:line="232" w:lineRule="auto"/>
        <w:tabs>
          <w:tab w:leader="none" w:pos="72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In case of breach of the Clause 14.2, the Employee shall pay to the Company a penalty in the amount of CHF 77,548 for each instance of violation. Payment of the penalty shall not discharge the Employee from complying with his undertakings pursuant to this clause.</w:t>
      </w:r>
    </w:p>
    <w:p>
      <w:pPr>
        <w:spacing w:after="0" w:line="132" w:lineRule="exact"/>
        <w:rPr>
          <w:sz w:val="20"/>
          <w:szCs w:val="20"/>
          <w:color w:val="auto"/>
        </w:rPr>
      </w:pPr>
    </w:p>
    <w:p>
      <w:pPr>
        <w:jc w:val="both"/>
        <w:ind w:left="740" w:right="20" w:hanging="718"/>
        <w:spacing w:after="0" w:line="224" w:lineRule="auto"/>
        <w:tabs>
          <w:tab w:leader="none" w:pos="72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color w:val="auto"/>
        </w:rPr>
        <w:t>In addition to the payment of the penalty and any further damages the Company may have incurred as a result of the breach, the Company shall have the right to request that the Employee ceases and desists from any prohibited activities and to apply to the courts for injunctive relief.</w:t>
      </w:r>
    </w:p>
    <w:p>
      <w:pPr>
        <w:spacing w:after="0" w:line="162" w:lineRule="exact"/>
        <w:rPr>
          <w:sz w:val="20"/>
          <w:szCs w:val="20"/>
          <w:color w:val="auto"/>
        </w:rPr>
      </w:pPr>
    </w:p>
    <w:p>
      <w:pPr>
        <w:ind w:left="760" w:hanging="738"/>
        <w:spacing w:after="0"/>
        <w:tabs>
          <w:tab w:leader="none" w:pos="760" w:val="left"/>
        </w:tabs>
        <w:numPr>
          <w:ilvl w:val="0"/>
          <w:numId w:val="93"/>
        </w:numPr>
        <w:rPr>
          <w:rFonts w:ascii="Arial" w:cs="Arial" w:eastAsia="Arial" w:hAnsi="Arial"/>
          <w:sz w:val="35"/>
          <w:szCs w:val="35"/>
          <w:color w:val="auto"/>
          <w:vertAlign w:val="subscript"/>
        </w:rPr>
      </w:pPr>
      <w:r>
        <w:rPr>
          <w:rFonts w:ascii="Arial" w:cs="Arial" w:eastAsia="Arial" w:hAnsi="Arial"/>
          <w:sz w:val="17"/>
          <w:szCs w:val="17"/>
          <w:b w:val="1"/>
          <w:bCs w:val="1"/>
          <w:color w:val="auto"/>
        </w:rPr>
        <w:t>MISCELLANEOUS</w:t>
      </w:r>
    </w:p>
    <w:p>
      <w:pPr>
        <w:spacing w:after="0" w:line="235" w:lineRule="exact"/>
        <w:rPr>
          <w:sz w:val="20"/>
          <w:szCs w:val="20"/>
          <w:color w:val="auto"/>
        </w:rPr>
      </w:pPr>
    </w:p>
    <w:p>
      <w:pPr>
        <w:ind w:left="740" w:right="20" w:hanging="718"/>
        <w:spacing w:after="0" w:line="232" w:lineRule="auto"/>
        <w:tabs>
          <w:tab w:leader="none" w:pos="72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This Agreement supersedes any prior agreement, offer or understanding with respect to the subject matter thereof, including the 2019 Agreement.</w:t>
      </w:r>
    </w:p>
    <w:p>
      <w:pPr>
        <w:spacing w:after="0" w:line="132"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This Agreement may be amended only by a written memorandum executed by each of the parties.</w:t>
      </w:r>
    </w:p>
    <w:p>
      <w:pPr>
        <w:spacing w:after="0" w:line="253" w:lineRule="exact"/>
        <w:rPr>
          <w:sz w:val="20"/>
          <w:szCs w:val="20"/>
          <w:color w:val="auto"/>
        </w:rPr>
      </w:pPr>
    </w:p>
    <w:p>
      <w:pPr>
        <w:ind w:left="740" w:hanging="718"/>
        <w:spacing w:after="0"/>
        <w:tabs>
          <w:tab w:leader="none" w:pos="74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Agreement shall be governed by and construed in accordance with the laws of Switzerland without regard to its conflict of laws or choice of law rules.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duly executed this Agreement on the dates indicated below.</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40" w:type="dxa"/>
            <w:vAlign w:val="bottom"/>
            <w:gridSpan w:val="2"/>
          </w:tcPr>
          <w:p>
            <w:pPr>
              <w:spacing w:after="0"/>
              <w:rPr>
                <w:sz w:val="20"/>
                <w:szCs w:val="20"/>
                <w:color w:val="auto"/>
              </w:rPr>
            </w:pPr>
            <w:r>
              <w:rPr>
                <w:rFonts w:ascii="Arial" w:cs="Arial" w:eastAsia="Arial" w:hAnsi="Arial"/>
                <w:sz w:val="17"/>
                <w:szCs w:val="17"/>
                <w:b w:val="1"/>
                <w:bCs w:val="1"/>
                <w:color w:val="auto"/>
              </w:rPr>
              <w:t>The Company:</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80" w:type="dxa"/>
            <w:vAlign w:val="bottom"/>
            <w:gridSpan w:val="3"/>
          </w:tcPr>
          <w:p>
            <w:pPr>
              <w:ind w:left="160"/>
              <w:spacing w:after="0"/>
              <w:rPr>
                <w:sz w:val="20"/>
                <w:szCs w:val="20"/>
                <w:color w:val="auto"/>
              </w:rPr>
            </w:pPr>
            <w:r>
              <w:rPr>
                <w:rFonts w:ascii="Arial" w:cs="Arial" w:eastAsia="Arial" w:hAnsi="Arial"/>
                <w:sz w:val="17"/>
                <w:szCs w:val="17"/>
                <w:b w:val="1"/>
                <w:bCs w:val="1"/>
                <w:color w:val="auto"/>
              </w:rPr>
              <w:t>The Employee:</w:t>
            </w:r>
          </w:p>
        </w:tc>
      </w:tr>
      <w:tr>
        <w:trPr>
          <w:trHeight w:val="210"/>
        </w:trPr>
        <w:tc>
          <w:tcPr>
            <w:tcW w:w="1440" w:type="dxa"/>
            <w:vAlign w:val="bottom"/>
            <w:gridSpan w:val="2"/>
          </w:tcPr>
          <w:p>
            <w:pPr>
              <w:spacing w:after="0"/>
              <w:rPr>
                <w:sz w:val="20"/>
                <w:szCs w:val="20"/>
                <w:color w:val="auto"/>
              </w:rPr>
            </w:pPr>
            <w:r>
              <w:rPr>
                <w:rFonts w:ascii="Arial" w:cs="Arial" w:eastAsia="Arial" w:hAnsi="Arial"/>
                <w:sz w:val="17"/>
                <w:szCs w:val="17"/>
                <w:color w:val="FFFFFF"/>
              </w:rPr>
              <w:t>_____________.</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641"/>
        </w:trPr>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Los Altos, CA/ 12/21/2021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France/ 01/10/2022</w:t>
            </w:r>
          </w:p>
        </w:tc>
        <w:tc>
          <w:tcPr>
            <w:tcW w:w="3960" w:type="dxa"/>
            <w:vAlign w:val="bottom"/>
          </w:tcPr>
          <w:p>
            <w:pPr>
              <w:spacing w:after="0"/>
              <w:rPr>
                <w:sz w:val="24"/>
                <w:szCs w:val="24"/>
                <w:color w:val="auto"/>
              </w:rPr>
            </w:pPr>
          </w:p>
        </w:tc>
      </w:tr>
      <w:tr>
        <w:trPr>
          <w:trHeight w:val="228"/>
        </w:trPr>
        <w:tc>
          <w:tcPr>
            <w:tcW w:w="1440" w:type="dxa"/>
            <w:vAlign w:val="bottom"/>
            <w:gridSpan w:val="2"/>
          </w:tcPr>
          <w:p>
            <w:pPr>
              <w:spacing w:after="0"/>
              <w:rPr>
                <w:sz w:val="20"/>
                <w:szCs w:val="20"/>
                <w:color w:val="auto"/>
              </w:rPr>
            </w:pPr>
            <w:r>
              <w:rPr>
                <w:rFonts w:ascii="Arial" w:cs="Arial" w:eastAsia="Arial" w:hAnsi="Arial"/>
                <w:sz w:val="17"/>
                <w:szCs w:val="17"/>
                <w:color w:val="auto"/>
              </w:rPr>
              <w:t>Place/Date</w:t>
            </w:r>
          </w:p>
        </w:tc>
        <w:tc>
          <w:tcPr>
            <w:tcW w:w="180" w:type="dxa"/>
            <w:vAlign w:val="bottom"/>
          </w:tcPr>
          <w:p>
            <w:pPr>
              <w:spacing w:after="0"/>
              <w:rPr>
                <w:sz w:val="19"/>
                <w:szCs w:val="19"/>
                <w:color w:val="auto"/>
              </w:rPr>
            </w:pPr>
          </w:p>
        </w:tc>
        <w:tc>
          <w:tcPr>
            <w:tcW w:w="6460" w:type="dxa"/>
            <w:vAlign w:val="bottom"/>
            <w:gridSpan w:val="6"/>
          </w:tcPr>
          <w:p>
            <w:pPr>
              <w:ind w:left="20"/>
              <w:spacing w:after="0"/>
              <w:rPr>
                <w:sz w:val="20"/>
                <w:szCs w:val="20"/>
                <w:color w:val="auto"/>
              </w:rPr>
            </w:pPr>
            <w:r>
              <w:rPr>
                <w:rFonts w:ascii="Arial" w:cs="Arial" w:eastAsia="Arial" w:hAnsi="Arial"/>
                <w:sz w:val="17"/>
                <w:szCs w:val="17"/>
                <w:color w:val="auto"/>
              </w:rPr>
              <w:t>Place/Date</w:t>
            </w:r>
          </w:p>
        </w:tc>
      </w:tr>
      <w:tr>
        <w:trPr>
          <w:trHeight w:val="876"/>
        </w:trPr>
        <w:tc>
          <w:tcPr>
            <w:tcW w:w="2020" w:type="dxa"/>
            <w:vAlign w:val="bottom"/>
            <w:gridSpan w:val="4"/>
          </w:tcPr>
          <w:p>
            <w:pPr>
              <w:spacing w:after="0"/>
              <w:rPr>
                <w:sz w:val="20"/>
                <w:szCs w:val="20"/>
                <w:color w:val="auto"/>
              </w:rPr>
            </w:pPr>
            <w:r>
              <w:rPr>
                <w:rFonts w:ascii="Arial" w:cs="Arial" w:eastAsia="Arial" w:hAnsi="Arial"/>
                <w:sz w:val="17"/>
                <w:szCs w:val="17"/>
                <w:color w:val="auto"/>
              </w:rPr>
              <w:t>/s/ Andrew Stephens</w:t>
            </w:r>
          </w:p>
        </w:tc>
        <w:tc>
          <w:tcPr>
            <w:tcW w:w="6060" w:type="dxa"/>
            <w:vAlign w:val="bottom"/>
            <w:gridSpan w:val="5"/>
          </w:tcPr>
          <w:p>
            <w:pPr>
              <w:ind w:left="180"/>
              <w:spacing w:after="0"/>
              <w:rPr>
                <w:sz w:val="20"/>
                <w:szCs w:val="20"/>
                <w:color w:val="auto"/>
              </w:rPr>
            </w:pPr>
            <w:r>
              <w:rPr>
                <w:rFonts w:ascii="Arial" w:cs="Arial" w:eastAsia="Arial" w:hAnsi="Arial"/>
                <w:sz w:val="17"/>
                <w:szCs w:val="17"/>
                <w:color w:val="auto"/>
              </w:rPr>
              <w:t>/s/ Cedric Pech</w:t>
            </w:r>
          </w:p>
        </w:tc>
      </w:tr>
      <w:tr>
        <w:trPr>
          <w:trHeight w:val="20"/>
        </w:trPr>
        <w:tc>
          <w:tcPr>
            <w:tcW w:w="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r>
      <w:tr>
        <w:trPr>
          <w:trHeight w:val="227"/>
        </w:trPr>
        <w:tc>
          <w:tcPr>
            <w:tcW w:w="1440" w:type="dxa"/>
            <w:vAlign w:val="bottom"/>
            <w:gridSpan w:val="2"/>
          </w:tcPr>
          <w:p>
            <w:pPr>
              <w:spacing w:after="0"/>
              <w:rPr>
                <w:sz w:val="20"/>
                <w:szCs w:val="20"/>
                <w:color w:val="auto"/>
              </w:rPr>
            </w:pPr>
            <w:r>
              <w:rPr>
                <w:rFonts w:ascii="Arial" w:cs="Arial" w:eastAsia="Arial" w:hAnsi="Arial"/>
                <w:sz w:val="17"/>
                <w:szCs w:val="17"/>
                <w:color w:val="auto"/>
              </w:rPr>
              <w:t>Andrew Stephens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4"/>
          </w:tcPr>
          <w:p>
            <w:pPr>
              <w:ind w:left="380"/>
              <w:spacing w:after="0"/>
              <w:rPr>
                <w:sz w:val="20"/>
                <w:szCs w:val="20"/>
                <w:color w:val="auto"/>
              </w:rPr>
            </w:pPr>
            <w:r>
              <w:rPr>
                <w:rFonts w:ascii="Arial" w:cs="Arial" w:eastAsia="Arial" w:hAnsi="Arial"/>
                <w:sz w:val="17"/>
                <w:szCs w:val="17"/>
                <w:color w:val="auto"/>
              </w:rPr>
              <w:t>Cedric Pech</w:t>
            </w:r>
          </w:p>
        </w:tc>
      </w:tr>
      <w:tr>
        <w:trPr>
          <w:trHeight w:val="210"/>
        </w:trPr>
        <w:tc>
          <w:tcPr>
            <w:tcW w:w="1440" w:type="dxa"/>
            <w:vAlign w:val="bottom"/>
            <w:gridSpan w:val="2"/>
          </w:tcPr>
          <w:p>
            <w:pPr>
              <w:spacing w:after="0"/>
              <w:rPr>
                <w:sz w:val="20"/>
                <w:szCs w:val="20"/>
                <w:color w:val="auto"/>
              </w:rPr>
            </w:pPr>
            <w:r>
              <w:rPr>
                <w:rFonts w:ascii="Arial" w:cs="Arial" w:eastAsia="Arial" w:hAnsi="Arial"/>
                <w:sz w:val="17"/>
                <w:szCs w:val="17"/>
                <w:color w:val="auto"/>
              </w:rPr>
              <w:t>General Counsel</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980"/>
        </w:trPr>
        <w:tc>
          <w:tcPr>
            <w:tcW w:w="1440" w:type="dxa"/>
            <w:vAlign w:val="bottom"/>
            <w:gridSpan w:val="2"/>
          </w:tcPr>
          <w:p>
            <w:pPr>
              <w:ind w:left="20"/>
              <w:spacing w:after="0"/>
              <w:rPr>
                <w:sz w:val="20"/>
                <w:szCs w:val="20"/>
                <w:color w:val="auto"/>
              </w:rPr>
            </w:pPr>
            <w:r>
              <w:rPr>
                <w:rFonts w:ascii="Arial" w:cs="Arial" w:eastAsia="Arial" w:hAnsi="Arial"/>
                <w:sz w:val="17"/>
                <w:szCs w:val="17"/>
                <w:color w:val="auto"/>
              </w:rPr>
              <w:t>Appendix I:</w:t>
            </w:r>
          </w:p>
        </w:tc>
        <w:tc>
          <w:tcPr>
            <w:tcW w:w="6640" w:type="dxa"/>
            <w:vAlign w:val="bottom"/>
            <w:gridSpan w:val="7"/>
          </w:tcPr>
          <w:p>
            <w:pPr>
              <w:ind w:left="80"/>
              <w:spacing w:after="0"/>
              <w:rPr>
                <w:sz w:val="20"/>
                <w:szCs w:val="20"/>
                <w:color w:val="auto"/>
              </w:rPr>
            </w:pPr>
            <w:r>
              <w:rPr>
                <w:rFonts w:ascii="Arial" w:cs="Arial" w:eastAsia="Arial" w:hAnsi="Arial"/>
                <w:sz w:val="17"/>
                <w:szCs w:val="17"/>
                <w:color w:val="auto"/>
              </w:rPr>
              <w:t>Form of Separation Agreement</w:t>
            </w:r>
          </w:p>
        </w:tc>
      </w:tr>
      <w:tr>
        <w:trPr>
          <w:trHeight w:val="366"/>
        </w:trPr>
        <w:tc>
          <w:tcPr>
            <w:tcW w:w="1440" w:type="dxa"/>
            <w:vAlign w:val="bottom"/>
            <w:gridSpan w:val="2"/>
          </w:tcPr>
          <w:p>
            <w:pPr>
              <w:ind w:left="20"/>
              <w:spacing w:after="0"/>
              <w:rPr>
                <w:sz w:val="20"/>
                <w:szCs w:val="20"/>
                <w:color w:val="auto"/>
              </w:rPr>
            </w:pPr>
            <w:r>
              <w:rPr>
                <w:rFonts w:ascii="Arial" w:cs="Arial" w:eastAsia="Arial" w:hAnsi="Arial"/>
                <w:sz w:val="17"/>
                <w:szCs w:val="17"/>
                <w:color w:val="auto"/>
              </w:rPr>
              <w:t>Appendix II:</w:t>
            </w:r>
          </w:p>
        </w:tc>
        <w:tc>
          <w:tcPr>
            <w:tcW w:w="6640" w:type="dxa"/>
            <w:vAlign w:val="bottom"/>
            <w:gridSpan w:val="7"/>
          </w:tcPr>
          <w:p>
            <w:pPr>
              <w:ind w:left="80"/>
              <w:spacing w:after="0"/>
              <w:rPr>
                <w:sz w:val="20"/>
                <w:szCs w:val="20"/>
                <w:color w:val="auto"/>
              </w:rPr>
            </w:pPr>
            <w:r>
              <w:rPr>
                <w:rFonts w:ascii="Arial" w:cs="Arial" w:eastAsia="Arial" w:hAnsi="Arial"/>
                <w:sz w:val="17"/>
                <w:szCs w:val="17"/>
                <w:color w:val="auto"/>
              </w:rPr>
              <w:t>Übersicht über die wichtigsten Arbeits- und Ruhezeitvorschriften für Arbeitnehmer mit</w:t>
            </w:r>
          </w:p>
        </w:tc>
      </w:tr>
      <w:tr>
        <w:trPr>
          <w:trHeight w:val="235"/>
        </w:trPr>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40" w:type="dxa"/>
            <w:vAlign w:val="bottom"/>
            <w:gridSpan w:val="7"/>
          </w:tcPr>
          <w:p>
            <w:pPr>
              <w:ind w:left="80"/>
              <w:spacing w:after="0"/>
              <w:rPr>
                <w:sz w:val="20"/>
                <w:szCs w:val="20"/>
                <w:color w:val="auto"/>
              </w:rPr>
            </w:pPr>
            <w:r>
              <w:rPr>
                <w:rFonts w:ascii="Arial" w:cs="Arial" w:eastAsia="Arial" w:hAnsi="Arial"/>
                <w:sz w:val="17"/>
                <w:szCs w:val="17"/>
                <w:color w:val="auto"/>
              </w:rPr>
              <w:t>einer wöchentlicher Höchstarbeitszeit von 45h</w:t>
            </w:r>
          </w:p>
        </w:tc>
      </w:tr>
    </w:tbl>
    <w:p>
      <w:pPr>
        <w:sectPr>
          <w:pgSz w:w="11900" w:h="16838" w:orient="portrait"/>
          <w:cols w:equalWidth="0" w:num="1">
            <w:col w:w="11240"/>
          </w:cols>
          <w:pgMar w:left="320" w:top="1393" w:right="3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color w:val="auto"/>
        </w:rPr>
        <w:t>Appendix I</w:t>
      </w:r>
    </w:p>
    <w:p>
      <w:pPr>
        <w:spacing w:after="0" w:line="271" w:lineRule="exact"/>
        <w:rPr>
          <w:sz w:val="20"/>
          <w:szCs w:val="20"/>
          <w:color w:val="auto"/>
        </w:rPr>
      </w:pPr>
    </w:p>
    <w:p>
      <w:pPr>
        <w:ind w:left="9940"/>
        <w:spacing w:after="0"/>
        <w:rPr>
          <w:sz w:val="20"/>
          <w:szCs w:val="20"/>
          <w:color w:val="auto"/>
        </w:rPr>
      </w:pPr>
      <w:r>
        <w:rPr>
          <w:rFonts w:ascii="Arial" w:cs="Arial" w:eastAsia="Arial" w:hAnsi="Arial"/>
          <w:sz w:val="17"/>
          <w:szCs w:val="17"/>
          <w:color w:val="auto"/>
        </w:rPr>
        <w:t>[Month] __, 20__</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Cedric Pech</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 xml:space="preserve">Terms of </w:t>
      </w:r>
      <w:r>
        <w:rPr>
          <w:rFonts w:ascii="Arial" w:cs="Arial" w:eastAsia="Arial" w:hAnsi="Arial"/>
          <w:sz w:val="17"/>
          <w:szCs w:val="17"/>
          <w:b w:val="1"/>
          <w:bCs w:val="1"/>
          <w:u w:val="single" w:color="auto"/>
          <w:color w:val="auto"/>
        </w:rPr>
        <w:t>[Resignation or Separation]</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This letter confirms the agreement (“Agreement”) between you and MongoDB Switzerland GmbH (the “Company”) concerning the terms of your </w:t>
      </w:r>
      <w:r>
        <w:rPr>
          <w:rFonts w:ascii="Arial" w:cs="Arial" w:eastAsia="Arial" w:hAnsi="Arial"/>
          <w:sz w:val="17"/>
          <w:szCs w:val="17"/>
          <w:b w:val="1"/>
          <w:bCs w:val="1"/>
          <w:color w:val="auto"/>
        </w:rPr>
        <w:t>[resignation or separation</w:t>
      </w:r>
      <w:r>
        <w:rPr>
          <w:rFonts w:ascii="Arial" w:cs="Arial" w:eastAsia="Arial" w:hAnsi="Arial"/>
          <w:sz w:val="17"/>
          <w:szCs w:val="17"/>
          <w:color w:val="auto"/>
        </w:rPr>
        <w:t xml:space="preserve"> ], given [by you to the Company or to you by the Company] on [insert date] and offers you the separation compensation we discussed in exchange for a general release of claims and covenant not to sue.</w:t>
      </w:r>
    </w:p>
    <w:p>
      <w:pPr>
        <w:spacing w:after="0" w:line="193" w:lineRule="exact"/>
        <w:rPr>
          <w:sz w:val="20"/>
          <w:szCs w:val="20"/>
          <w:color w:val="auto"/>
        </w:rPr>
      </w:pPr>
    </w:p>
    <w:p>
      <w:pPr>
        <w:jc w:val="both"/>
        <w:ind w:firstLine="5"/>
        <w:spacing w:after="0" w:line="265"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Resignation or Separation]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b w:val="1"/>
          <w:bCs w:val="1"/>
          <w:color w:val="auto"/>
        </w:rPr>
        <w:t xml:space="preserve"> </w:t>
      </w:r>
      <w:r>
        <w:rPr>
          <w:rFonts w:ascii="Arial" w:cs="Arial" w:eastAsia="Arial" w:hAnsi="Arial"/>
          <w:sz w:val="17"/>
          <w:szCs w:val="17"/>
          <w:color w:val="auto"/>
        </w:rPr>
        <w:t>: _______________ will be your last day of employment with the Company (the “</w:t>
      </w:r>
      <w:r>
        <w:rPr>
          <w:rFonts w:ascii="Arial" w:cs="Arial" w:eastAsia="Arial" w:hAnsi="Arial"/>
          <w:sz w:val="17"/>
          <w:szCs w:val="17"/>
          <w:b w:val="1"/>
          <w:bCs w:val="1"/>
          <w:color w:val="auto"/>
        </w:rPr>
        <w:t xml:space="preserve"> [Resignation or Separation] </w:t>
      </w:r>
      <w:r>
        <w:rPr>
          <w:rFonts w:ascii="Arial" w:cs="Arial" w:eastAsia="Arial" w:hAnsi="Arial"/>
          <w:sz w:val="17"/>
          <w:szCs w:val="17"/>
          <w:color w:val="auto"/>
        </w:rPr>
        <w:t>Date”). [</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Optional (if you are placed on the garden leave)</w:t>
      </w:r>
      <w:r>
        <w:rPr>
          <w:rFonts w:ascii="Arial" w:cs="Arial" w:eastAsia="Arial" w:hAnsi="Arial"/>
          <w:sz w:val="17"/>
          <w:szCs w:val="17"/>
          <w:b w:val="1"/>
          <w:bCs w:val="1"/>
          <w:color w:val="auto"/>
        </w:rPr>
        <w:t xml:space="preserve"> </w:t>
      </w:r>
      <w:r>
        <w:rPr>
          <w:rFonts w:ascii="Arial" w:cs="Arial" w:eastAsia="Arial" w:hAnsi="Arial"/>
          <w:sz w:val="17"/>
          <w:szCs w:val="17"/>
          <w:color w:val="auto"/>
        </w:rPr>
        <w:t>: From [insert date], you are on garden leave, during which you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work for the Company until the end of the employment relationship. The Company, nevertheless, may request your prompt assistance during the garden leave to transition your duties and provide any information related to your activities for the Company. You remain bound by all your other employee's duties until the end of the employment relationship. To the extent permitted by law, you shall take all untaken holiday, if any, before the Separation Date.]</w:t>
      </w:r>
    </w:p>
    <w:p>
      <w:pPr>
        <w:spacing w:after="0" w:line="216" w:lineRule="exact"/>
        <w:rPr>
          <w:rFonts w:ascii="Arial" w:cs="Arial" w:eastAsia="Arial" w:hAnsi="Arial"/>
          <w:sz w:val="17"/>
          <w:szCs w:val="17"/>
          <w:color w:val="auto"/>
        </w:rPr>
      </w:pPr>
    </w:p>
    <w:p>
      <w:pPr>
        <w:jc w:val="both"/>
        <w:ind w:firstLine="5"/>
        <w:spacing w:after="0" w:line="261" w:lineRule="auto"/>
        <w:tabs>
          <w:tab w:leader="none" w:pos="20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Acknowledgment of Payment of Wages</w:t>
      </w:r>
      <w:r>
        <w:rPr>
          <w:rFonts w:ascii="Arial" w:cs="Arial" w:eastAsia="Arial" w:hAnsi="Arial"/>
          <w:sz w:val="17"/>
          <w:szCs w:val="17"/>
          <w:color w:val="auto"/>
        </w:rPr>
        <w:t xml:space="preserve"> : The Company will pay you your contractual salary, including the monthly lump sum to cover your housing and health care coverage premiums as set forth in Section 6.5 of the employment contract, dated [insert date], 20[__], between you and the Company, until the Separation Date [as usual] / [ </w:t>
      </w:r>
      <w:r>
        <w:rPr>
          <w:rFonts w:ascii="Arial" w:cs="Arial" w:eastAsia="Arial" w:hAnsi="Arial"/>
          <w:sz w:val="17"/>
          <w:szCs w:val="17"/>
          <w:i w:val="1"/>
          <w:i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i w:val="1"/>
          <w:iCs w:val="1"/>
          <w:color w:val="auto"/>
          <w:highlight w:val="white"/>
        </w:rPr>
        <w:t>if you are placed on the garden leave</w:t>
      </w:r>
      <w:r>
        <w:rPr>
          <w:rFonts w:ascii="Arial" w:cs="Arial" w:eastAsia="Arial" w:hAnsi="Arial"/>
          <w:sz w:val="17"/>
          <w:szCs w:val="17"/>
          <w:color w:val="auto"/>
        </w:rPr>
        <w:t xml:space="preserve"> </w:t>
      </w:r>
      <w:r>
        <w:rPr>
          <w:rFonts w:ascii="Arial" w:cs="Arial" w:eastAsia="Arial" w:hAnsi="Arial"/>
          <w:sz w:val="17"/>
          <w:szCs w:val="17"/>
          <w:color w:val="auto"/>
          <w:highlight w:val="white"/>
        </w:rPr>
        <w:t>: as if the Employee has not been placed in garden</w:t>
      </w:r>
      <w:r>
        <w:rPr>
          <w:rFonts w:ascii="Arial" w:cs="Arial" w:eastAsia="Arial" w:hAnsi="Arial"/>
          <w:sz w:val="17"/>
          <w:szCs w:val="17"/>
          <w:color w:val="auto"/>
        </w:rPr>
        <w:t xml:space="preserve"> leave].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spacing w:after="0" w:line="217" w:lineRule="exact"/>
        <w:rPr>
          <w:rFonts w:ascii="Arial" w:cs="Arial" w:eastAsia="Arial" w:hAnsi="Arial"/>
          <w:sz w:val="17"/>
          <w:szCs w:val="17"/>
          <w:color w:val="auto"/>
        </w:rPr>
      </w:pPr>
    </w:p>
    <w:p>
      <w:pPr>
        <w:jc w:val="both"/>
        <w:ind w:firstLine="5"/>
        <w:spacing w:after="0" w:line="256" w:lineRule="auto"/>
        <w:tabs>
          <w:tab w:leader="none" w:pos="20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Separation Compensation</w:t>
      </w:r>
      <w:r>
        <w:rPr>
          <w:rFonts w:ascii="Arial" w:cs="Arial" w:eastAsia="Arial" w:hAnsi="Arial"/>
          <w:sz w:val="17"/>
          <w:szCs w:val="17"/>
          <w:color w:val="auto"/>
        </w:rPr>
        <w:t xml:space="preserve"> : In exchange for your agreement to the general release and waiver of claims and covenant not to sue set forth below and your other promises herein, the Company agrees to provide you with the </w:t>
      </w:r>
      <w:r>
        <w:rPr>
          <w:rFonts w:ascii="Arial" w:cs="Arial" w:eastAsia="Arial" w:hAnsi="Arial"/>
          <w:sz w:val="17"/>
          <w:szCs w:val="17"/>
          <w:b w:val="1"/>
          <w:bCs w:val="1"/>
          <w:color w:val="auto"/>
        </w:rPr>
        <w:t>[Severance Benefits / Change in Control 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Benefits] </w:t>
      </w:r>
      <w:r>
        <w:rPr>
          <w:rFonts w:ascii="Arial" w:cs="Arial" w:eastAsia="Arial" w:hAnsi="Arial"/>
          <w:sz w:val="17"/>
          <w:szCs w:val="17"/>
          <w:color w:val="auto"/>
        </w:rPr>
        <w:t>(as defined in the employment contract, dated [insert date], 20[__], between you and the Company).</w:t>
      </w:r>
    </w:p>
    <w:p>
      <w:pPr>
        <w:spacing w:after="0" w:line="1" w:lineRule="exact"/>
        <w:rPr>
          <w:rFonts w:ascii="Arial" w:cs="Arial" w:eastAsia="Arial" w:hAnsi="Arial"/>
          <w:sz w:val="17"/>
          <w:szCs w:val="17"/>
          <w:color w:val="auto"/>
        </w:rPr>
      </w:pPr>
    </w:p>
    <w:p>
      <w:pPr>
        <w:jc w:val="both"/>
        <w:spacing w:after="0" w:line="258" w:lineRule="auto"/>
        <w:rPr>
          <w:rFonts w:ascii="Arial" w:cs="Arial" w:eastAsia="Arial" w:hAnsi="Arial"/>
          <w:sz w:val="17"/>
          <w:szCs w:val="17"/>
          <w:color w:val="auto"/>
        </w:rPr>
      </w:pPr>
      <w:r>
        <w:rPr>
          <w:rFonts w:ascii="Arial" w:cs="Arial" w:eastAsia="Arial" w:hAnsi="Arial"/>
          <w:sz w:val="17"/>
          <w:szCs w:val="17"/>
          <w:color w:val="auto"/>
        </w:rPr>
        <w:t>By signing below, you acknowledge that you are receiving the separation compensation outlined in this paragraph in consideration for waiving your rights to claims referred to in this Agreement and that you would not otherwise be entitled to the separation compensation. The Company will pay the [Severance Benefits / Change in Control Severance Benefits] in the amount of CHF [XXX] gross in accordance with Section 3.5 [and Section 7] of your employment contract, if you do not dispute that the contract ended on the Separation Date set in Section 1 above and if you confirm once again in writing your consent to this Agreement after [insert date], but before [insert date]. The payment of the first instalment of the [Severance Benefits / Change in Control Severance Benefits] will be made within 30 days of the receipt of the written confirmation to the bank account used by the Company for salary payments. If, for any reason you dispute that the contract ended on the Separation Date set in Section 1 above, at the latest, and/or if you do not confirm once again in writing your consent to this Agreement in due time, you will not be entitled to the [Severance Benefits / Change in Control Severance Benefits], but this Agreement remains valid. Moreover, you will not be entitled to the [Severance Benefits / Change in Control Severance Benefits] and will pay them back to the Company if you have already received them, if you dispute the validity of part or all of this Agreement, for example the validity of the general release and waiver of claims and covenant not to sue set forth below.</w:t>
      </w:r>
    </w:p>
    <w:p>
      <w:pPr>
        <w:spacing w:after="0" w:line="200" w:lineRule="exact"/>
        <w:rPr>
          <w:rFonts w:ascii="Arial" w:cs="Arial" w:eastAsia="Arial" w:hAnsi="Arial"/>
          <w:sz w:val="17"/>
          <w:szCs w:val="17"/>
          <w:color w:val="auto"/>
        </w:rPr>
      </w:pPr>
    </w:p>
    <w:p>
      <w:pPr>
        <w:spacing w:after="0" w:line="232" w:lineRule="exact"/>
        <w:rPr>
          <w:rFonts w:ascii="Arial" w:cs="Arial" w:eastAsia="Arial" w:hAnsi="Arial"/>
          <w:sz w:val="17"/>
          <w:szCs w:val="17"/>
          <w:color w:val="auto"/>
        </w:rPr>
      </w:pPr>
    </w:p>
    <w:p>
      <w:pPr>
        <w:ind w:firstLine="5"/>
        <w:spacing w:after="0" w:line="274" w:lineRule="auto"/>
        <w:tabs>
          <w:tab w:leader="none" w:pos="19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xml:space="preserve"> </w:t>
      </w:r>
      <w:r>
        <w:rPr>
          <w:rFonts w:ascii="Arial" w:cs="Arial" w:eastAsia="Arial" w:hAnsi="Arial"/>
          <w:sz w:val="17"/>
          <w:szCs w:val="17"/>
          <w:color w:val="auto"/>
          <w:highlight w:val="white"/>
        </w:rPr>
        <w:t>: You hereby warrant to the Company that you have returned to the Company all property or data of the Company</w:t>
      </w:r>
      <w:r>
        <w:rPr>
          <w:rFonts w:ascii="Arial" w:cs="Arial" w:eastAsia="Arial" w:hAnsi="Arial"/>
          <w:sz w:val="17"/>
          <w:szCs w:val="17"/>
          <w:color w:val="auto"/>
        </w:rPr>
        <w:t xml:space="preserve"> of any type whatsoever that has been in your possession or control.</w:t>
      </w:r>
    </w:p>
    <w:p>
      <w:pPr>
        <w:spacing w:after="0" w:line="207" w:lineRule="exact"/>
        <w:rPr>
          <w:rFonts w:ascii="Arial" w:cs="Arial" w:eastAsia="Arial" w:hAnsi="Arial"/>
          <w:sz w:val="17"/>
          <w:szCs w:val="17"/>
          <w:color w:val="auto"/>
        </w:rPr>
      </w:pPr>
    </w:p>
    <w:p>
      <w:pPr>
        <w:jc w:val="both"/>
        <w:ind w:firstLine="5"/>
        <w:spacing w:after="0" w:line="262" w:lineRule="auto"/>
        <w:tabs>
          <w:tab w:leader="none" w:pos="19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Proprietary Information</w:t>
      </w:r>
      <w:r>
        <w:rPr>
          <w:rFonts w:ascii="Arial" w:cs="Arial" w:eastAsia="Arial" w:hAnsi="Arial"/>
          <w:sz w:val="17"/>
          <w:szCs w:val="17"/>
          <w:color w:val="auto"/>
        </w:rPr>
        <w:t xml:space="preserve"> </w:t>
      </w:r>
      <w:r>
        <w:rPr>
          <w:rFonts w:ascii="Arial" w:cs="Arial" w:eastAsia="Arial" w:hAnsi="Arial"/>
          <w:sz w:val="17"/>
          <w:szCs w:val="17"/>
          <w:color w:val="auto"/>
          <w:highlight w:val="white"/>
        </w:rPr>
        <w:t>: After the end of the employment relationship, you shall remain subject to the duty of confidentiality as per Article 321a</w:t>
      </w:r>
      <w:r>
        <w:rPr>
          <w:rFonts w:ascii="Arial" w:cs="Arial" w:eastAsia="Arial" w:hAnsi="Arial"/>
          <w:sz w:val="17"/>
          <w:szCs w:val="17"/>
          <w:color w:val="auto"/>
        </w:rPr>
        <w:t xml:space="preserve"> para. 4 Swiss Code of Obligations and Section 11 of your employment contract dated [insert date]. You further confirm that you have delivered to the Company all documents and data of any nature containing or pertaining to confidential information and that you have not taken with you any such documents or data or any reproduction thereof.</w:t>
      </w:r>
    </w:p>
    <w:p>
      <w:pPr>
        <w:spacing w:after="0" w:line="218" w:lineRule="exact"/>
        <w:rPr>
          <w:rFonts w:ascii="Arial" w:cs="Arial" w:eastAsia="Arial" w:hAnsi="Arial"/>
          <w:sz w:val="17"/>
          <w:szCs w:val="17"/>
          <w:color w:val="auto"/>
        </w:rPr>
      </w:pPr>
    </w:p>
    <w:p>
      <w:pPr>
        <w:ind w:firstLine="5"/>
        <w:spacing w:after="0" w:line="274" w:lineRule="auto"/>
        <w:tabs>
          <w:tab w:leader="none" w:pos="19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Restricted Stock Unit</w:t>
      </w:r>
      <w:r>
        <w:rPr>
          <w:rFonts w:ascii="Arial" w:cs="Arial" w:eastAsia="Arial" w:hAnsi="Arial"/>
          <w:sz w:val="17"/>
          <w:szCs w:val="17"/>
          <w:color w:val="auto"/>
        </w:rPr>
        <w:t xml:space="preserve"> : Pursuant to your Restricted Stock Unit Grant Notice(s) and Restricted Stock Unit Agreement(s) with MongoDB, Inc., the U.S. parent of the Company (the “Parent”) dated ______ and the Parent's [2016] Equity Incentive Plan (hereafter</w:t>
      </w:r>
    </w:p>
    <w:p>
      <w:pPr>
        <w:sectPr>
          <w:pgSz w:w="11900" w:h="16838" w:orient="portrait"/>
          <w:cols w:equalWidth="0" w:num="1">
            <w:col w:w="11240"/>
          </w:cols>
          <w:pgMar w:left="320" w:top="1372"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collectively referred to as the “Restricted Stock Unit Agreements”), you were granted ________ restricted stock units for Parent’s Class A</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Common Stock. Your rights concerning the restricted stock units will continue to be governed by the Restricted Stock Unit Agreements. If your Involuntary Termination (as defined in your employment contract) occurs either in connection with a Change in Control (as defined in the Company’s 2016 Equity Incentive Plan), or within three (3) months prior to or within twelve (12) months following the closing of a Change in Control, and provided that you remain in compliance with the terms of your employment contract, then (1) 100% of all of your then-outstanding time-based unvested Parent equity awards will accelerate and will be deemed vested and exercisable (if applicable) as of your date of your Involuntary Termination; and (2) your then-outstanding performance-based unvested Parent equity awards will accelerate and will be deemed vested and exercisable (if applicable) based on the greater of your target performance rate or actual performance as of your date of Involuntary Termination.</w:t>
      </w:r>
    </w:p>
    <w:p>
      <w:pPr>
        <w:spacing w:after="0" w:line="200" w:lineRule="exact"/>
        <w:rPr>
          <w:sz w:val="20"/>
          <w:szCs w:val="20"/>
          <w:color w:val="auto"/>
        </w:rPr>
      </w:pPr>
    </w:p>
    <w:p>
      <w:pPr>
        <w:spacing w:after="0" w:line="231" w:lineRule="exact"/>
        <w:rPr>
          <w:sz w:val="20"/>
          <w:szCs w:val="20"/>
          <w:color w:val="auto"/>
        </w:rPr>
      </w:pPr>
    </w:p>
    <w:p>
      <w:pPr>
        <w:ind w:firstLine="5"/>
        <w:spacing w:after="0" w:line="274" w:lineRule="auto"/>
        <w:tabs>
          <w:tab w:leader="none" w:pos="194"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Work certificate</w:t>
      </w:r>
      <w:r>
        <w:rPr>
          <w:rFonts w:ascii="Arial" w:cs="Arial" w:eastAsia="Arial" w:hAnsi="Arial"/>
          <w:sz w:val="17"/>
          <w:szCs w:val="17"/>
          <w:color w:val="auto"/>
        </w:rPr>
        <w:t xml:space="preserve"> </w:t>
      </w:r>
      <w:r>
        <w:rPr>
          <w:rFonts w:ascii="Arial" w:cs="Arial" w:eastAsia="Arial" w:hAnsi="Arial"/>
          <w:sz w:val="17"/>
          <w:szCs w:val="17"/>
          <w:color w:val="auto"/>
          <w:highlight w:val="white"/>
        </w:rPr>
        <w:t>: At the end of employment relationship, the Company will provide you with a final work certificate as per the wording attached</w:t>
      </w:r>
      <w:r>
        <w:rPr>
          <w:rFonts w:ascii="Arial" w:cs="Arial" w:eastAsia="Arial" w:hAnsi="Arial"/>
          <w:sz w:val="17"/>
          <w:szCs w:val="17"/>
          <w:color w:val="auto"/>
        </w:rPr>
        <w:t xml:space="preserve"> in Annex 1. An intermediate work certificate will be provided earlier on your request.</w:t>
      </w:r>
    </w:p>
    <w:p>
      <w:pPr>
        <w:spacing w:after="0" w:line="207" w:lineRule="exact"/>
        <w:rPr>
          <w:rFonts w:ascii="Arial" w:cs="Arial" w:eastAsia="Arial" w:hAnsi="Arial"/>
          <w:sz w:val="17"/>
          <w:szCs w:val="17"/>
          <w:color w:val="auto"/>
        </w:rPr>
      </w:pPr>
    </w:p>
    <w:p>
      <w:pPr>
        <w:ind w:left="200" w:hanging="195"/>
        <w:spacing w:after="0"/>
        <w:tabs>
          <w:tab w:leader="none" w:pos="20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General Release and Waiver of Claims</w:t>
      </w:r>
      <w:r>
        <w:rPr>
          <w:rFonts w:ascii="Arial" w:cs="Arial" w:eastAsia="Arial" w:hAnsi="Arial"/>
          <w:sz w:val="17"/>
          <w:szCs w:val="17"/>
          <w:color w:val="auto"/>
        </w:rPr>
        <w:t xml:space="preserve"> </w:t>
      </w:r>
      <w:r>
        <w:rPr>
          <w:rFonts w:ascii="Arial" w:cs="Arial" w:eastAsia="Arial" w:hAnsi="Arial"/>
          <w:sz w:val="17"/>
          <w:szCs w:val="17"/>
          <w:color w:val="auto"/>
          <w:highlight w:val="white"/>
        </w:rPr>
        <w:t>:</w:t>
      </w:r>
    </w:p>
    <w:p>
      <w:pPr>
        <w:spacing w:after="0" w:line="13" w:lineRule="exact"/>
        <w:rPr>
          <w:rFonts w:ascii="Arial" w:cs="Arial" w:eastAsia="Arial" w:hAnsi="Arial"/>
          <w:sz w:val="17"/>
          <w:szCs w:val="17"/>
          <w:color w:val="auto"/>
        </w:rPr>
      </w:pPr>
    </w:p>
    <w:p>
      <w:pPr>
        <w:jc w:val="both"/>
        <w:ind w:left="320" w:hanging="2"/>
        <w:spacing w:after="0" w:line="256" w:lineRule="auto"/>
        <w:tabs>
          <w:tab w:leader="none" w:pos="755"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payments and promises set forth in this Agreement are in full satisfaction of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w:t>
      </w:r>
    </w:p>
    <w:p>
      <w:pPr>
        <w:spacing w:after="0" w:line="4" w:lineRule="exact"/>
        <w:rPr>
          <w:rFonts w:ascii="Arial" w:cs="Arial" w:eastAsia="Arial" w:hAnsi="Arial"/>
          <w:sz w:val="17"/>
          <w:szCs w:val="17"/>
          <w:color w:val="auto"/>
        </w:rPr>
      </w:pPr>
    </w:p>
    <w:p>
      <w:pPr>
        <w:jc w:val="both"/>
        <w:ind w:left="320" w:hanging="2"/>
        <w:spacing w:after="0" w:line="265" w:lineRule="auto"/>
        <w:tabs>
          <w:tab w:leader="none" w:pos="771" w:val="left"/>
        </w:tabs>
        <w:numPr>
          <w:ilvl w:val="1"/>
          <w:numId w:val="96"/>
        </w:numPr>
        <w:rPr>
          <w:rFonts w:ascii="Arial" w:cs="Arial" w:eastAsia="Arial" w:hAnsi="Arial"/>
          <w:sz w:val="17"/>
          <w:szCs w:val="17"/>
          <w:color w:val="auto"/>
        </w:rPr>
      </w:pPr>
      <w:r>
        <w:rPr>
          <w:rFonts w:ascii="Arial" w:cs="Arial" w:eastAsia="Arial" w:hAnsi="Arial"/>
          <w:sz w:val="17"/>
          <w:szCs w:val="17"/>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200" w:hanging="195"/>
        <w:spacing w:after="0"/>
        <w:tabs>
          <w:tab w:leader="none" w:pos="20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w:t>
      </w:r>
      <w:r>
        <w:rPr>
          <w:rFonts w:ascii="Arial" w:cs="Arial" w:eastAsia="Arial" w:hAnsi="Arial"/>
          <w:sz w:val="17"/>
          <w:szCs w:val="17"/>
          <w:color w:val="auto"/>
          <w:highlight w:val="white"/>
        </w:rPr>
        <w:t>:</w:t>
      </w:r>
    </w:p>
    <w:p>
      <w:pPr>
        <w:spacing w:after="0" w:line="13" w:lineRule="exact"/>
        <w:rPr>
          <w:rFonts w:ascii="Arial" w:cs="Arial" w:eastAsia="Arial" w:hAnsi="Arial"/>
          <w:sz w:val="17"/>
          <w:szCs w:val="17"/>
          <w:color w:val="auto"/>
        </w:rPr>
      </w:pPr>
    </w:p>
    <w:p>
      <w:pPr>
        <w:jc w:val="both"/>
        <w:ind w:left="320" w:hanging="2"/>
        <w:spacing w:after="0" w:line="256" w:lineRule="auto"/>
        <w:tabs>
          <w:tab w:leader="none" w:pos="793" w:val="left"/>
        </w:tabs>
        <w:numPr>
          <w:ilvl w:val="1"/>
          <w:numId w:val="96"/>
        </w:numPr>
        <w:rPr>
          <w:rFonts w:ascii="Arial" w:cs="Arial" w:eastAsia="Arial" w:hAnsi="Arial"/>
          <w:sz w:val="17"/>
          <w:szCs w:val="17"/>
          <w:color w:val="auto"/>
        </w:rPr>
      </w:pPr>
      <w:r>
        <w:rPr>
          <w:rFonts w:ascii="Arial" w:cs="Arial" w:eastAsia="Arial" w:hAnsi="Arial"/>
          <w:sz w:val="17"/>
          <w:szCs w:val="17"/>
          <w:color w:val="auto"/>
        </w:rPr>
        <w:t>To the fullest extent permitted by law, at no time subsequent to the execution of this Agreement will you pursue, or cause or knowingly permit the prosecution, in any Swiss or foreign court, or before any Swiss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spacing w:after="0" w:line="2" w:lineRule="exact"/>
        <w:rPr>
          <w:rFonts w:ascii="Arial" w:cs="Arial" w:eastAsia="Arial" w:hAnsi="Arial"/>
          <w:sz w:val="17"/>
          <w:szCs w:val="17"/>
          <w:color w:val="auto"/>
        </w:rPr>
      </w:pPr>
    </w:p>
    <w:p>
      <w:pPr>
        <w:ind w:left="320" w:hanging="2"/>
        <w:spacing w:after="0" w:line="256" w:lineRule="auto"/>
        <w:tabs>
          <w:tab w:leader="none" w:pos="784" w:val="left"/>
        </w:tabs>
        <w:numPr>
          <w:ilvl w:val="1"/>
          <w:numId w:val="96"/>
        </w:numPr>
        <w:rPr>
          <w:rFonts w:ascii="Arial" w:cs="Arial" w:eastAsia="Arial" w:hAnsi="Arial"/>
          <w:sz w:val="17"/>
          <w:szCs w:val="17"/>
          <w:color w:val="auto"/>
        </w:rPr>
      </w:pPr>
      <w:r>
        <w:rPr>
          <w:rFonts w:ascii="Arial" w:cs="Arial" w:eastAsia="Arial" w:hAnsi="Arial"/>
          <w:sz w:val="17"/>
          <w:szCs w:val="17"/>
          <w:color w:val="auto"/>
        </w:rPr>
        <w:t>Nothing in this section shall prohibit you from filing a charge or complaint with a court or government agency where, as a matter of law, the parties may not restrict your ability to file such complaints.</w:t>
      </w:r>
    </w:p>
    <w:p>
      <w:pPr>
        <w:spacing w:after="0" w:line="1" w:lineRule="exact"/>
        <w:rPr>
          <w:rFonts w:ascii="Arial" w:cs="Arial" w:eastAsia="Arial" w:hAnsi="Arial"/>
          <w:sz w:val="17"/>
          <w:szCs w:val="17"/>
          <w:color w:val="auto"/>
        </w:rPr>
      </w:pPr>
    </w:p>
    <w:p>
      <w:pPr>
        <w:ind w:left="320" w:hanging="2"/>
        <w:spacing w:after="0" w:line="274" w:lineRule="auto"/>
        <w:tabs>
          <w:tab w:leader="none" w:pos="779" w:val="left"/>
        </w:tabs>
        <w:numPr>
          <w:ilvl w:val="1"/>
          <w:numId w:val="96"/>
        </w:numPr>
        <w:rPr>
          <w:rFonts w:ascii="Arial" w:cs="Arial" w:eastAsia="Arial" w:hAnsi="Arial"/>
          <w:sz w:val="17"/>
          <w:szCs w:val="17"/>
          <w:color w:val="auto"/>
        </w:rPr>
      </w:pPr>
      <w:r>
        <w:rPr>
          <w:rFonts w:ascii="Arial" w:cs="Arial" w:eastAsia="Arial" w:hAnsi="Arial"/>
          <w:sz w:val="17"/>
          <w:szCs w:val="17"/>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207" w:lineRule="exact"/>
        <w:rPr>
          <w:rFonts w:ascii="Arial" w:cs="Arial" w:eastAsia="Arial" w:hAnsi="Arial"/>
          <w:sz w:val="17"/>
          <w:szCs w:val="17"/>
          <w:color w:val="auto"/>
        </w:rPr>
      </w:pPr>
    </w:p>
    <w:p>
      <w:pPr>
        <w:jc w:val="both"/>
        <w:ind w:firstLine="5"/>
        <w:spacing w:after="0" w:line="262" w:lineRule="auto"/>
        <w:tabs>
          <w:tab w:leader="none" w:pos="29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 The Parties agree that they will not disparage each other,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spacing w:after="0" w:line="218" w:lineRule="exact"/>
        <w:rPr>
          <w:rFonts w:ascii="Arial" w:cs="Arial" w:eastAsia="Arial" w:hAnsi="Arial"/>
          <w:sz w:val="17"/>
          <w:szCs w:val="17"/>
          <w:color w:val="auto"/>
        </w:rPr>
      </w:pPr>
    </w:p>
    <w:p>
      <w:pPr>
        <w:jc w:val="both"/>
        <w:ind w:firstLine="5"/>
        <w:spacing w:after="0" w:line="262" w:lineRule="auto"/>
        <w:tabs>
          <w:tab w:leader="none" w:pos="29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218" w:lineRule="exact"/>
        <w:rPr>
          <w:rFonts w:ascii="Arial" w:cs="Arial" w:eastAsia="Arial" w:hAnsi="Arial"/>
          <w:sz w:val="17"/>
          <w:szCs w:val="17"/>
          <w:color w:val="auto"/>
        </w:rPr>
      </w:pPr>
    </w:p>
    <w:p>
      <w:pPr>
        <w:jc w:val="both"/>
        <w:ind w:firstLine="5"/>
        <w:spacing w:after="0" w:line="265" w:lineRule="auto"/>
        <w:tabs>
          <w:tab w:leader="none" w:pos="30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xml:space="preserve"> </w:t>
      </w:r>
      <w:r>
        <w:rPr>
          <w:rFonts w:ascii="Arial" w:cs="Arial" w:eastAsia="Arial" w:hAnsi="Arial"/>
          <w:sz w:val="17"/>
          <w:szCs w:val="17"/>
          <w:color w:val="auto"/>
          <w:highlight w:val="white"/>
        </w:rPr>
        <w:t>: This Agreement is not and shall not be construed or contended by you to be an admission or evidence of any</w:t>
      </w:r>
      <w:r>
        <w:rPr>
          <w:rFonts w:ascii="Arial" w:cs="Arial" w:eastAsia="Arial" w:hAnsi="Arial"/>
          <w:sz w:val="17"/>
          <w:szCs w:val="17"/>
          <w:color w:val="auto"/>
        </w:rPr>
        <w:t xml:space="preserve"> wrongdoing or liability on the part of Releasees, their representatives, heirs, executors, attorneys, agents, partners, officers, shareholders, directors, employees, subsidiaries, affiliates, divisions, successors or assigns.</w:t>
      </w:r>
    </w:p>
    <w:p>
      <w:pPr>
        <w:sectPr>
          <w:pgSz w:w="11900" w:h="16838" w:orient="portrait"/>
          <w:cols w:equalWidth="0" w:num="1">
            <w:col w:w="11240"/>
          </w:cols>
          <w:pgMar w:left="320" w:top="1393" w:right="339" w:bottom="1440" w:gutter="0" w:footer="0" w:header="0"/>
        </w:sectPr>
      </w:pPr>
    </w:p>
    <w:bookmarkStart w:id="165" w:name="page166"/>
    <w:bookmarkEnd w:id="165"/>
    <w:p>
      <w:pPr>
        <w:jc w:val="both"/>
        <w:ind w:firstLine="5"/>
        <w:spacing w:after="0" w:line="260" w:lineRule="auto"/>
        <w:tabs>
          <w:tab w:leader="none" w:pos="29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Complete and Voluntary Agreement</w:t>
      </w:r>
      <w:r>
        <w:rPr>
          <w:rFonts w:ascii="Arial" w:cs="Arial" w:eastAsia="Arial" w:hAnsi="Arial"/>
          <w:sz w:val="17"/>
          <w:szCs w:val="17"/>
          <w:color w:val="auto"/>
        </w:rPr>
        <w:t xml:space="preserve"> </w:t>
      </w:r>
      <w:r>
        <w:rPr>
          <w:rFonts w:ascii="Arial" w:cs="Arial" w:eastAsia="Arial" w:hAnsi="Arial"/>
          <w:sz w:val="17"/>
          <w:szCs w:val="17"/>
          <w:color w:val="auto"/>
          <w:highlight w:val="white"/>
        </w:rPr>
        <w:t>: This Agreement constitute the entire agreement between you and Releasees with respect to the subject</w:t>
      </w:r>
      <w:r>
        <w:rPr>
          <w:rFonts w:ascii="Arial" w:cs="Arial" w:eastAsia="Arial" w:hAnsi="Arial"/>
          <w:sz w:val="17"/>
          <w:szCs w:val="17"/>
          <w:color w:val="auto"/>
        </w:rPr>
        <w:t xml:space="preserve">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219" w:lineRule="exact"/>
        <w:rPr>
          <w:rFonts w:ascii="Arial" w:cs="Arial" w:eastAsia="Arial" w:hAnsi="Arial"/>
          <w:sz w:val="17"/>
          <w:szCs w:val="17"/>
          <w:color w:val="auto"/>
        </w:rPr>
      </w:pPr>
    </w:p>
    <w:p>
      <w:pPr>
        <w:jc w:val="both"/>
        <w:ind w:firstLine="5"/>
        <w:spacing w:after="0" w:line="262" w:lineRule="auto"/>
        <w:tabs>
          <w:tab w:leader="none" w:pos="29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218" w:lineRule="exact"/>
        <w:rPr>
          <w:rFonts w:ascii="Arial" w:cs="Arial" w:eastAsia="Arial" w:hAnsi="Arial"/>
          <w:sz w:val="17"/>
          <w:szCs w:val="17"/>
          <w:color w:val="auto"/>
        </w:rPr>
      </w:pPr>
    </w:p>
    <w:p>
      <w:pPr>
        <w:jc w:val="both"/>
        <w:ind w:firstLine="5"/>
        <w:spacing w:after="0" w:line="261" w:lineRule="auto"/>
        <w:tabs>
          <w:tab w:leader="none" w:pos="29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Modification; Counterparts; Facsimile/PDF Signatures</w:t>
      </w:r>
      <w:r>
        <w:rPr>
          <w:rFonts w:ascii="Arial" w:cs="Arial" w:eastAsia="Arial" w:hAnsi="Arial"/>
          <w:sz w:val="17"/>
          <w:szCs w:val="17"/>
          <w:color w:val="auto"/>
        </w:rPr>
        <w:t xml:space="preserve"> :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217" w:lineRule="exact"/>
        <w:rPr>
          <w:rFonts w:ascii="Arial" w:cs="Arial" w:eastAsia="Arial" w:hAnsi="Arial"/>
          <w:sz w:val="17"/>
          <w:szCs w:val="17"/>
          <w:color w:val="auto"/>
        </w:rPr>
      </w:pPr>
    </w:p>
    <w:p>
      <w:pPr>
        <w:ind w:firstLine="5"/>
        <w:spacing w:after="0" w:line="274" w:lineRule="auto"/>
        <w:tabs>
          <w:tab w:leader="none" w:pos="30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Review of Separation Agreement</w:t>
      </w:r>
      <w:r>
        <w:rPr>
          <w:rFonts w:ascii="Arial" w:cs="Arial" w:eastAsia="Arial" w:hAnsi="Arial"/>
          <w:sz w:val="17"/>
          <w:szCs w:val="17"/>
          <w:color w:val="auto"/>
        </w:rPr>
        <w:t xml:space="preserve"> : You acknowledge that you had suitable time to think over this Agreement and to consult any counsel of your own choosing before signing this Agreement</w:t>
      </w:r>
    </w:p>
    <w:p>
      <w:pPr>
        <w:spacing w:after="0" w:line="207" w:lineRule="exact"/>
        <w:rPr>
          <w:rFonts w:ascii="Arial" w:cs="Arial" w:eastAsia="Arial" w:hAnsi="Arial"/>
          <w:sz w:val="17"/>
          <w:szCs w:val="17"/>
          <w:color w:val="auto"/>
        </w:rPr>
      </w:pPr>
    </w:p>
    <w:p>
      <w:pPr>
        <w:ind w:left="300" w:hanging="295"/>
        <w:spacing w:after="0"/>
        <w:tabs>
          <w:tab w:leader="none" w:pos="30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 This Agreement is effective on the day of its signing.</w:t>
      </w:r>
    </w:p>
    <w:p>
      <w:pPr>
        <w:spacing w:after="0" w:line="248" w:lineRule="exact"/>
        <w:rPr>
          <w:rFonts w:ascii="Arial" w:cs="Arial" w:eastAsia="Arial" w:hAnsi="Arial"/>
          <w:sz w:val="17"/>
          <w:szCs w:val="17"/>
          <w:color w:val="auto"/>
        </w:rPr>
      </w:pPr>
    </w:p>
    <w:p>
      <w:pPr>
        <w:ind w:left="300" w:hanging="295"/>
        <w:spacing w:after="0"/>
        <w:tabs>
          <w:tab w:leader="none" w:pos="30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 This Agreement shall be governed by and construed in accordance with the material laws of Switzerland.</w:t>
      </w:r>
    </w:p>
    <w:p>
      <w:pPr>
        <w:spacing w:after="0" w:line="236" w:lineRule="exact"/>
        <w:rPr>
          <w:sz w:val="20"/>
          <w:szCs w:val="20"/>
          <w:color w:val="auto"/>
        </w:rPr>
      </w:pPr>
    </w:p>
    <w:p>
      <w:pPr>
        <w:ind w:firstLine="627"/>
        <w:spacing w:after="0" w:line="233" w:lineRule="auto"/>
        <w:rPr>
          <w:sz w:val="20"/>
          <w:szCs w:val="20"/>
          <w:color w:val="auto"/>
        </w:rPr>
      </w:pPr>
      <w:r>
        <w:rPr>
          <w:rFonts w:ascii="Arial" w:cs="Arial" w:eastAsia="Arial" w:hAnsi="Arial"/>
          <w:sz w:val="17"/>
          <w:szCs w:val="17"/>
          <w:color w:val="auto"/>
        </w:rPr>
        <w:t>If you agree to abide by the terms outlined in this letter, please sign this letter below and also sign the attached copy and return it to me. I wish you the best in your future endeavors.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Annex 1: Wording of final reference letter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MongoDB Switzerland GmbH</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w:t>
      </w:r>
    </w:p>
    <w:p>
      <w:pPr>
        <w:spacing w:after="0"/>
        <w:rPr>
          <w:sz w:val="20"/>
          <w:szCs w:val="20"/>
          <w:color w:val="auto"/>
        </w:rPr>
      </w:pPr>
      <w:r>
        <w:rPr>
          <w:rFonts w:ascii="Arial" w:cs="Arial" w:eastAsia="Arial" w:hAnsi="Arial"/>
          <w:sz w:val="17"/>
          <w:szCs w:val="17"/>
          <w:color w:val="auto"/>
        </w:rPr>
        <w:t>[Name and title of person signing on behalf of the Company]</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READ, UNDERSTOOD AND AGREED</w:t>
      </w:r>
    </w:p>
    <w:p>
      <w:pPr>
        <w:sectPr>
          <w:pgSz w:w="11900" w:h="16838" w:orient="portrait"/>
          <w:cols w:equalWidth="0" w:num="1">
            <w:col w:w="11240"/>
          </w:cols>
          <w:pgMar w:left="320" w:top="139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___________________________ Cedric Pech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ectPr>
          <w:pgSz w:w="11900" w:h="16838" w:orient="portrait"/>
          <w:cols w:equalWidth="0" w:num="2">
            <w:col w:w="2860" w:space="720"/>
            <w:col w:w="7660"/>
          </w:cols>
          <w:pgMar w:left="320" w:top="1393" w:right="339" w:bottom="1440" w:gutter="0" w:footer="0" w:header="0"/>
          <w:type w:val="continuous"/>
        </w:sectPr>
      </w:pPr>
    </w:p>
    <w:bookmarkStart w:id="166" w:name="page167"/>
    <w:bookmarkEnd w:id="166"/>
    <w:p>
      <w:pPr>
        <w:spacing w:after="0" w:line="189" w:lineRule="exact"/>
        <w:rPr>
          <w:sz w:val="20"/>
          <w:szCs w:val="20"/>
          <w:color w:val="auto"/>
        </w:rPr>
      </w:pPr>
    </w:p>
    <w:p>
      <w:pPr>
        <w:jc w:val="center"/>
        <w:ind w:right="-339"/>
        <w:spacing w:after="0"/>
        <w:rPr>
          <w:sz w:val="20"/>
          <w:szCs w:val="20"/>
          <w:color w:val="auto"/>
        </w:rPr>
      </w:pPr>
      <w:r>
        <w:rPr>
          <w:rFonts w:ascii="Arial" w:cs="Arial" w:eastAsia="Arial" w:hAnsi="Arial"/>
          <w:sz w:val="17"/>
          <w:szCs w:val="17"/>
          <w:u w:val="single" w:color="auto"/>
          <w:color w:val="auto"/>
        </w:rPr>
        <w:t>Annex I to Appendix I</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[MongoDB Switzerland GmbH Letterhead]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is to confirm that Mr. Cedric Pech has been employed by MongoDB Switzerland GmbH as Chief Revenue Officer of MongoDB, Inc. since February 11, 2019, with recognized seniority since July 3, 2017.</w:t>
      </w:r>
    </w:p>
    <w:p>
      <w:pPr>
        <w:spacing w:after="0" w:line="200" w:lineRule="exact"/>
        <w:rPr>
          <w:sz w:val="20"/>
          <w:szCs w:val="20"/>
          <w:color w:val="auto"/>
        </w:rPr>
      </w:pPr>
    </w:p>
    <w:p>
      <w:pPr>
        <w:spacing w:after="0" w:line="242"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Mr. Cedric Pech main duties and responsibilities consisted in particular in management of MongoDB, Inc.’s sales organization including Recruiting, Development and Execution.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assessment of quality of the work will be supplemented upon exit.]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assessment of the behavior will be supplemented upon exit.]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wish Mr. Cedric Pech all the best in his future endeavors.</w:t>
      </w:r>
    </w:p>
    <w:p>
      <w:pPr>
        <w:sectPr>
          <w:pgSz w:w="11900" w:h="16838" w:orient="portrait"/>
          <w:cols w:equalWidth="0" w:num="1">
            <w:col w:w="10920"/>
          </w:cols>
          <w:pgMar w:left="320" w:top="1440" w:right="659" w:bottom="1440" w:gutter="0" w:footer="0" w:header="0"/>
        </w:sectPr>
      </w:pPr>
    </w:p>
    <w:bookmarkStart w:id="167" w:name="page168"/>
    <w:bookmarkEnd w:id="167"/>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Appendix II</w:t>
      </w:r>
    </w:p>
    <w:p>
      <w:pPr>
        <w:sectPr>
          <w:pgSz w:w="11900" w:h="16838" w:orient="portrait"/>
          <w:cols w:equalWidth="0" w:num="1">
            <w:col w:w="11200"/>
          </w:cols>
          <w:pgMar w:left="340" w:top="1440" w:right="35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German</w:t>
      </w:r>
    </w:p>
    <w:p>
      <w:pPr>
        <w:spacing w:after="0" w:line="49" w:lineRule="exact"/>
        <w:rPr>
          <w:sz w:val="20"/>
          <w:szCs w:val="20"/>
          <w:color w:val="auto"/>
        </w:rPr>
      </w:pPr>
    </w:p>
    <w:p>
      <w:pPr>
        <w:jc w:val="center"/>
        <w:ind w:left="20" w:right="180"/>
        <w:spacing w:after="0" w:line="242" w:lineRule="auto"/>
        <w:rPr>
          <w:sz w:val="20"/>
          <w:szCs w:val="20"/>
          <w:color w:val="auto"/>
        </w:rPr>
      </w:pPr>
      <w:r>
        <w:rPr>
          <w:rFonts w:ascii="Arial" w:cs="Arial" w:eastAsia="Arial" w:hAnsi="Arial"/>
          <w:sz w:val="17"/>
          <w:szCs w:val="17"/>
          <w:color w:val="auto"/>
        </w:rPr>
        <w:t>Übersicht über die wichtigsten Arbeits- und Ruhezeitvorschriften für Arbeitnehmer mit einer wöchentlicher Höchstarbeitszeit von 45h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 Vorbemerkung</w:t>
      </w:r>
    </w:p>
    <w:p>
      <w:pPr>
        <w:jc w:val="center"/>
        <w:spacing w:after="0" w:line="224" w:lineRule="auto"/>
        <w:rPr>
          <w:sz w:val="20"/>
          <w:szCs w:val="20"/>
          <w:color w:val="auto"/>
        </w:rPr>
      </w:pPr>
      <w:r>
        <w:rPr>
          <w:rFonts w:ascii="Arial" w:cs="Arial" w:eastAsia="Arial" w:hAnsi="Arial"/>
          <w:sz w:val="17"/>
          <w:szCs w:val="17"/>
          <w:color w:val="auto"/>
        </w:rPr>
        <w:t>In Betrieben mit weniger als 50 Angestellten kann die vereinfachte</w:t>
      </w:r>
    </w:p>
    <w:p>
      <w:pPr>
        <w:jc w:val="center"/>
        <w:spacing w:after="0" w:line="225" w:lineRule="auto"/>
        <w:rPr>
          <w:sz w:val="20"/>
          <w:szCs w:val="20"/>
          <w:color w:val="auto"/>
        </w:rPr>
      </w:pPr>
      <w:r>
        <w:rPr>
          <w:rFonts w:ascii="Arial" w:cs="Arial" w:eastAsia="Arial" w:hAnsi="Arial"/>
          <w:sz w:val="17"/>
          <w:szCs w:val="17"/>
          <w:color w:val="auto"/>
        </w:rPr>
        <w:t>Arbeitszeiterfassung gemäss Art. 73b der Verordnung 1 zum</w:t>
      </w:r>
    </w:p>
    <w:p>
      <w:pPr>
        <w:jc w:val="center"/>
        <w:spacing w:after="0" w:line="224" w:lineRule="auto"/>
        <w:rPr>
          <w:sz w:val="20"/>
          <w:szCs w:val="20"/>
          <w:color w:val="auto"/>
        </w:rPr>
      </w:pPr>
      <w:r>
        <w:rPr>
          <w:rFonts w:ascii="Arial" w:cs="Arial" w:eastAsia="Arial" w:hAnsi="Arial"/>
          <w:sz w:val="17"/>
          <w:szCs w:val="17"/>
          <w:color w:val="auto"/>
        </w:rPr>
        <w:t>Arbeitsgesetz (ArGV 1; SR 822.111) auch individuell mit der einzelnen Arbeitnehmerin oder dem einzelnen Arbeitnehmer schriftlich vereinbart werden.</w:t>
      </w:r>
    </w:p>
    <w:p>
      <w:pPr>
        <w:spacing w:after="0" w:line="2" w:lineRule="exact"/>
        <w:rPr>
          <w:sz w:val="20"/>
          <w:szCs w:val="20"/>
          <w:color w:val="auto"/>
        </w:rPr>
      </w:pPr>
    </w:p>
    <w:p>
      <w:pPr>
        <w:jc w:val="center"/>
        <w:ind w:left="20"/>
        <w:spacing w:after="0" w:line="224" w:lineRule="auto"/>
        <w:rPr>
          <w:sz w:val="20"/>
          <w:szCs w:val="20"/>
          <w:color w:val="auto"/>
        </w:rPr>
      </w:pPr>
      <w:r>
        <w:rPr>
          <w:rFonts w:ascii="Arial" w:cs="Arial" w:eastAsia="Arial" w:hAnsi="Arial"/>
          <w:sz w:val="17"/>
          <w:szCs w:val="17"/>
          <w:color w:val="auto"/>
        </w:rPr>
        <w:t>Für die Einführung der vereinfachten Arbeitszeiterfassung wird zunächst verlangt, dass die Arbeitszeiten zu einem namhaften Teil von der</w:t>
      </w:r>
    </w:p>
    <w:p>
      <w:pPr>
        <w:spacing w:after="0" w:line="1" w:lineRule="exact"/>
        <w:rPr>
          <w:sz w:val="20"/>
          <w:szCs w:val="20"/>
          <w:color w:val="auto"/>
        </w:rPr>
      </w:pPr>
    </w:p>
    <w:p>
      <w:pPr>
        <w:jc w:val="center"/>
        <w:ind w:left="20"/>
        <w:spacing w:after="0" w:line="224" w:lineRule="auto"/>
        <w:rPr>
          <w:sz w:val="20"/>
          <w:szCs w:val="20"/>
          <w:color w:val="auto"/>
        </w:rPr>
      </w:pPr>
      <w:r>
        <w:rPr>
          <w:rFonts w:ascii="Arial" w:cs="Arial" w:eastAsia="Arial" w:hAnsi="Arial"/>
          <w:sz w:val="17"/>
          <w:szCs w:val="17"/>
          <w:color w:val="auto"/>
        </w:rPr>
        <w:t>Arbeitnehmerin oder dem Arbeitnehmer selber festlegt werden können. Neben einem zwingenden Endjahresgespräch zur Arbeitsbelastung wird weiter vorausgesetzt, dass die individuelle Vereinbarung auf die geltenden Arbeits- und Ruhezeitvorschriften hinweist.</w:t>
      </w:r>
    </w:p>
    <w:p>
      <w:pPr>
        <w:spacing w:after="0" w:line="2" w:lineRule="exact"/>
        <w:rPr>
          <w:sz w:val="20"/>
          <w:szCs w:val="20"/>
          <w:color w:val="auto"/>
        </w:rPr>
      </w:pPr>
    </w:p>
    <w:p>
      <w:pPr>
        <w:jc w:val="center"/>
        <w:ind w:left="20" w:right="120"/>
        <w:spacing w:after="0" w:line="224" w:lineRule="auto"/>
        <w:rPr>
          <w:sz w:val="20"/>
          <w:szCs w:val="20"/>
          <w:color w:val="auto"/>
        </w:rPr>
      </w:pPr>
      <w:r>
        <w:rPr>
          <w:rFonts w:ascii="Arial" w:cs="Arial" w:eastAsia="Arial" w:hAnsi="Arial"/>
          <w:sz w:val="17"/>
          <w:szCs w:val="17"/>
          <w:color w:val="auto"/>
        </w:rPr>
        <w:t>Das vorliegende Informationspapier weist auf die wichtigsten Arbeits-und Ruhezeitvorschriften hin und kann als Anhang der erwähnten Vereinbarung verwendet werden.</w:t>
      </w:r>
    </w:p>
    <w:p>
      <w:pPr>
        <w:spacing w:after="0" w:line="2" w:lineRule="exact"/>
        <w:rPr>
          <w:sz w:val="20"/>
          <w:szCs w:val="20"/>
          <w:color w:val="auto"/>
        </w:rPr>
      </w:pPr>
    </w:p>
    <w:p>
      <w:pPr>
        <w:jc w:val="center"/>
        <w:ind w:left="20" w:right="60"/>
        <w:spacing w:after="0" w:line="229" w:lineRule="auto"/>
        <w:rPr>
          <w:sz w:val="20"/>
          <w:szCs w:val="20"/>
          <w:color w:val="auto"/>
        </w:rPr>
      </w:pPr>
      <w:r>
        <w:rPr>
          <w:rFonts w:ascii="Arial" w:cs="Arial" w:eastAsia="Arial" w:hAnsi="Arial"/>
          <w:sz w:val="17"/>
          <w:szCs w:val="17"/>
          <w:b w:val="1"/>
          <w:bCs w:val="1"/>
          <w:color w:val="auto"/>
        </w:rPr>
        <w:t xml:space="preserve">Hinweis: </w:t>
      </w:r>
      <w:r>
        <w:rPr>
          <w:rFonts w:ascii="Arial" w:cs="Arial" w:eastAsia="Arial" w:hAnsi="Arial"/>
          <w:sz w:val="17"/>
          <w:szCs w:val="17"/>
          <w:color w:val="auto"/>
        </w:rPr>
        <w:t>Es handelt sich vorliegend nicht um eine abschliessende</w:t>
      </w:r>
      <w:r>
        <w:rPr>
          <w:rFonts w:ascii="Arial" w:cs="Arial" w:eastAsia="Arial" w:hAnsi="Arial"/>
          <w:sz w:val="17"/>
          <w:szCs w:val="17"/>
          <w:b w:val="1"/>
          <w:bCs w:val="1"/>
          <w:color w:val="auto"/>
        </w:rPr>
        <w:t xml:space="preserve"> </w:t>
      </w:r>
      <w:r>
        <w:rPr>
          <w:rFonts w:ascii="Arial" w:cs="Arial" w:eastAsia="Arial" w:hAnsi="Arial"/>
          <w:sz w:val="17"/>
          <w:szCs w:val="17"/>
          <w:color w:val="auto"/>
        </w:rPr>
        <w:t>Auflistung der Arbeits- und Ruhezeitvorschriften. Massgebend sind die Bestimmungen des Arbeitsgesetzes (ArG; SR 822.11) und seiner Verordnungen. Weitergehende Informationen können der Wegleitung des SECO entnommen werden. Vorbehalten bleiben insbesondere abweichende Regelungen im Zusammenhang mit Nacht- und Sonntagsarbeit.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 Arbeitszeit</w:t>
      </w:r>
    </w:p>
    <w:p>
      <w:pPr>
        <w:jc w:val="center"/>
        <w:spacing w:after="0" w:line="224" w:lineRule="auto"/>
        <w:rPr>
          <w:sz w:val="20"/>
          <w:szCs w:val="20"/>
          <w:color w:val="auto"/>
        </w:rPr>
      </w:pPr>
      <w:r>
        <w:rPr>
          <w:rFonts w:ascii="Arial" w:cs="Arial" w:eastAsia="Arial" w:hAnsi="Arial"/>
          <w:sz w:val="17"/>
          <w:szCs w:val="17"/>
          <w:color w:val="auto"/>
        </w:rPr>
        <w:t>2.1 Begriff der Arbeitszeit</w:t>
      </w:r>
    </w:p>
    <w:p>
      <w:pPr>
        <w:spacing w:after="0" w:line="1" w:lineRule="exact"/>
        <w:rPr>
          <w:sz w:val="20"/>
          <w:szCs w:val="20"/>
          <w:color w:val="auto"/>
        </w:rPr>
      </w:pPr>
    </w:p>
    <w:p>
      <w:pPr>
        <w:jc w:val="center"/>
        <w:ind w:left="20" w:right="80"/>
        <w:spacing w:after="0" w:line="224" w:lineRule="auto"/>
        <w:rPr>
          <w:sz w:val="20"/>
          <w:szCs w:val="20"/>
          <w:color w:val="auto"/>
        </w:rPr>
      </w:pPr>
      <w:r>
        <w:rPr>
          <w:rFonts w:ascii="Arial" w:cs="Arial" w:eastAsia="Arial" w:hAnsi="Arial"/>
          <w:sz w:val="17"/>
          <w:szCs w:val="17"/>
          <w:color w:val="auto"/>
        </w:rPr>
        <w:t xml:space="preserve">Als </w:t>
      </w:r>
      <w:r>
        <w:rPr>
          <w:rFonts w:ascii="Arial" w:cs="Arial" w:eastAsia="Arial" w:hAnsi="Arial"/>
          <w:sz w:val="17"/>
          <w:szCs w:val="17"/>
          <w:i w:val="1"/>
          <w:iCs w:val="1"/>
          <w:color w:val="auto"/>
        </w:rPr>
        <w:t>Arbeitszeit</w:t>
      </w:r>
      <w:r>
        <w:rPr>
          <w:rFonts w:ascii="Arial" w:cs="Arial" w:eastAsia="Arial" w:hAnsi="Arial"/>
          <w:sz w:val="17"/>
          <w:szCs w:val="17"/>
          <w:color w:val="auto"/>
        </w:rPr>
        <w:t xml:space="preserve"> im Sinne des Arbeitsgesetzes gilt die Zeit, während der sich die Arbeitnehmerin oder der Arbeitnehmer zur Verfügung des Arbeitgebers zu halten hat (Art. 13 Abs. 1 ArGV 1).</w:t>
      </w:r>
    </w:p>
    <w:p>
      <w:pPr>
        <w:jc w:val="center"/>
        <w:spacing w:after="0" w:line="226" w:lineRule="auto"/>
        <w:rPr>
          <w:sz w:val="20"/>
          <w:szCs w:val="20"/>
          <w:color w:val="auto"/>
        </w:rPr>
      </w:pPr>
      <w:r>
        <w:rPr>
          <w:rFonts w:ascii="Arial" w:cs="Arial" w:eastAsia="Arial" w:hAnsi="Arial"/>
          <w:sz w:val="17"/>
          <w:szCs w:val="17"/>
          <w:color w:val="auto"/>
        </w:rPr>
        <w:t xml:space="preserve">Der </w:t>
      </w:r>
      <w:r>
        <w:rPr>
          <w:rFonts w:ascii="Arial" w:cs="Arial" w:eastAsia="Arial" w:hAnsi="Arial"/>
          <w:sz w:val="17"/>
          <w:szCs w:val="17"/>
          <w:i w:val="1"/>
          <w:iCs w:val="1"/>
          <w:color w:val="auto"/>
        </w:rPr>
        <w:t>Weg zu und von der Arbeit</w:t>
      </w:r>
      <w:r>
        <w:rPr>
          <w:rFonts w:ascii="Arial" w:cs="Arial" w:eastAsia="Arial" w:hAnsi="Arial"/>
          <w:sz w:val="17"/>
          <w:szCs w:val="17"/>
          <w:color w:val="auto"/>
        </w:rPr>
        <w:t xml:space="preserve"> gilt nicht als Arbeitszeit. Ist die Arbeit</w:t>
      </w:r>
    </w:p>
    <w:p>
      <w:pPr>
        <w:jc w:val="center"/>
        <w:spacing w:after="0"/>
        <w:rPr>
          <w:sz w:val="20"/>
          <w:szCs w:val="20"/>
          <w:color w:val="auto"/>
        </w:rPr>
      </w:pPr>
      <w:r>
        <w:rPr>
          <w:rFonts w:ascii="Arial" w:cs="Arial" w:eastAsia="Arial" w:hAnsi="Arial"/>
          <w:sz w:val="17"/>
          <w:szCs w:val="17"/>
          <w:color w:val="auto"/>
        </w:rPr>
        <w:t>jedoch ausserhalb des Arbeitsortes zu leisten, an dem die Arbeitnehmerin oder der Arbeitnehmer gewöhnlich ihre Arbeit verrichten, und fällt dadurch die Wegzeit länger als üblich aus, so stellt die zeitliche Differenz zur normalen Wegzeit Arbeitszeit dar (Art. 13 Abs. 2 ArGV 1).</w:t>
      </w:r>
    </w:p>
    <w:p>
      <w:pPr>
        <w:spacing w:after="0" w:line="133" w:lineRule="exact"/>
        <w:rPr>
          <w:sz w:val="20"/>
          <w:szCs w:val="20"/>
          <w:color w:val="auto"/>
        </w:rPr>
      </w:pPr>
    </w:p>
    <w:p>
      <w:pPr>
        <w:jc w:val="center"/>
        <w:ind w:left="20" w:right="80"/>
        <w:spacing w:after="0" w:line="224" w:lineRule="auto"/>
        <w:rPr>
          <w:sz w:val="20"/>
          <w:szCs w:val="20"/>
          <w:color w:val="auto"/>
        </w:rPr>
      </w:pPr>
      <w:r>
        <w:rPr>
          <w:rFonts w:ascii="Arial" w:cs="Arial" w:eastAsia="Arial" w:hAnsi="Arial"/>
          <w:sz w:val="17"/>
          <w:szCs w:val="17"/>
          <w:i w:val="1"/>
          <w:iCs w:val="1"/>
          <w:color w:val="auto"/>
        </w:rPr>
        <w:t xml:space="preserve">Pausen </w:t>
      </w:r>
      <w:r>
        <w:rPr>
          <w:rFonts w:ascii="Arial" w:cs="Arial" w:eastAsia="Arial" w:hAnsi="Arial"/>
          <w:sz w:val="17"/>
          <w:szCs w:val="17"/>
          <w:color w:val="auto"/>
        </w:rPr>
        <w:t>gelten dann als Arbeitszeit, wenn die Arbeitnehmerin oder der</w:t>
      </w:r>
      <w:r>
        <w:rPr>
          <w:rFonts w:ascii="Arial" w:cs="Arial" w:eastAsia="Arial" w:hAnsi="Arial"/>
          <w:sz w:val="17"/>
          <w:szCs w:val="17"/>
          <w:i w:val="1"/>
          <w:iCs w:val="1"/>
          <w:color w:val="auto"/>
        </w:rPr>
        <w:t xml:space="preserve"> </w:t>
      </w:r>
      <w:r>
        <w:rPr>
          <w:rFonts w:ascii="Arial" w:cs="Arial" w:eastAsia="Arial" w:hAnsi="Arial"/>
          <w:sz w:val="17"/>
          <w:szCs w:val="17"/>
          <w:color w:val="auto"/>
        </w:rPr>
        <w:t>Arbeitnehmer den Arbeitsplatz nicht verlassen dürfen (Art. 15 Abs. 2 ArG).</w:t>
      </w:r>
    </w:p>
    <w:p>
      <w:pPr>
        <w:spacing w:after="0" w:line="2" w:lineRule="exact"/>
        <w:rPr>
          <w:sz w:val="20"/>
          <w:szCs w:val="20"/>
          <w:color w:val="auto"/>
        </w:rPr>
      </w:pPr>
    </w:p>
    <w:p>
      <w:pPr>
        <w:jc w:val="both"/>
        <w:ind w:left="360" w:right="340" w:firstLine="34"/>
        <w:spacing w:after="0" w:line="242" w:lineRule="auto"/>
        <w:rPr>
          <w:sz w:val="20"/>
          <w:szCs w:val="20"/>
          <w:color w:val="auto"/>
        </w:rPr>
      </w:pPr>
      <w:r>
        <w:rPr>
          <w:rFonts w:ascii="Arial" w:cs="Arial" w:eastAsia="Arial" w:hAnsi="Arial"/>
          <w:sz w:val="17"/>
          <w:szCs w:val="17"/>
          <w:color w:val="auto"/>
        </w:rPr>
        <w:t xml:space="preserve">Wird </w:t>
      </w:r>
      <w:r>
        <w:rPr>
          <w:rFonts w:ascii="Arial" w:cs="Arial" w:eastAsia="Arial" w:hAnsi="Arial"/>
          <w:sz w:val="17"/>
          <w:szCs w:val="17"/>
          <w:i w:val="1"/>
          <w:iCs w:val="1"/>
          <w:color w:val="auto"/>
        </w:rPr>
        <w:t>Pikettdienst im Betrieb</w:t>
      </w:r>
      <w:r>
        <w:rPr>
          <w:rFonts w:ascii="Arial" w:cs="Arial" w:eastAsia="Arial" w:hAnsi="Arial"/>
          <w:sz w:val="17"/>
          <w:szCs w:val="17"/>
          <w:color w:val="auto"/>
        </w:rPr>
        <w:t xml:space="preserve"> geleistet, so stellt die gesamte zur Verfügung gestellte Zeit Arbeitszeit dar (Art. 15 Abs. 1 ArGV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 Wöchentliche Höchstarbeitszeit</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English</w:t>
      </w:r>
    </w:p>
    <w:p>
      <w:pPr>
        <w:spacing w:after="0" w:line="49" w:lineRule="exact"/>
        <w:rPr>
          <w:sz w:val="20"/>
          <w:szCs w:val="20"/>
          <w:color w:val="auto"/>
        </w:rPr>
      </w:pPr>
    </w:p>
    <w:p>
      <w:pPr>
        <w:ind w:left="420" w:right="420" w:hanging="14"/>
        <w:spacing w:after="0" w:line="242" w:lineRule="auto"/>
        <w:rPr>
          <w:sz w:val="20"/>
          <w:szCs w:val="20"/>
          <w:color w:val="auto"/>
        </w:rPr>
      </w:pPr>
      <w:r>
        <w:rPr>
          <w:rFonts w:ascii="Arial" w:cs="Arial" w:eastAsia="Arial" w:hAnsi="Arial"/>
          <w:sz w:val="17"/>
          <w:szCs w:val="17"/>
          <w:color w:val="auto"/>
        </w:rPr>
        <w:t>Overview of the main working and resting time regulations for Employees with a maximum weekly working time of 45 hours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 Preface</w:t>
      </w:r>
    </w:p>
    <w:p>
      <w:pPr>
        <w:jc w:val="center"/>
        <w:spacing w:after="0" w:line="224" w:lineRule="auto"/>
        <w:rPr>
          <w:sz w:val="20"/>
          <w:szCs w:val="20"/>
          <w:color w:val="auto"/>
        </w:rPr>
      </w:pPr>
      <w:r>
        <w:rPr>
          <w:rFonts w:ascii="Arial" w:cs="Arial" w:eastAsia="Arial" w:hAnsi="Arial"/>
          <w:sz w:val="17"/>
          <w:szCs w:val="17"/>
          <w:color w:val="auto"/>
        </w:rPr>
        <w:t>In companies with fewer than 50 employees, the simplified working hour tracking system can be calculated according to Article 73b of Regulation 1 of the Labor Code (SR 1 822.111) also individually with the specific employee in writing.</w:t>
      </w:r>
    </w:p>
    <w:p>
      <w:pPr>
        <w:spacing w:after="0" w:line="2" w:lineRule="exact"/>
        <w:rPr>
          <w:sz w:val="20"/>
          <w:szCs w:val="20"/>
          <w:color w:val="auto"/>
        </w:rPr>
      </w:pPr>
    </w:p>
    <w:p>
      <w:pPr>
        <w:jc w:val="center"/>
        <w:ind w:left="200"/>
        <w:spacing w:after="0" w:line="231" w:lineRule="auto"/>
        <w:rPr>
          <w:sz w:val="20"/>
          <w:szCs w:val="20"/>
          <w:color w:val="auto"/>
        </w:rPr>
      </w:pPr>
      <w:r>
        <w:rPr>
          <w:rFonts w:ascii="Arial" w:cs="Arial" w:eastAsia="Arial" w:hAnsi="Arial"/>
          <w:sz w:val="17"/>
          <w:szCs w:val="17"/>
          <w:color w:val="auto"/>
        </w:rPr>
        <w:t>For the introduction of the simplified working time tracking, it is first required that the employee to a considerable extent can determine his/her own working hours. In addition to a mandatory end-of-year discussion on workload, it is also required the individual agreement references the applicable working and resting time regulations.</w:t>
      </w:r>
    </w:p>
    <w:p>
      <w:pPr>
        <w:spacing w:after="0" w:line="209" w:lineRule="exact"/>
        <w:rPr>
          <w:sz w:val="20"/>
          <w:szCs w:val="20"/>
          <w:color w:val="auto"/>
        </w:rPr>
      </w:pPr>
    </w:p>
    <w:p>
      <w:pPr>
        <w:jc w:val="center"/>
        <w:ind w:left="260" w:right="20"/>
        <w:spacing w:after="0" w:line="235" w:lineRule="auto"/>
        <w:rPr>
          <w:sz w:val="20"/>
          <w:szCs w:val="20"/>
          <w:color w:val="auto"/>
        </w:rPr>
      </w:pPr>
      <w:r>
        <w:rPr>
          <w:rFonts w:ascii="Arial" w:cs="Arial" w:eastAsia="Arial" w:hAnsi="Arial"/>
          <w:sz w:val="17"/>
          <w:szCs w:val="17"/>
          <w:color w:val="auto"/>
        </w:rPr>
        <w:t>This information paper points out the most important working and resting hours regulations and can be used as an annex to the aforementioned agreement.</w:t>
      </w:r>
    </w:p>
    <w:p>
      <w:pPr>
        <w:spacing w:after="0" w:line="200" w:lineRule="exact"/>
        <w:rPr>
          <w:sz w:val="20"/>
          <w:szCs w:val="20"/>
          <w:color w:val="auto"/>
        </w:rPr>
      </w:pPr>
    </w:p>
    <w:p>
      <w:pPr>
        <w:spacing w:after="0" w:line="223" w:lineRule="exact"/>
        <w:rPr>
          <w:sz w:val="20"/>
          <w:szCs w:val="20"/>
          <w:color w:val="auto"/>
        </w:rPr>
      </w:pPr>
    </w:p>
    <w:p>
      <w:pPr>
        <w:jc w:val="both"/>
        <w:ind w:left="40" w:right="60" w:firstLine="30"/>
        <w:spacing w:after="0" w:line="233"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is not a conclusive list of working and rest time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the Labor Code (ArG, SR 822.11) and its regulations govern. Further information can be found in the guidance of the SECO.</w:t>
      </w:r>
    </w:p>
    <w:p>
      <w:pPr>
        <w:spacing w:after="0" w:line="2" w:lineRule="exact"/>
        <w:rPr>
          <w:sz w:val="20"/>
          <w:szCs w:val="20"/>
          <w:color w:val="auto"/>
        </w:rPr>
      </w:pPr>
    </w:p>
    <w:p>
      <w:pPr>
        <w:jc w:val="center"/>
        <w:ind w:left="140" w:right="20"/>
        <w:spacing w:after="0" w:line="242" w:lineRule="auto"/>
        <w:rPr>
          <w:sz w:val="20"/>
          <w:szCs w:val="20"/>
          <w:color w:val="auto"/>
        </w:rPr>
      </w:pPr>
      <w:r>
        <w:rPr>
          <w:rFonts w:ascii="Arial" w:cs="Arial" w:eastAsia="Arial" w:hAnsi="Arial"/>
          <w:sz w:val="17"/>
          <w:szCs w:val="17"/>
          <w:color w:val="auto"/>
        </w:rPr>
        <w:t>Changes are reserved as to regulations relating to night and Sunday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 Working time</w:t>
      </w:r>
    </w:p>
    <w:p>
      <w:pPr>
        <w:jc w:val="center"/>
        <w:spacing w:after="0" w:line="224" w:lineRule="auto"/>
        <w:rPr>
          <w:sz w:val="20"/>
          <w:szCs w:val="20"/>
          <w:color w:val="auto"/>
        </w:rPr>
      </w:pPr>
      <w:r>
        <w:rPr>
          <w:rFonts w:ascii="Arial" w:cs="Arial" w:eastAsia="Arial" w:hAnsi="Arial"/>
          <w:sz w:val="17"/>
          <w:szCs w:val="17"/>
          <w:color w:val="auto"/>
        </w:rPr>
        <w:t>2.1 Concept of working time</w:t>
      </w:r>
    </w:p>
    <w:p>
      <w:pPr>
        <w:spacing w:after="0" w:line="1" w:lineRule="exact"/>
        <w:rPr>
          <w:sz w:val="20"/>
          <w:szCs w:val="20"/>
          <w:color w:val="auto"/>
        </w:rPr>
      </w:pPr>
    </w:p>
    <w:p>
      <w:pPr>
        <w:jc w:val="center"/>
        <w:ind w:left="100" w:right="20"/>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working time</w:t>
      </w:r>
      <w:r>
        <w:rPr>
          <w:rFonts w:ascii="Arial" w:cs="Arial" w:eastAsia="Arial" w:hAnsi="Arial"/>
          <w:sz w:val="17"/>
          <w:szCs w:val="17"/>
          <w:color w:val="auto"/>
        </w:rPr>
        <w:t xml:space="preserve"> in the sense of the Labor Code is the time during which the employee is at the employer's disposal (Article 13 (1) ArGV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way to and from work</w:t>
      </w:r>
      <w:r>
        <w:rPr>
          <w:rFonts w:ascii="Arial" w:cs="Arial" w:eastAsia="Arial" w:hAnsi="Arial"/>
          <w:sz w:val="17"/>
          <w:szCs w:val="17"/>
          <w:color w:val="auto"/>
        </w:rPr>
        <w:t xml:space="preserve"> is not considered working time. However, if</w:t>
      </w:r>
    </w:p>
    <w:p>
      <w:pPr>
        <w:spacing w:after="0" w:line="5" w:lineRule="exact"/>
        <w:rPr>
          <w:sz w:val="20"/>
          <w:szCs w:val="20"/>
          <w:color w:val="auto"/>
        </w:rPr>
      </w:pPr>
    </w:p>
    <w:p>
      <w:pPr>
        <w:jc w:val="center"/>
        <w:ind w:left="100" w:right="20"/>
        <w:spacing w:after="0" w:line="232" w:lineRule="auto"/>
        <w:rPr>
          <w:sz w:val="20"/>
          <w:szCs w:val="20"/>
          <w:color w:val="auto"/>
        </w:rPr>
      </w:pPr>
      <w:r>
        <w:rPr>
          <w:rFonts w:ascii="Arial" w:cs="Arial" w:eastAsia="Arial" w:hAnsi="Arial"/>
          <w:sz w:val="17"/>
          <w:szCs w:val="17"/>
          <w:color w:val="auto"/>
        </w:rPr>
        <w:t>the work is to be performed outside the place of work where the employee usually carries out his / her work, and for that reason, the travel time is longer than usual, then the time difference to the normal travel time is deemed working time (Article 13 (2) ArGV 1).</w:t>
      </w:r>
    </w:p>
    <w:p>
      <w:pPr>
        <w:spacing w:after="0" w:line="193" w:lineRule="exact"/>
        <w:rPr>
          <w:sz w:val="20"/>
          <w:szCs w:val="20"/>
          <w:color w:val="auto"/>
        </w:rPr>
      </w:pPr>
    </w:p>
    <w:p>
      <w:pPr>
        <w:jc w:val="center"/>
        <w:ind w:left="20" w:right="20"/>
        <w:spacing w:after="0" w:line="264" w:lineRule="auto"/>
        <w:rPr>
          <w:sz w:val="20"/>
          <w:szCs w:val="20"/>
          <w:color w:val="auto"/>
        </w:rPr>
      </w:pPr>
      <w:r>
        <w:rPr>
          <w:rFonts w:ascii="Arial" w:cs="Arial" w:eastAsia="Arial" w:hAnsi="Arial"/>
          <w:sz w:val="17"/>
          <w:szCs w:val="17"/>
          <w:i w:val="1"/>
          <w:iCs w:val="1"/>
          <w:color w:val="auto"/>
        </w:rPr>
        <w:t xml:space="preserve">Breaks </w:t>
      </w:r>
      <w:r>
        <w:rPr>
          <w:rFonts w:ascii="Arial" w:cs="Arial" w:eastAsia="Arial" w:hAnsi="Arial"/>
          <w:sz w:val="17"/>
          <w:szCs w:val="17"/>
          <w:color w:val="auto"/>
        </w:rPr>
        <w:t>are considered working hours when the employee is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at the workplace (Article 15 (2) ArG).</w:t>
      </w:r>
    </w:p>
    <w:p>
      <w:pPr>
        <w:spacing w:after="0" w:line="171" w:lineRule="exact"/>
        <w:rPr>
          <w:sz w:val="20"/>
          <w:szCs w:val="20"/>
          <w:color w:val="auto"/>
        </w:rPr>
      </w:pPr>
    </w:p>
    <w:p>
      <w:pPr>
        <w:jc w:val="center"/>
        <w:ind w:left="40" w:right="20"/>
        <w:spacing w:after="0" w:line="264" w:lineRule="auto"/>
        <w:rPr>
          <w:sz w:val="20"/>
          <w:szCs w:val="20"/>
          <w:color w:val="auto"/>
        </w:rPr>
      </w:pPr>
      <w:r>
        <w:rPr>
          <w:rFonts w:ascii="Arial" w:cs="Arial" w:eastAsia="Arial" w:hAnsi="Arial"/>
          <w:sz w:val="17"/>
          <w:szCs w:val="17"/>
          <w:color w:val="auto"/>
        </w:rPr>
        <w:t xml:space="preserve">If </w:t>
      </w:r>
      <w:r>
        <w:rPr>
          <w:rFonts w:ascii="Arial" w:cs="Arial" w:eastAsia="Arial" w:hAnsi="Arial"/>
          <w:sz w:val="17"/>
          <w:szCs w:val="17"/>
          <w:i w:val="1"/>
          <w:iCs w:val="1"/>
          <w:color w:val="auto"/>
        </w:rPr>
        <w:t>on-call service</w:t>
      </w:r>
      <w:r>
        <w:rPr>
          <w:rFonts w:ascii="Arial" w:cs="Arial" w:eastAsia="Arial" w:hAnsi="Arial"/>
          <w:sz w:val="17"/>
          <w:szCs w:val="17"/>
          <w:color w:val="auto"/>
        </w:rPr>
        <w:t xml:space="preserve"> is provided on the premises, the total time shall be the working time (Article 15 (1) ArGV 1).</w:t>
      </w:r>
    </w:p>
    <w:p>
      <w:pPr>
        <w:sectPr>
          <w:pgSz w:w="11900" w:h="16838" w:orient="portrait"/>
          <w:cols w:equalWidth="0" w:num="2">
            <w:col w:w="5580" w:space="60"/>
            <w:col w:w="5560"/>
          </w:cols>
          <w:pgMar w:left="340" w:top="1440" w:right="359" w:bottom="1440" w:gutter="0" w:footer="0" w:header="0"/>
          <w:type w:val="continuous"/>
        </w:sectPr>
      </w:pPr>
    </w:p>
    <w:bookmarkStart w:id="168" w:name="page169"/>
    <w:bookmarkEnd w:id="168"/>
    <w:p>
      <w:pPr>
        <w:jc w:val="center"/>
        <w:ind w:left="20"/>
        <w:spacing w:after="0"/>
        <w:rPr>
          <w:sz w:val="20"/>
          <w:szCs w:val="20"/>
          <w:color w:val="auto"/>
        </w:rPr>
      </w:pPr>
      <w:r>
        <w:rPr>
          <w:rFonts w:ascii="Arial" w:cs="Arial" w:eastAsia="Arial" w:hAnsi="Arial"/>
          <w:sz w:val="17"/>
          <w:szCs w:val="17"/>
          <w:color w:val="auto"/>
        </w:rPr>
        <w:t>Pro Woche darf in der Regel maximal während 45 Stunden gearbeitet</w:t>
      </w:r>
    </w:p>
    <w:p>
      <w:pPr>
        <w:jc w:val="center"/>
        <w:ind w:left="20"/>
        <w:spacing w:after="0" w:line="224" w:lineRule="auto"/>
        <w:rPr>
          <w:sz w:val="20"/>
          <w:szCs w:val="20"/>
          <w:color w:val="auto"/>
        </w:rPr>
      </w:pPr>
      <w:r>
        <w:rPr>
          <w:rFonts w:ascii="Arial" w:cs="Arial" w:eastAsia="Arial" w:hAnsi="Arial"/>
          <w:sz w:val="17"/>
          <w:szCs w:val="17"/>
          <w:color w:val="auto"/>
        </w:rPr>
        <w:t>werden (Art. 9 Abs. 1 lit. a ArG).</w:t>
      </w:r>
    </w:p>
    <w:p>
      <w:pPr>
        <w:jc w:val="center"/>
        <w:ind w:left="20"/>
        <w:spacing w:after="0" w:line="225" w:lineRule="auto"/>
        <w:rPr>
          <w:sz w:val="20"/>
          <w:szCs w:val="20"/>
          <w:color w:val="auto"/>
        </w:rPr>
      </w:pPr>
      <w:r>
        <w:rPr>
          <w:rFonts w:ascii="Arial" w:cs="Arial" w:eastAsia="Arial" w:hAnsi="Arial"/>
          <w:sz w:val="17"/>
          <w:szCs w:val="17"/>
          <w:i w:val="1"/>
          <w:iCs w:val="1"/>
          <w:color w:val="auto"/>
        </w:rPr>
        <w:t xml:space="preserve">Überzeit </w:t>
      </w:r>
      <w:r>
        <w:rPr>
          <w:rFonts w:ascii="Arial" w:cs="Arial" w:eastAsia="Arial" w:hAnsi="Arial"/>
          <w:sz w:val="17"/>
          <w:szCs w:val="17"/>
          <w:color w:val="auto"/>
        </w:rPr>
        <w:t>: Die Arbeitszeit, welche über diese gesetzlich erlaubte</w:t>
      </w:r>
    </w:p>
    <w:p>
      <w:pPr>
        <w:jc w:val="center"/>
        <w:ind w:left="20"/>
        <w:spacing w:after="0" w:line="224" w:lineRule="auto"/>
        <w:rPr>
          <w:sz w:val="20"/>
          <w:szCs w:val="20"/>
          <w:color w:val="auto"/>
        </w:rPr>
      </w:pPr>
      <w:r>
        <w:rPr>
          <w:rFonts w:ascii="Arial" w:cs="Arial" w:eastAsia="Arial" w:hAnsi="Arial"/>
          <w:sz w:val="17"/>
          <w:szCs w:val="17"/>
          <w:color w:val="auto"/>
        </w:rPr>
        <w:t>wöchentliche Höchstarbeitszeit geleistet wird, ist sogenannte Überzeit.</w:t>
      </w:r>
    </w:p>
    <w:p>
      <w:pPr>
        <w:jc w:val="center"/>
        <w:ind w:left="20"/>
        <w:spacing w:after="0" w:line="225" w:lineRule="auto"/>
        <w:rPr>
          <w:sz w:val="20"/>
          <w:szCs w:val="20"/>
          <w:color w:val="auto"/>
        </w:rPr>
      </w:pPr>
      <w:r>
        <w:rPr>
          <w:rFonts w:ascii="Arial" w:cs="Arial" w:eastAsia="Arial" w:hAnsi="Arial"/>
          <w:sz w:val="17"/>
          <w:szCs w:val="17"/>
          <w:color w:val="auto"/>
        </w:rPr>
        <w:t>Die Leistung von Überzeitarbeit ist einzig aus den in Ziffer 2.2</w:t>
      </w:r>
    </w:p>
    <w:p>
      <w:pPr>
        <w:jc w:val="center"/>
        <w:ind w:left="20"/>
        <w:spacing w:after="0" w:line="225" w:lineRule="auto"/>
        <w:rPr>
          <w:sz w:val="20"/>
          <w:szCs w:val="20"/>
          <w:color w:val="auto"/>
        </w:rPr>
      </w:pPr>
      <w:r>
        <w:rPr>
          <w:rFonts w:ascii="Arial" w:cs="Arial" w:eastAsia="Arial" w:hAnsi="Arial"/>
          <w:sz w:val="17"/>
          <w:szCs w:val="17"/>
          <w:color w:val="auto"/>
        </w:rPr>
        <w:t>erwähnten Gründen zulässig. Überzeitarbeit ist in der Regel mit einem</w:t>
      </w:r>
    </w:p>
    <w:p>
      <w:pPr>
        <w:jc w:val="center"/>
        <w:ind w:left="20"/>
        <w:spacing w:after="0"/>
        <w:rPr>
          <w:sz w:val="20"/>
          <w:szCs w:val="20"/>
          <w:color w:val="auto"/>
        </w:rPr>
      </w:pPr>
      <w:r>
        <w:rPr>
          <w:rFonts w:ascii="Arial" w:cs="Arial" w:eastAsia="Arial" w:hAnsi="Arial"/>
          <w:sz w:val="17"/>
          <w:szCs w:val="17"/>
          <w:color w:val="auto"/>
        </w:rPr>
        <w:t>Lohnzuschlag von 25 % zu entschädigen.</w:t>
      </w:r>
    </w:p>
    <w:p>
      <w:pPr>
        <w:spacing w:after="0" w:line="205" w:lineRule="exact"/>
        <w:rPr>
          <w:sz w:val="20"/>
          <w:szCs w:val="20"/>
          <w:color w:val="auto"/>
        </w:rPr>
      </w:pPr>
    </w:p>
    <w:p>
      <w:pPr>
        <w:jc w:val="center"/>
        <w:ind w:left="20"/>
        <w:spacing w:after="0" w:line="233" w:lineRule="auto"/>
        <w:rPr>
          <w:sz w:val="20"/>
          <w:szCs w:val="20"/>
          <w:color w:val="auto"/>
        </w:rPr>
      </w:pPr>
      <w:r>
        <w:rPr>
          <w:rFonts w:ascii="Arial" w:cs="Arial" w:eastAsia="Arial" w:hAnsi="Arial"/>
          <w:sz w:val="17"/>
          <w:szCs w:val="17"/>
          <w:i w:val="1"/>
          <w:iCs w:val="1"/>
          <w:color w:val="auto"/>
        </w:rPr>
        <w:t xml:space="preserve">Überstunden </w:t>
      </w:r>
      <w:r>
        <w:rPr>
          <w:rFonts w:ascii="Arial" w:cs="Arial" w:eastAsia="Arial" w:hAnsi="Arial"/>
          <w:sz w:val="17"/>
          <w:szCs w:val="17"/>
          <w:color w:val="auto"/>
        </w:rPr>
        <w:t>: Als sogenannte Überstunden werden demgegenüber</w:t>
      </w:r>
      <w:r>
        <w:rPr>
          <w:rFonts w:ascii="Arial" w:cs="Arial" w:eastAsia="Arial" w:hAnsi="Arial"/>
          <w:sz w:val="17"/>
          <w:szCs w:val="17"/>
          <w:i w:val="1"/>
          <w:iCs w:val="1"/>
          <w:color w:val="auto"/>
        </w:rPr>
        <w:t xml:space="preserve"> </w:t>
      </w:r>
      <w:r>
        <w:rPr>
          <w:rFonts w:ascii="Arial" w:cs="Arial" w:eastAsia="Arial" w:hAnsi="Arial"/>
          <w:sz w:val="17"/>
          <w:szCs w:val="17"/>
          <w:color w:val="auto"/>
        </w:rPr>
        <w:t>diejenigen Mehrarbeitsstunden bezeichnet, welche zwar über die vertraglich vereinbarte Normalarbeitszeit geleistet werden, aber die maximale wöchentliche Höchstarbeitszeit nicht überschreiten. Auf eine Entschädigung von Überstunden kann vertraglich verzichtet werden (Art. 321c OR).</w:t>
      </w:r>
    </w:p>
    <w:p>
      <w:pPr>
        <w:spacing w:after="0" w:line="200" w:lineRule="exact"/>
        <w:rPr>
          <w:sz w:val="20"/>
          <w:szCs w:val="20"/>
          <w:color w:val="auto"/>
        </w:rPr>
      </w:pPr>
    </w:p>
    <w:p>
      <w:pPr>
        <w:spacing w:after="0" w:line="235" w:lineRule="exact"/>
        <w:rPr>
          <w:sz w:val="20"/>
          <w:szCs w:val="20"/>
          <w:color w:val="auto"/>
        </w:rPr>
      </w:pPr>
    </w:p>
    <w:p>
      <w:pPr>
        <w:jc w:val="center"/>
        <w:ind w:left="20"/>
        <w:spacing w:after="0"/>
        <w:rPr>
          <w:sz w:val="20"/>
          <w:szCs w:val="20"/>
          <w:color w:val="auto"/>
        </w:rPr>
      </w:pPr>
      <w:r>
        <w:rPr>
          <w:rFonts w:ascii="Arial" w:cs="Arial" w:eastAsia="Arial" w:hAnsi="Arial"/>
          <w:sz w:val="17"/>
          <w:szCs w:val="17"/>
          <w:color w:val="auto"/>
        </w:rPr>
        <w:t>2.2 Voraussetzung für die Leistung von Überzeitarbeit</w:t>
      </w:r>
    </w:p>
    <w:p>
      <w:pPr>
        <w:jc w:val="center"/>
        <w:ind w:left="20"/>
        <w:spacing w:after="0" w:line="224" w:lineRule="auto"/>
        <w:rPr>
          <w:sz w:val="20"/>
          <w:szCs w:val="20"/>
          <w:color w:val="auto"/>
        </w:rPr>
      </w:pPr>
      <w:r>
        <w:rPr>
          <w:rFonts w:ascii="Arial" w:cs="Arial" w:eastAsia="Arial" w:hAnsi="Arial"/>
          <w:sz w:val="17"/>
          <w:szCs w:val="17"/>
          <w:color w:val="auto"/>
        </w:rPr>
        <w:t>Überzeitarbeit ist nur im Tages- und Abendzeitraum erlaubt und darf einzig aus den nachfolgenden Gründen geleistet werden (Art. 12 Abs. 1 ArG):</w:t>
      </w:r>
    </w:p>
    <w:p>
      <w:pPr>
        <w:spacing w:after="0" w:line="2" w:lineRule="exact"/>
        <w:rPr>
          <w:sz w:val="20"/>
          <w:szCs w:val="20"/>
          <w:color w:val="auto"/>
        </w:rPr>
      </w:pPr>
    </w:p>
    <w:p>
      <w:pPr>
        <w:jc w:val="center"/>
        <w:ind w:left="20"/>
        <w:spacing w:after="0" w:line="224" w:lineRule="auto"/>
        <w:rPr>
          <w:sz w:val="20"/>
          <w:szCs w:val="20"/>
          <w:color w:val="auto"/>
        </w:rPr>
      </w:pPr>
      <w:r>
        <w:rPr>
          <w:rFonts w:ascii="Arial" w:cs="Arial" w:eastAsia="Arial" w:hAnsi="Arial"/>
          <w:sz w:val="17"/>
          <w:szCs w:val="17"/>
          <w:color w:val="auto"/>
        </w:rPr>
        <w:t>wegen Dringlichkeit der Arbeit; wegen ausserordentlichen Arbeitsandranges; für Inventaraufnahmen, Rechnungsabschlüsse oder Liquidationsarbeiten;</w:t>
      </w:r>
    </w:p>
    <w:p>
      <w:pPr>
        <w:spacing w:after="0" w:line="2" w:lineRule="exact"/>
        <w:rPr>
          <w:sz w:val="20"/>
          <w:szCs w:val="20"/>
          <w:color w:val="auto"/>
        </w:rPr>
      </w:pPr>
    </w:p>
    <w:p>
      <w:pPr>
        <w:ind w:left="1260" w:right="1200" w:hanging="59"/>
        <w:spacing w:after="0" w:line="502" w:lineRule="auto"/>
        <w:tabs>
          <w:tab w:leader="none" w:pos="1303" w:val="left"/>
        </w:tabs>
        <w:numPr>
          <w:ilvl w:val="0"/>
          <w:numId w:val="98"/>
        </w:numPr>
        <w:rPr>
          <w:rFonts w:ascii="Arial" w:cs="Arial" w:eastAsia="Arial" w:hAnsi="Arial"/>
          <w:sz w:val="17"/>
          <w:szCs w:val="17"/>
          <w:color w:val="auto"/>
        </w:rPr>
      </w:pPr>
      <w:r>
        <w:rPr>
          <w:rFonts w:ascii="Arial" w:cs="Arial" w:eastAsia="Arial" w:hAnsi="Arial"/>
          <w:sz w:val="17"/>
          <w:szCs w:val="17"/>
          <w:color w:val="auto"/>
        </w:rPr>
        <w:t>zur Beseitigung von Betriebsstörungen. 2.3 Maximale Dauer von Überzeitarbeit</w:t>
      </w:r>
    </w:p>
    <w:p>
      <w:pPr>
        <w:spacing w:after="0" w:line="1" w:lineRule="exact"/>
        <w:rPr>
          <w:sz w:val="20"/>
          <w:szCs w:val="20"/>
          <w:color w:val="auto"/>
        </w:rPr>
      </w:pPr>
    </w:p>
    <w:p>
      <w:pPr>
        <w:jc w:val="center"/>
        <w:ind w:left="20" w:right="20"/>
        <w:spacing w:after="0" w:line="264" w:lineRule="auto"/>
        <w:rPr>
          <w:sz w:val="20"/>
          <w:szCs w:val="20"/>
          <w:color w:val="auto"/>
        </w:rPr>
      </w:pPr>
      <w:r>
        <w:rPr>
          <w:rFonts w:ascii="Arial" w:cs="Arial" w:eastAsia="Arial" w:hAnsi="Arial"/>
          <w:sz w:val="17"/>
          <w:szCs w:val="17"/>
          <w:color w:val="auto"/>
        </w:rPr>
        <w:t xml:space="preserve">Pro Kalenderjahr darf </w:t>
      </w:r>
      <w:r>
        <w:rPr>
          <w:rFonts w:ascii="Arial" w:cs="Arial" w:eastAsia="Arial" w:hAnsi="Arial"/>
          <w:sz w:val="17"/>
          <w:szCs w:val="17"/>
          <w:i w:val="1"/>
          <w:iCs w:val="1"/>
          <w:color w:val="auto"/>
        </w:rPr>
        <w:t>maximal 170 Stunden Überzeitarbeit</w:t>
      </w:r>
      <w:r>
        <w:rPr>
          <w:rFonts w:ascii="Arial" w:cs="Arial" w:eastAsia="Arial" w:hAnsi="Arial"/>
          <w:sz w:val="17"/>
          <w:szCs w:val="17"/>
          <w:color w:val="auto"/>
        </w:rPr>
        <w:t xml:space="preserve"> geleistet werden (Art. 12 Abs. 2 ArG).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2.1 Weekly maximum working time</w:t>
      </w:r>
    </w:p>
    <w:p>
      <w:pPr>
        <w:jc w:val="center"/>
        <w:spacing w:after="0" w:line="224" w:lineRule="auto"/>
        <w:rPr>
          <w:sz w:val="20"/>
          <w:szCs w:val="20"/>
          <w:color w:val="auto"/>
        </w:rPr>
      </w:pPr>
      <w:r>
        <w:rPr>
          <w:rFonts w:ascii="Arial" w:cs="Arial" w:eastAsia="Arial" w:hAnsi="Arial"/>
          <w:sz w:val="17"/>
          <w:szCs w:val="17"/>
          <w:color w:val="auto"/>
        </w:rPr>
        <w:t>As a rule, a maximum of 45 hours can be worked per week (Article 9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of the ArG).</w:t>
      </w:r>
    </w:p>
    <w:p>
      <w:pPr>
        <w:spacing w:after="0" w:line="205" w:lineRule="exact"/>
        <w:rPr>
          <w:sz w:val="20"/>
          <w:szCs w:val="20"/>
          <w:color w:val="auto"/>
        </w:rPr>
      </w:pPr>
    </w:p>
    <w:p>
      <w:pPr>
        <w:jc w:val="center"/>
        <w:spacing w:after="0" w:line="238" w:lineRule="auto"/>
        <w:rPr>
          <w:sz w:val="20"/>
          <w:szCs w:val="20"/>
          <w:color w:val="auto"/>
        </w:rPr>
      </w:pPr>
      <w:r>
        <w:rPr>
          <w:rFonts w:ascii="Arial" w:cs="Arial" w:eastAsia="Arial" w:hAnsi="Arial"/>
          <w:sz w:val="17"/>
          <w:szCs w:val="17"/>
          <w:i w:val="1"/>
          <w:iCs w:val="1"/>
          <w:color w:val="auto"/>
        </w:rPr>
        <w:t xml:space="preserve">Overwork </w:t>
      </w:r>
      <w:r>
        <w:rPr>
          <w:rFonts w:ascii="Arial" w:cs="Arial" w:eastAsia="Arial" w:hAnsi="Arial"/>
          <w:sz w:val="17"/>
          <w:szCs w:val="17"/>
          <w:color w:val="auto"/>
        </w:rPr>
        <w:t>: The working hours that exceed this legally permitted weekly</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working time is so-called overwork. Overwork isonly permissible if it is due to reasons set forth in paragraph 2.2. Overwork is usually subject to additional compensation of 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Overtime </w:t>
      </w:r>
      <w:r>
        <w:rPr>
          <w:rFonts w:ascii="Arial" w:cs="Arial" w:eastAsia="Arial" w:hAnsi="Arial"/>
          <w:sz w:val="17"/>
          <w:szCs w:val="17"/>
          <w:color w:val="auto"/>
        </w:rPr>
        <w:t>: On the other hand, working hours are so -called overtime</w:t>
      </w:r>
      <w:r>
        <w:rPr>
          <w:rFonts w:ascii="Arial" w:cs="Arial" w:eastAsia="Arial" w:hAnsi="Arial"/>
          <w:sz w:val="17"/>
          <w:szCs w:val="17"/>
          <w:i w:val="1"/>
          <w:iCs w:val="1"/>
          <w:color w:val="auto"/>
        </w:rPr>
        <w:t xml:space="preserve"> </w:t>
      </w:r>
      <w:r>
        <w:rPr>
          <w:rFonts w:ascii="Arial" w:cs="Arial" w:eastAsia="Arial" w:hAnsi="Arial"/>
          <w:sz w:val="17"/>
          <w:szCs w:val="17"/>
          <w:color w:val="auto"/>
        </w:rPr>
        <w:t>hours if they are carried out over the contractually agreed normal working time but do not exceed the maximum weekly maximum working time. Compensation for overtime may be waived by contract (Art. 321c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 Prerequisite for the performance of overwork</w:t>
      </w:r>
    </w:p>
    <w:p>
      <w:pPr>
        <w:jc w:val="center"/>
        <w:ind w:left="40"/>
        <w:spacing w:after="0"/>
        <w:rPr>
          <w:sz w:val="20"/>
          <w:szCs w:val="20"/>
          <w:color w:val="auto"/>
        </w:rPr>
      </w:pPr>
      <w:r>
        <w:rPr>
          <w:rFonts w:ascii="Arial" w:cs="Arial" w:eastAsia="Arial" w:hAnsi="Arial"/>
          <w:sz w:val="17"/>
          <w:szCs w:val="17"/>
          <w:color w:val="auto"/>
        </w:rPr>
        <w:t>Overwork is permitted only during the day and evening period and may only be permitted based on the following grounds (Article 12 (1) ArG): because of the urgency of the work; due toextraordinary workload;</w:t>
      </w:r>
    </w:p>
    <w:p>
      <w:pPr>
        <w:spacing w:after="0" w:line="145" w:lineRule="exact"/>
        <w:rPr>
          <w:sz w:val="20"/>
          <w:szCs w:val="20"/>
          <w:color w:val="auto"/>
        </w:rPr>
      </w:pPr>
    </w:p>
    <w:p>
      <w:pPr>
        <w:jc w:val="both"/>
        <w:ind w:left="1340" w:right="1320" w:firstLine="2"/>
        <w:spacing w:after="0" w:line="242" w:lineRule="auto"/>
        <w:rPr>
          <w:sz w:val="20"/>
          <w:szCs w:val="20"/>
          <w:color w:val="auto"/>
        </w:rPr>
      </w:pPr>
      <w:r>
        <w:rPr>
          <w:rFonts w:ascii="Arial" w:cs="Arial" w:eastAsia="Arial" w:hAnsi="Arial"/>
          <w:sz w:val="17"/>
          <w:szCs w:val="17"/>
          <w:color w:val="auto"/>
        </w:rPr>
        <w:t>for inventory, clearance or liquidation; to eliminate operational disturbances.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 Maximum duration of overwork</w:t>
      </w:r>
    </w:p>
    <w:p>
      <w:pPr>
        <w:spacing w:after="0" w:line="185" w:lineRule="exact"/>
        <w:rPr>
          <w:sz w:val="20"/>
          <w:szCs w:val="20"/>
          <w:color w:val="auto"/>
        </w:rPr>
      </w:pPr>
    </w:p>
    <w:p>
      <w:pPr>
        <w:sectPr>
          <w:pgSz w:w="11900" w:h="16838" w:orient="portrait"/>
          <w:cols w:equalWidth="0" w:num="2">
            <w:col w:w="5540" w:space="80"/>
            <w:col w:w="5540"/>
          </w:cols>
          <w:pgMar w:left="360" w:top="1420" w:right="379" w:bottom="1440" w:gutter="0" w:footer="0" w:header="0"/>
        </w:sectPr>
      </w:pPr>
    </w:p>
    <w:tbl>
      <w:tblPr>
        <w:tblLayout w:type="fixed"/>
        <w:tblInd w:w="120" w:type="dxa"/>
        <w:tblCellMar>
          <w:top w:w="0" w:type="dxa"/>
          <w:left w:w="0" w:type="dxa"/>
          <w:bottom w:w="0" w:type="dxa"/>
          <w:right w:w="0" w:type="dxa"/>
        </w:tblCellMar>
      </w:tblPr>
      <w:tr>
        <w:trPr>
          <w:trHeight w:val="195"/>
        </w:trPr>
        <w:tc>
          <w:tcPr>
            <w:tcW w:w="5440" w:type="dxa"/>
            <w:vAlign w:val="bottom"/>
          </w:tcPr>
          <w:p>
            <w:pPr>
              <w:jc w:val="center"/>
              <w:ind w:right="33"/>
              <w:spacing w:after="0"/>
              <w:rPr>
                <w:sz w:val="20"/>
                <w:szCs w:val="20"/>
                <w:color w:val="auto"/>
              </w:rPr>
            </w:pPr>
            <w:r>
              <w:rPr>
                <w:rFonts w:ascii="Arial" w:cs="Arial" w:eastAsia="Arial" w:hAnsi="Arial"/>
                <w:sz w:val="17"/>
                <w:szCs w:val="17"/>
                <w:color w:val="auto"/>
              </w:rPr>
              <w:t>2.4 Entschädigung der Überzeitarbeit</w:t>
            </w:r>
          </w:p>
        </w:tc>
        <w:tc>
          <w:tcPr>
            <w:tcW w:w="5520" w:type="dxa"/>
            <w:vAlign w:val="bottom"/>
          </w:tcPr>
          <w:p>
            <w:pPr>
              <w:jc w:val="center"/>
              <w:ind w:left="53"/>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maximum of 170 hours of overwork</w:t>
            </w:r>
            <w:r>
              <w:rPr>
                <w:rFonts w:ascii="Arial" w:cs="Arial" w:eastAsia="Arial" w:hAnsi="Arial"/>
                <w:sz w:val="17"/>
                <w:szCs w:val="17"/>
                <w:color w:val="auto"/>
              </w:rPr>
              <w:t xml:space="preserve"> may be carried out per calendar</w:t>
            </w:r>
          </w:p>
        </w:tc>
      </w:tr>
      <w:tr>
        <w:trPr>
          <w:trHeight w:val="183"/>
        </w:trPr>
        <w:tc>
          <w:tcPr>
            <w:tcW w:w="5440" w:type="dxa"/>
            <w:vAlign w:val="bottom"/>
          </w:tcPr>
          <w:p>
            <w:pPr>
              <w:jc w:val="center"/>
              <w:ind w:right="53"/>
              <w:spacing w:after="0" w:line="183" w:lineRule="exact"/>
              <w:rPr>
                <w:sz w:val="20"/>
                <w:szCs w:val="20"/>
                <w:color w:val="auto"/>
              </w:rPr>
            </w:pPr>
            <w:r>
              <w:rPr>
                <w:rFonts w:ascii="Arial" w:cs="Arial" w:eastAsia="Arial" w:hAnsi="Arial"/>
                <w:sz w:val="17"/>
                <w:szCs w:val="17"/>
                <w:color w:val="auto"/>
              </w:rPr>
              <w:t xml:space="preserve">Überzeitarbeit muss grundsätzlich mit einem </w:t>
            </w:r>
            <w:r>
              <w:rPr>
                <w:rFonts w:ascii="Arial" w:cs="Arial" w:eastAsia="Arial" w:hAnsi="Arial"/>
                <w:sz w:val="17"/>
                <w:szCs w:val="17"/>
                <w:i w:val="1"/>
                <w:iCs w:val="1"/>
                <w:color w:val="auto"/>
              </w:rPr>
              <w:t>Zuschlag von 25%</w:t>
            </w:r>
          </w:p>
        </w:tc>
        <w:tc>
          <w:tcPr>
            <w:tcW w:w="5520" w:type="dxa"/>
            <w:vAlign w:val="bottom"/>
          </w:tcPr>
          <w:p>
            <w:pPr>
              <w:jc w:val="center"/>
              <w:ind w:left="53"/>
              <w:spacing w:after="0" w:line="183" w:lineRule="exact"/>
              <w:rPr>
                <w:sz w:val="20"/>
                <w:szCs w:val="20"/>
                <w:color w:val="auto"/>
              </w:rPr>
            </w:pPr>
            <w:r>
              <w:rPr>
                <w:rFonts w:ascii="Arial" w:cs="Arial" w:eastAsia="Arial" w:hAnsi="Arial"/>
                <w:sz w:val="17"/>
                <w:szCs w:val="17"/>
                <w:color w:val="auto"/>
              </w:rPr>
              <w:t>year (Article 12 ( 2) ArG).</w:t>
            </w:r>
          </w:p>
        </w:tc>
      </w:tr>
      <w:tr>
        <w:trPr>
          <w:trHeight w:val="182"/>
        </w:trPr>
        <w:tc>
          <w:tcPr>
            <w:tcW w:w="5440" w:type="dxa"/>
            <w:vAlign w:val="bottom"/>
          </w:tcPr>
          <w:p>
            <w:pPr>
              <w:jc w:val="center"/>
              <w:ind w:right="53"/>
              <w:spacing w:after="0" w:line="182" w:lineRule="exact"/>
              <w:rPr>
                <w:sz w:val="20"/>
                <w:szCs w:val="20"/>
                <w:color w:val="auto"/>
              </w:rPr>
            </w:pPr>
            <w:r>
              <w:rPr>
                <w:rFonts w:ascii="Arial" w:cs="Arial" w:eastAsia="Arial" w:hAnsi="Arial"/>
                <w:sz w:val="17"/>
                <w:szCs w:val="17"/>
                <w:color w:val="auto"/>
              </w:rPr>
              <w:t>entschädigt oder im Einverständnis mit der Arbeitnehmerin oder dem</w:t>
            </w:r>
          </w:p>
        </w:tc>
        <w:tc>
          <w:tcPr>
            <w:tcW w:w="5520" w:type="dxa"/>
            <w:vAlign w:val="bottom"/>
          </w:tcPr>
          <w:p>
            <w:pPr>
              <w:spacing w:after="0"/>
              <w:rPr>
                <w:sz w:val="15"/>
                <w:szCs w:val="15"/>
                <w:color w:val="auto"/>
              </w:rPr>
            </w:pPr>
          </w:p>
        </w:tc>
      </w:tr>
      <w:tr>
        <w:trPr>
          <w:trHeight w:val="183"/>
        </w:trPr>
        <w:tc>
          <w:tcPr>
            <w:tcW w:w="5440" w:type="dxa"/>
            <w:vAlign w:val="bottom"/>
          </w:tcPr>
          <w:p>
            <w:pPr>
              <w:jc w:val="center"/>
              <w:ind w:right="33"/>
              <w:spacing w:after="0" w:line="183" w:lineRule="exact"/>
              <w:rPr>
                <w:sz w:val="20"/>
                <w:szCs w:val="20"/>
                <w:color w:val="auto"/>
              </w:rPr>
            </w:pPr>
            <w:r>
              <w:rPr>
                <w:rFonts w:ascii="Arial" w:cs="Arial" w:eastAsia="Arial" w:hAnsi="Arial"/>
                <w:sz w:val="17"/>
                <w:szCs w:val="17"/>
                <w:color w:val="auto"/>
              </w:rPr>
              <w:t>Arbeitnehmer durch Freizeit von gleicher Dauer kompensiert werden</w:t>
            </w:r>
          </w:p>
        </w:tc>
        <w:tc>
          <w:tcPr>
            <w:tcW w:w="5520" w:type="dxa"/>
            <w:vAlign w:val="bottom"/>
          </w:tcPr>
          <w:p>
            <w:pPr>
              <w:spacing w:after="0"/>
              <w:rPr>
                <w:sz w:val="15"/>
                <w:szCs w:val="15"/>
                <w:color w:val="auto"/>
              </w:rPr>
            </w:pPr>
          </w:p>
        </w:tc>
      </w:tr>
      <w:tr>
        <w:trPr>
          <w:trHeight w:val="210"/>
        </w:trPr>
        <w:tc>
          <w:tcPr>
            <w:tcW w:w="5440" w:type="dxa"/>
            <w:vAlign w:val="bottom"/>
          </w:tcPr>
          <w:p>
            <w:pPr>
              <w:jc w:val="center"/>
              <w:ind w:right="33"/>
              <w:spacing w:after="0"/>
              <w:rPr>
                <w:sz w:val="20"/>
                <w:szCs w:val="20"/>
                <w:color w:val="auto"/>
              </w:rPr>
            </w:pPr>
            <w:r>
              <w:rPr>
                <w:rFonts w:ascii="Arial" w:cs="Arial" w:eastAsia="Arial" w:hAnsi="Arial"/>
                <w:sz w:val="17"/>
                <w:szCs w:val="17"/>
                <w:color w:val="auto"/>
              </w:rPr>
              <w:t>(Art. 13 ArG).</w:t>
            </w:r>
          </w:p>
        </w:tc>
        <w:tc>
          <w:tcPr>
            <w:tcW w:w="5520" w:type="dxa"/>
            <w:vAlign w:val="bottom"/>
          </w:tcPr>
          <w:p>
            <w:pPr>
              <w:spacing w:after="0"/>
              <w:rPr>
                <w:sz w:val="18"/>
                <w:szCs w:val="18"/>
                <w:color w:val="auto"/>
              </w:rPr>
            </w:pPr>
          </w:p>
        </w:tc>
      </w:tr>
    </w:tbl>
    <w:p>
      <w:pPr>
        <w:spacing w:after="0" w:line="144" w:lineRule="exact"/>
        <w:rPr>
          <w:sz w:val="20"/>
          <w:szCs w:val="20"/>
          <w:color w:val="auto"/>
        </w:rPr>
      </w:pPr>
    </w:p>
    <w:p>
      <w:pPr>
        <w:sectPr>
          <w:pgSz w:w="11900" w:h="16838" w:orient="portrait"/>
          <w:cols w:equalWidth="0" w:num="1">
            <w:col w:w="11160"/>
          </w:cols>
          <w:pgMar w:left="360" w:top="1420" w:right="37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 Maximale tägliche Arbeitszeit</w:t>
      </w:r>
    </w:p>
    <w:p>
      <w:pPr>
        <w:jc w:val="center"/>
        <w:spacing w:after="0" w:line="224" w:lineRule="auto"/>
        <w:rPr>
          <w:sz w:val="20"/>
          <w:szCs w:val="20"/>
          <w:color w:val="auto"/>
        </w:rPr>
      </w:pPr>
      <w:r>
        <w:rPr>
          <w:rFonts w:ascii="Arial" w:cs="Arial" w:eastAsia="Arial" w:hAnsi="Arial"/>
          <w:sz w:val="17"/>
          <w:szCs w:val="17"/>
          <w:color w:val="auto"/>
        </w:rPr>
        <w:t>Die tägliche Arbeitszeit muss mit Einschluss der Pausen und der</w:t>
      </w:r>
    </w:p>
    <w:p>
      <w:pPr>
        <w:spacing w:after="0" w:line="1" w:lineRule="exact"/>
        <w:rPr>
          <w:sz w:val="20"/>
          <w:szCs w:val="20"/>
          <w:color w:val="auto"/>
        </w:rPr>
      </w:pPr>
    </w:p>
    <w:p>
      <w:pPr>
        <w:jc w:val="center"/>
        <w:spacing w:after="0" w:line="224" w:lineRule="auto"/>
        <w:rPr>
          <w:sz w:val="20"/>
          <w:szCs w:val="20"/>
          <w:color w:val="auto"/>
        </w:rPr>
      </w:pPr>
      <w:r>
        <w:rPr>
          <w:rFonts w:ascii="Arial" w:cs="Arial" w:eastAsia="Arial" w:hAnsi="Arial"/>
          <w:sz w:val="17"/>
          <w:szCs w:val="17"/>
          <w:color w:val="auto"/>
        </w:rPr>
        <w:t xml:space="preserve">Überzeit innerhalb von 14 Stunden liegen. Unter Berücksichtigung der zwingenden Pausen darf die </w:t>
      </w:r>
      <w:r>
        <w:rPr>
          <w:rFonts w:ascii="Arial" w:cs="Arial" w:eastAsia="Arial" w:hAnsi="Arial"/>
          <w:sz w:val="17"/>
          <w:szCs w:val="17"/>
          <w:i w:val="1"/>
          <w:iCs w:val="1"/>
          <w:color w:val="auto"/>
        </w:rPr>
        <w:t>effektive tägliche Arbeitszeit</w:t>
      </w:r>
      <w:r>
        <w:rPr>
          <w:rFonts w:ascii="Arial" w:cs="Arial" w:eastAsia="Arial" w:hAnsi="Arial"/>
          <w:sz w:val="17"/>
          <w:szCs w:val="17"/>
          <w:color w:val="auto"/>
        </w:rPr>
        <w:t xml:space="preserve"> somit maximal 12,5 Stunden betragen (Art. 10 Abs. 3 ArG).</w:t>
      </w:r>
    </w:p>
    <w:p>
      <w:pPr>
        <w:spacing w:after="0" w:line="2" w:lineRule="exact"/>
        <w:rPr>
          <w:sz w:val="20"/>
          <w:szCs w:val="20"/>
          <w:color w:val="auto"/>
        </w:rPr>
      </w:pPr>
    </w:p>
    <w:p>
      <w:pPr>
        <w:jc w:val="center"/>
        <w:ind w:right="20"/>
        <w:spacing w:after="0" w:line="231" w:lineRule="auto"/>
        <w:rPr>
          <w:sz w:val="20"/>
          <w:szCs w:val="20"/>
          <w:color w:val="auto"/>
        </w:rPr>
      </w:pPr>
      <w:r>
        <w:rPr>
          <w:rFonts w:ascii="Arial" w:cs="Arial" w:eastAsia="Arial" w:hAnsi="Arial"/>
          <w:sz w:val="17"/>
          <w:szCs w:val="17"/>
          <w:color w:val="auto"/>
        </w:rPr>
        <w:t xml:space="preserve">Bei </w:t>
      </w:r>
      <w:r>
        <w:rPr>
          <w:rFonts w:ascii="Arial" w:cs="Arial" w:eastAsia="Arial" w:hAnsi="Arial"/>
          <w:sz w:val="17"/>
          <w:szCs w:val="17"/>
          <w:i w:val="1"/>
          <w:iCs w:val="1"/>
          <w:color w:val="auto"/>
        </w:rPr>
        <w:t>Leistung von Nachtarbeit</w:t>
      </w:r>
      <w:r>
        <w:rPr>
          <w:rFonts w:ascii="Arial" w:cs="Arial" w:eastAsia="Arial" w:hAnsi="Arial"/>
          <w:sz w:val="17"/>
          <w:szCs w:val="17"/>
          <w:color w:val="auto"/>
        </w:rPr>
        <w:t xml:space="preserve"> darf die tägliche Arbeitszeit 9 Stunden nicht überschreiten. Mit Einschluss der Pausen muss sie in der Regel innerhalb eines Zeitraumes von 10 Stunden liegen (Art. 17a ArG). Eine Verlängerung der Nachtarbeitsdauer ist unter Berücksichtigung der Bedingungen gemäss Art. 29 ArGV 1 zulässig.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 Maximale Anzahl Arbeitstage in Folge</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7"/>
          <w:szCs w:val="17"/>
          <w:color w:val="auto"/>
        </w:rPr>
        <w:t>2.4 Compensation for overwork</w:t>
      </w:r>
    </w:p>
    <w:p>
      <w:pPr>
        <w:jc w:val="both"/>
        <w:ind w:left="140" w:right="120" w:firstLine="13"/>
        <w:spacing w:after="0" w:line="242" w:lineRule="auto"/>
        <w:rPr>
          <w:sz w:val="20"/>
          <w:szCs w:val="20"/>
          <w:color w:val="auto"/>
        </w:rPr>
      </w:pPr>
      <w:r>
        <w:rPr>
          <w:rFonts w:ascii="Arial" w:cs="Arial" w:eastAsia="Arial" w:hAnsi="Arial"/>
          <w:sz w:val="17"/>
          <w:szCs w:val="17"/>
          <w:color w:val="auto"/>
        </w:rPr>
        <w:t xml:space="preserve">Overwork must be compensated by a </w:t>
      </w:r>
      <w:r>
        <w:rPr>
          <w:rFonts w:ascii="Arial" w:cs="Arial" w:eastAsia="Arial" w:hAnsi="Arial"/>
          <w:sz w:val="17"/>
          <w:szCs w:val="17"/>
          <w:i w:val="1"/>
          <w:iCs w:val="1"/>
          <w:color w:val="auto"/>
        </w:rPr>
        <w:t>surcharge of 25%</w:t>
      </w:r>
      <w:r>
        <w:rPr>
          <w:rFonts w:ascii="Arial" w:cs="Arial" w:eastAsia="Arial" w:hAnsi="Arial"/>
          <w:sz w:val="17"/>
          <w:szCs w:val="17"/>
          <w:color w:val="auto"/>
        </w:rPr>
        <w:t xml:space="preserve"> or, if agreed with the employee, by time off for the same duration (Article 13 ArG).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 Maximum daily working time</w:t>
      </w:r>
    </w:p>
    <w:p>
      <w:pPr>
        <w:jc w:val="center"/>
        <w:ind w:left="-19"/>
        <w:spacing w:after="0" w:line="232" w:lineRule="auto"/>
        <w:rPr>
          <w:sz w:val="20"/>
          <w:szCs w:val="20"/>
          <w:color w:val="auto"/>
        </w:rPr>
      </w:pPr>
      <w:r>
        <w:rPr>
          <w:rFonts w:ascii="Arial" w:cs="Arial" w:eastAsia="Arial" w:hAnsi="Arial"/>
          <w:sz w:val="17"/>
          <w:szCs w:val="17"/>
          <w:color w:val="auto"/>
        </w:rPr>
        <w:t xml:space="preserve">The daily working time must not exceed 14 hours, including the breaks and the overwork. Taking into account the compulsory breaks, the </w:t>
      </w:r>
      <w:r>
        <w:rPr>
          <w:rFonts w:ascii="Arial" w:cs="Arial" w:eastAsia="Arial" w:hAnsi="Arial"/>
          <w:sz w:val="17"/>
          <w:szCs w:val="17"/>
          <w:i w:val="1"/>
          <w:iCs w:val="1"/>
          <w:color w:val="auto"/>
        </w:rPr>
        <w:t xml:space="preserve">effective daily working time </w:t>
      </w:r>
      <w:r>
        <w:rPr>
          <w:rFonts w:ascii="Arial" w:cs="Arial" w:eastAsia="Arial" w:hAnsi="Arial"/>
          <w:sz w:val="17"/>
          <w:szCs w:val="17"/>
          <w:color w:val="auto"/>
        </w:rPr>
        <w:t>is thus allowed for a maximum of 12.5 hours</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10 (3) ArG).</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 xml:space="preserve">When </w:t>
      </w:r>
      <w:r>
        <w:rPr>
          <w:rFonts w:ascii="Arial" w:cs="Arial" w:eastAsia="Arial" w:hAnsi="Arial"/>
          <w:sz w:val="17"/>
          <w:szCs w:val="17"/>
          <w:i w:val="1"/>
          <w:iCs w:val="1"/>
          <w:color w:val="auto"/>
        </w:rPr>
        <w:t>night work is performed</w:t>
      </w:r>
      <w:r>
        <w:rPr>
          <w:rFonts w:ascii="Arial" w:cs="Arial" w:eastAsia="Arial" w:hAnsi="Arial"/>
          <w:sz w:val="17"/>
          <w:szCs w:val="17"/>
          <w:color w:val="auto"/>
        </w:rPr>
        <w:t xml:space="preserve"> , the daily working time must not exceed 9 hours. Including the breaks such work must normally be within a period of 10 hours (Article 17a ArG). An extension of</w:t>
      </w:r>
    </w:p>
    <w:p>
      <w:pPr>
        <w:sectPr>
          <w:pgSz w:w="11900" w:h="16838" w:orient="portrait"/>
          <w:cols w:equalWidth="0" w:num="2">
            <w:col w:w="5560" w:space="40"/>
            <w:col w:w="5560"/>
          </w:cols>
          <w:pgMar w:left="360" w:top="1420" w:right="379" w:bottom="1440" w:gutter="0" w:footer="0" w:header="0"/>
          <w:type w:val="continuous"/>
        </w:sectPr>
      </w:pPr>
    </w:p>
    <w:bookmarkStart w:id="169" w:name="page170"/>
    <w:bookmarkEnd w:id="169"/>
    <w:p>
      <w:pPr>
        <w:jc w:val="center"/>
        <w:spacing w:after="0" w:line="244" w:lineRule="auto"/>
        <w:rPr>
          <w:sz w:val="20"/>
          <w:szCs w:val="20"/>
          <w:color w:val="auto"/>
        </w:rPr>
      </w:pPr>
      <w:r>
        <w:rPr>
          <w:rFonts w:ascii="Arial" w:cs="Arial" w:eastAsia="Arial" w:hAnsi="Arial"/>
          <w:sz w:val="17"/>
          <w:szCs w:val="17"/>
          <w:color w:val="auto"/>
        </w:rPr>
        <w:t xml:space="preserve">Arbeitnehmende dürfen höchstens an </w:t>
      </w:r>
      <w:r>
        <w:rPr>
          <w:rFonts w:ascii="Arial" w:cs="Arial" w:eastAsia="Arial" w:hAnsi="Arial"/>
          <w:sz w:val="17"/>
          <w:szCs w:val="17"/>
          <w:i w:val="1"/>
          <w:iCs w:val="1"/>
          <w:color w:val="auto"/>
        </w:rPr>
        <w:t>6 aufeinanderfolgenden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Arbeitstagen </w:t>
      </w:r>
      <w:r>
        <w:rPr>
          <w:rFonts w:ascii="Arial" w:cs="Arial" w:eastAsia="Arial" w:hAnsi="Arial"/>
          <w:sz w:val="17"/>
          <w:szCs w:val="17"/>
          <w:color w:val="auto"/>
        </w:rPr>
        <w:t>beschäftigt werden. Danach muss zwingend ein Ruhetag</w:t>
      </w:r>
      <w:r>
        <w:rPr>
          <w:rFonts w:ascii="Arial" w:cs="Arial" w:eastAsia="Arial" w:hAnsi="Arial"/>
          <w:sz w:val="17"/>
          <w:szCs w:val="17"/>
          <w:i w:val="1"/>
          <w:iCs w:val="1"/>
          <w:color w:val="auto"/>
        </w:rPr>
        <w:t xml:space="preserve"> </w:t>
      </w:r>
      <w:r>
        <w:rPr>
          <w:rFonts w:ascii="Arial" w:cs="Arial" w:eastAsia="Arial" w:hAnsi="Arial"/>
          <w:sz w:val="17"/>
          <w:szCs w:val="17"/>
          <w:color w:val="auto"/>
        </w:rPr>
        <w:t>bezogen werden (Art. 16 ArGV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 Ruhezeit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 Tägliche Ruhezeit</w:t>
      </w:r>
    </w:p>
    <w:p>
      <w:pPr>
        <w:jc w:val="center"/>
        <w:spacing w:after="0" w:line="224" w:lineRule="auto"/>
        <w:rPr>
          <w:sz w:val="20"/>
          <w:szCs w:val="20"/>
          <w:color w:val="auto"/>
        </w:rPr>
      </w:pPr>
      <w:r>
        <w:rPr>
          <w:rFonts w:ascii="Arial" w:cs="Arial" w:eastAsia="Arial" w:hAnsi="Arial"/>
          <w:sz w:val="17"/>
          <w:szCs w:val="17"/>
          <w:color w:val="auto"/>
        </w:rPr>
        <w:t xml:space="preserve">Zwischen zwei Arbeitstagen ist eine Ruhezeit von </w:t>
      </w:r>
      <w:r>
        <w:rPr>
          <w:rFonts w:ascii="Arial" w:cs="Arial" w:eastAsia="Arial" w:hAnsi="Arial"/>
          <w:sz w:val="17"/>
          <w:szCs w:val="17"/>
          <w:i w:val="1"/>
          <w:iCs w:val="1"/>
          <w:color w:val="auto"/>
        </w:rPr>
        <w:t>mindestens 11</w:t>
      </w:r>
    </w:p>
    <w:p>
      <w:pPr>
        <w:spacing w:after="0" w:line="1" w:lineRule="exact"/>
        <w:rPr>
          <w:sz w:val="20"/>
          <w:szCs w:val="20"/>
          <w:color w:val="auto"/>
        </w:rPr>
      </w:pPr>
    </w:p>
    <w:p>
      <w:pPr>
        <w:jc w:val="center"/>
        <w:ind w:left="20"/>
        <w:spacing w:after="0" w:line="235" w:lineRule="auto"/>
        <w:rPr>
          <w:sz w:val="20"/>
          <w:szCs w:val="20"/>
          <w:color w:val="auto"/>
        </w:rPr>
      </w:pPr>
      <w:r>
        <w:rPr>
          <w:rFonts w:ascii="Arial" w:cs="Arial" w:eastAsia="Arial" w:hAnsi="Arial"/>
          <w:sz w:val="17"/>
          <w:szCs w:val="17"/>
          <w:i w:val="1"/>
          <w:iCs w:val="1"/>
          <w:color w:val="auto"/>
        </w:rPr>
        <w:t xml:space="preserve">Stunden </w:t>
      </w:r>
      <w:r>
        <w:rPr>
          <w:rFonts w:ascii="Arial" w:cs="Arial" w:eastAsia="Arial" w:hAnsi="Arial"/>
          <w:sz w:val="17"/>
          <w:szCs w:val="17"/>
          <w:color w:val="auto"/>
        </w:rPr>
        <w:t>einzuhalten. Die tägliche Ruhezeit darf einmal pro Woche auf 8</w:t>
      </w:r>
      <w:r>
        <w:rPr>
          <w:rFonts w:ascii="Arial" w:cs="Arial" w:eastAsia="Arial" w:hAnsi="Arial"/>
          <w:sz w:val="17"/>
          <w:szCs w:val="17"/>
          <w:i w:val="1"/>
          <w:iCs w:val="1"/>
          <w:color w:val="auto"/>
        </w:rPr>
        <w:t xml:space="preserve"> </w:t>
      </w:r>
      <w:r>
        <w:rPr>
          <w:rFonts w:ascii="Arial" w:cs="Arial" w:eastAsia="Arial" w:hAnsi="Arial"/>
          <w:sz w:val="17"/>
          <w:szCs w:val="17"/>
          <w:color w:val="auto"/>
        </w:rPr>
        <w:t>Stunden verkürzt werden, sofern im Durchschnitt von zwei Wochen eine tägliche Ruhezeit von 11 Stunden eingehalten wird (Art. 15a ArG).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 Pausen</w:t>
      </w:r>
    </w:p>
    <w:p>
      <w:pPr>
        <w:jc w:val="center"/>
        <w:ind w:left="20" w:right="80"/>
        <w:spacing w:after="0" w:line="224" w:lineRule="auto"/>
        <w:rPr>
          <w:sz w:val="20"/>
          <w:szCs w:val="20"/>
          <w:color w:val="auto"/>
        </w:rPr>
      </w:pPr>
      <w:r>
        <w:rPr>
          <w:rFonts w:ascii="Arial" w:cs="Arial" w:eastAsia="Arial" w:hAnsi="Arial"/>
          <w:sz w:val="17"/>
          <w:szCs w:val="17"/>
          <w:color w:val="auto"/>
        </w:rPr>
        <w:t xml:space="preserve">Pausen sind Arbeitsunterbrechungen zur Erholung, Ernährung und Freizeit. Sie müssen um die Mitte der Arbeitszeit gewährt werden. Der Arbeitsplatz darf dabei grundsätzlich verlassen werden (Art. 15 ArG, Ziffer 2.1). Es gelten folgende </w:t>
      </w:r>
      <w:r>
        <w:rPr>
          <w:rFonts w:ascii="Arial" w:cs="Arial" w:eastAsia="Arial" w:hAnsi="Arial"/>
          <w:sz w:val="17"/>
          <w:szCs w:val="17"/>
          <w:i w:val="1"/>
          <w:iCs w:val="1"/>
          <w:color w:val="auto"/>
        </w:rPr>
        <w:t>Mindestpausen</w:t>
      </w:r>
      <w:r>
        <w:rPr>
          <w:rFonts w:ascii="Arial" w:cs="Arial" w:eastAsia="Arial" w:hAnsi="Arial"/>
          <w:sz w:val="17"/>
          <w:szCs w:val="17"/>
          <w:color w:val="auto"/>
        </w:rPr>
        <w:t xml:space="preserve"> : Arbeitszeit von mehr als 5,5 Stunden: </w:t>
      </w:r>
      <w:r>
        <w:rPr>
          <w:rFonts w:ascii="Arial" w:cs="Arial" w:eastAsia="Arial" w:hAnsi="Arial"/>
          <w:sz w:val="17"/>
          <w:szCs w:val="17"/>
          <w:b w:val="1"/>
          <w:bCs w:val="1"/>
          <w:color w:val="auto"/>
        </w:rPr>
        <w:t>¼ Stunde</w:t>
      </w:r>
    </w:p>
    <w:p>
      <w:pPr>
        <w:ind w:left="1000"/>
        <w:spacing w:after="0" w:line="227" w:lineRule="auto"/>
        <w:rPr>
          <w:sz w:val="20"/>
          <w:szCs w:val="20"/>
          <w:color w:val="auto"/>
        </w:rPr>
      </w:pPr>
      <w:r>
        <w:rPr>
          <w:rFonts w:ascii="Arial" w:cs="Arial" w:eastAsia="Arial" w:hAnsi="Arial"/>
          <w:sz w:val="17"/>
          <w:szCs w:val="17"/>
          <w:color w:val="auto"/>
        </w:rPr>
        <w:t xml:space="preserve">Arbeitszeit von mehr als 7 Stunden: </w:t>
      </w:r>
      <w:r>
        <w:rPr>
          <w:rFonts w:ascii="Arial" w:cs="Arial" w:eastAsia="Arial" w:hAnsi="Arial"/>
          <w:sz w:val="17"/>
          <w:szCs w:val="17"/>
          <w:b w:val="1"/>
          <w:bCs w:val="1"/>
          <w:color w:val="auto"/>
        </w:rPr>
        <w:t>½ Stunde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xml:space="preserve">Arbeitszeit von mehr als 9 Stunden: </w:t>
      </w:r>
      <w:r>
        <w:rPr>
          <w:rFonts w:ascii="Arial" w:cs="Arial" w:eastAsia="Arial" w:hAnsi="Arial"/>
          <w:sz w:val="17"/>
          <w:szCs w:val="17"/>
          <w:b w:val="1"/>
          <w:bCs w:val="1"/>
          <w:color w:val="auto"/>
        </w:rPr>
        <w:t>1 Stunde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 Nacht- und Sonntagsarbeit</w:t>
      </w:r>
    </w:p>
    <w:p>
      <w:pPr>
        <w:jc w:val="center"/>
        <w:spacing w:after="0" w:line="224" w:lineRule="auto"/>
        <w:rPr>
          <w:sz w:val="20"/>
          <w:szCs w:val="20"/>
          <w:color w:val="auto"/>
        </w:rPr>
      </w:pPr>
      <w:r>
        <w:rPr>
          <w:rFonts w:ascii="Arial" w:cs="Arial" w:eastAsia="Arial" w:hAnsi="Arial"/>
          <w:sz w:val="17"/>
          <w:szCs w:val="17"/>
          <w:color w:val="auto"/>
        </w:rPr>
        <w:t xml:space="preserve">Nacht- und Sonntagsarbeit sind </w:t>
      </w:r>
      <w:r>
        <w:rPr>
          <w:rFonts w:ascii="Arial" w:cs="Arial" w:eastAsia="Arial" w:hAnsi="Arial"/>
          <w:sz w:val="17"/>
          <w:szCs w:val="17"/>
          <w:i w:val="1"/>
          <w:iCs w:val="1"/>
          <w:color w:val="auto"/>
        </w:rPr>
        <w:t>grundsätzlich verboten</w:t>
      </w:r>
      <w:r>
        <w:rPr>
          <w:rFonts w:ascii="Arial" w:cs="Arial" w:eastAsia="Arial" w:hAnsi="Arial"/>
          <w:sz w:val="17"/>
          <w:szCs w:val="17"/>
          <w:color w:val="auto"/>
        </w:rPr>
        <w:t xml:space="preserve"> (Art. 16 und 18</w:t>
      </w:r>
    </w:p>
    <w:p>
      <w:pPr>
        <w:jc w:val="center"/>
        <w:spacing w:after="0" w:line="225" w:lineRule="auto"/>
        <w:rPr>
          <w:sz w:val="20"/>
          <w:szCs w:val="20"/>
          <w:color w:val="auto"/>
        </w:rPr>
      </w:pPr>
      <w:r>
        <w:rPr>
          <w:rFonts w:ascii="Arial" w:cs="Arial" w:eastAsia="Arial" w:hAnsi="Arial"/>
          <w:sz w:val="17"/>
          <w:szCs w:val="17"/>
          <w:color w:val="auto"/>
        </w:rPr>
        <w:t>ArG).</w:t>
      </w:r>
    </w:p>
    <w:p>
      <w:pPr>
        <w:jc w:val="center"/>
        <w:spacing w:after="0" w:line="232" w:lineRule="auto"/>
        <w:rPr>
          <w:sz w:val="20"/>
          <w:szCs w:val="20"/>
          <w:color w:val="auto"/>
        </w:rPr>
      </w:pPr>
      <w:r>
        <w:rPr>
          <w:rFonts w:ascii="Arial" w:cs="Arial" w:eastAsia="Arial" w:hAnsi="Arial"/>
          <w:sz w:val="17"/>
          <w:szCs w:val="17"/>
          <w:i w:val="1"/>
          <w:iCs w:val="1"/>
          <w:color w:val="auto"/>
        </w:rPr>
        <w:t xml:space="preserve">Nachtarbeit </w:t>
      </w:r>
      <w:r>
        <w:rPr>
          <w:rFonts w:ascii="Arial" w:cs="Arial" w:eastAsia="Arial" w:hAnsi="Arial"/>
          <w:sz w:val="17"/>
          <w:szCs w:val="17"/>
          <w:color w:val="auto"/>
        </w:rPr>
        <w:t>: Als Nachtarbeit gilt in der Regel die Arbeit zwischen 23.00</w:t>
      </w:r>
      <w:r>
        <w:rPr>
          <w:rFonts w:ascii="Arial" w:cs="Arial" w:eastAsia="Arial" w:hAnsi="Arial"/>
          <w:sz w:val="17"/>
          <w:szCs w:val="17"/>
          <w:i w:val="1"/>
          <w:iCs w:val="1"/>
          <w:color w:val="auto"/>
        </w:rPr>
        <w:t xml:space="preserve"> </w:t>
      </w:r>
      <w:r>
        <w:rPr>
          <w:rFonts w:ascii="Arial" w:cs="Arial" w:eastAsia="Arial" w:hAnsi="Arial"/>
          <w:sz w:val="17"/>
          <w:szCs w:val="17"/>
          <w:color w:val="auto"/>
        </w:rPr>
        <w:t>Uhr und 6.00 Uhr. Der Nachtzeitraum kann im Einverständnis mit der Belegschaft um eine Stunde vor- oder nachverschoben werden (Art. 10 Abs. 2 ArG).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Sonntagsarbeit </w:t>
      </w:r>
      <w:r>
        <w:rPr>
          <w:rFonts w:ascii="Arial" w:cs="Arial" w:eastAsia="Arial" w:hAnsi="Arial"/>
          <w:sz w:val="17"/>
          <w:szCs w:val="17"/>
          <w:color w:val="auto"/>
        </w:rPr>
        <w:t>: Als Sonntagsarbeit gilt die Zeit zwischen Samstag</w:t>
      </w:r>
    </w:p>
    <w:p>
      <w:pPr>
        <w:jc w:val="center"/>
        <w:spacing w:after="0" w:line="231" w:lineRule="auto"/>
        <w:rPr>
          <w:sz w:val="20"/>
          <w:szCs w:val="20"/>
          <w:color w:val="auto"/>
        </w:rPr>
      </w:pPr>
      <w:r>
        <w:rPr>
          <w:rFonts w:ascii="Arial" w:cs="Arial" w:eastAsia="Arial" w:hAnsi="Arial"/>
          <w:sz w:val="17"/>
          <w:szCs w:val="17"/>
          <w:color w:val="auto"/>
        </w:rPr>
        <w:t>23.00 Uhr und Sonntag 23.00 Uhr.</w:t>
      </w:r>
    </w:p>
    <w:p>
      <w:pPr>
        <w:jc w:val="center"/>
        <w:spacing w:after="0" w:line="225" w:lineRule="auto"/>
        <w:rPr>
          <w:sz w:val="20"/>
          <w:szCs w:val="20"/>
          <w:color w:val="auto"/>
        </w:rPr>
      </w:pPr>
      <w:r>
        <w:rPr>
          <w:rFonts w:ascii="Arial" w:cs="Arial" w:eastAsia="Arial" w:hAnsi="Arial"/>
          <w:sz w:val="17"/>
          <w:szCs w:val="17"/>
          <w:color w:val="auto"/>
        </w:rPr>
        <w:t xml:space="preserve">Ausnahmen vom Verbot sind in der Regel </w:t>
      </w:r>
      <w:r>
        <w:rPr>
          <w:rFonts w:ascii="Arial" w:cs="Arial" w:eastAsia="Arial" w:hAnsi="Arial"/>
          <w:sz w:val="17"/>
          <w:szCs w:val="17"/>
          <w:i w:val="1"/>
          <w:iCs w:val="1"/>
          <w:color w:val="auto"/>
        </w:rPr>
        <w:t>bewilligungspflichtig</w:t>
      </w:r>
      <w:r>
        <w:rPr>
          <w:rFonts w:ascii="Arial" w:cs="Arial" w:eastAsia="Arial" w:hAnsi="Arial"/>
          <w:sz w:val="17"/>
          <w:szCs w:val="17"/>
          <w:color w:val="auto"/>
        </w:rPr>
        <w:t xml:space="preserve"> (Art. 17</w:t>
      </w:r>
    </w:p>
    <w:p>
      <w:pPr>
        <w:jc w:val="center"/>
        <w:spacing w:after="0" w:line="224" w:lineRule="auto"/>
        <w:rPr>
          <w:sz w:val="20"/>
          <w:szCs w:val="20"/>
          <w:color w:val="auto"/>
        </w:rPr>
      </w:pPr>
      <w:r>
        <w:rPr>
          <w:rFonts w:ascii="Arial" w:cs="Arial" w:eastAsia="Arial" w:hAnsi="Arial"/>
          <w:sz w:val="17"/>
          <w:szCs w:val="17"/>
          <w:color w:val="auto"/>
        </w:rPr>
        <w:t>und 19 ArG). Die Verordnung 2 zum Arbeitsgesetz (ArGV 2; SR</w:t>
      </w:r>
    </w:p>
    <w:p>
      <w:pPr>
        <w:jc w:val="center"/>
        <w:spacing w:after="0" w:line="225" w:lineRule="auto"/>
        <w:rPr>
          <w:sz w:val="20"/>
          <w:szCs w:val="20"/>
          <w:color w:val="auto"/>
        </w:rPr>
      </w:pPr>
      <w:r>
        <w:rPr>
          <w:rFonts w:ascii="Arial" w:cs="Arial" w:eastAsia="Arial" w:hAnsi="Arial"/>
          <w:sz w:val="17"/>
          <w:szCs w:val="17"/>
          <w:color w:val="auto"/>
        </w:rPr>
        <w:t>822.112) nennt Gruppen von Betrieben oder Arbeitnehmern, welche von</w:t>
      </w:r>
    </w:p>
    <w:p>
      <w:pPr>
        <w:jc w:val="center"/>
        <w:spacing w:after="0" w:line="224" w:lineRule="auto"/>
        <w:rPr>
          <w:sz w:val="20"/>
          <w:szCs w:val="20"/>
          <w:color w:val="auto"/>
        </w:rPr>
      </w:pPr>
      <w:r>
        <w:rPr>
          <w:rFonts w:ascii="Arial" w:cs="Arial" w:eastAsia="Arial" w:hAnsi="Arial"/>
          <w:sz w:val="17"/>
          <w:szCs w:val="17"/>
          <w:color w:val="auto"/>
        </w:rPr>
        <w:t>der Bewilligungspflicht befreit sind (z.B. Kraftwerke, Bäckereien,</w:t>
      </w:r>
    </w:p>
    <w:p>
      <w:pPr>
        <w:jc w:val="center"/>
        <w:spacing w:after="0" w:line="225" w:lineRule="auto"/>
        <w:rPr>
          <w:sz w:val="20"/>
          <w:szCs w:val="20"/>
          <w:color w:val="auto"/>
        </w:rPr>
      </w:pPr>
      <w:r>
        <w:rPr>
          <w:rFonts w:ascii="Arial" w:cs="Arial" w:eastAsia="Arial" w:hAnsi="Arial"/>
          <w:sz w:val="17"/>
          <w:szCs w:val="17"/>
          <w:color w:val="auto"/>
        </w:rPr>
        <w:t>Campingplätze, etc.).</w:t>
      </w:r>
    </w:p>
    <w:p>
      <w:pPr>
        <w:jc w:val="center"/>
        <w:spacing w:after="0" w:line="225" w:lineRule="auto"/>
        <w:rPr>
          <w:sz w:val="20"/>
          <w:szCs w:val="20"/>
          <w:color w:val="auto"/>
        </w:rPr>
      </w:pPr>
      <w:r>
        <w:rPr>
          <w:rFonts w:ascii="Arial" w:cs="Arial" w:eastAsia="Arial" w:hAnsi="Arial"/>
          <w:sz w:val="17"/>
          <w:szCs w:val="17"/>
          <w:color w:val="auto"/>
        </w:rPr>
        <w:t xml:space="preserve">Bei Leistung von Nacht- und Sonntagsarbeit ist </w:t>
      </w:r>
      <w:r>
        <w:rPr>
          <w:rFonts w:ascii="Arial" w:cs="Arial" w:eastAsia="Arial" w:hAnsi="Arial"/>
          <w:sz w:val="17"/>
          <w:szCs w:val="17"/>
          <w:i w:val="1"/>
          <w:iCs w:val="1"/>
          <w:color w:val="auto"/>
        </w:rPr>
        <w:t>grundsätzlich ein Zeit-</w:t>
      </w:r>
    </w:p>
    <w:p>
      <w:pPr>
        <w:jc w:val="center"/>
        <w:spacing w:after="0"/>
        <w:rPr>
          <w:sz w:val="20"/>
          <w:szCs w:val="20"/>
          <w:color w:val="auto"/>
        </w:rPr>
      </w:pPr>
      <w:r>
        <w:rPr>
          <w:rFonts w:ascii="Arial" w:cs="Arial" w:eastAsia="Arial" w:hAnsi="Arial"/>
          <w:sz w:val="17"/>
          <w:szCs w:val="17"/>
          <w:i w:val="1"/>
          <w:iCs w:val="1"/>
          <w:color w:val="auto"/>
        </w:rPr>
        <w:t xml:space="preserve">oder Lohnzuschlag </w:t>
      </w:r>
      <w:r>
        <w:rPr>
          <w:rFonts w:ascii="Arial" w:cs="Arial" w:eastAsia="Arial" w:hAnsi="Arial"/>
          <w:sz w:val="17"/>
          <w:szCs w:val="17"/>
          <w:color w:val="auto"/>
        </w:rPr>
        <w:t>geschuldet (Art. 17b und 19 ArG).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 Verbot der Abgeltung der Ruhezeit</w:t>
      </w:r>
    </w:p>
    <w:p>
      <w:pPr>
        <w:spacing w:after="0" w:line="223" w:lineRule="exact"/>
        <w:rPr>
          <w:sz w:val="20"/>
          <w:szCs w:val="20"/>
          <w:color w:val="auto"/>
        </w:rPr>
      </w:pPr>
    </w:p>
    <w:p>
      <w:pPr>
        <w:ind w:right="640"/>
        <w:spacing w:after="0" w:line="232" w:lineRule="auto"/>
        <w:rPr>
          <w:sz w:val="20"/>
          <w:szCs w:val="20"/>
          <w:color w:val="auto"/>
        </w:rPr>
      </w:pPr>
      <w:r>
        <w:rPr>
          <w:rFonts w:ascii="Arial" w:cs="Arial" w:eastAsia="Arial" w:hAnsi="Arial"/>
          <w:sz w:val="17"/>
          <w:szCs w:val="17"/>
          <w:color w:val="auto"/>
        </w:rPr>
        <w:t>Die Ruhezeiten gemäss Arbeitsgesetz dürfen weder durch Geldleistungen noch durch andere Vergünstigungen abgegolten werden. Eine Ausnahme besteht einzig bei Beendigung eines Arbeitsverhältnisses (Art. 22 ArG).</w:t>
      </w:r>
    </w:p>
    <w:p>
      <w:pPr>
        <w:spacing w:after="0" w:line="20" w:lineRule="exact"/>
        <w:rPr>
          <w:sz w:val="20"/>
          <w:szCs w:val="20"/>
          <w:color w:val="auto"/>
        </w:rPr>
      </w:pPr>
      <w:r>
        <w:rPr>
          <w:sz w:val="20"/>
          <w:szCs w:val="20"/>
          <w:color w:val="auto"/>
        </w:rPr>
        <w:br w:type="column"/>
      </w:r>
    </w:p>
    <w:p>
      <w:pPr>
        <w:jc w:val="center"/>
        <w:ind w:left="60"/>
        <w:spacing w:after="0" w:line="242" w:lineRule="auto"/>
        <w:rPr>
          <w:sz w:val="20"/>
          <w:szCs w:val="20"/>
          <w:color w:val="auto"/>
        </w:rPr>
      </w:pPr>
      <w:r>
        <w:rPr>
          <w:rFonts w:ascii="Arial" w:cs="Arial" w:eastAsia="Arial" w:hAnsi="Arial"/>
          <w:sz w:val="17"/>
          <w:szCs w:val="17"/>
          <w:color w:val="auto"/>
        </w:rPr>
        <w:t>the night work is permissible pursuant to the conditions of Art. 29 ArGV 1.</w:t>
      </w:r>
    </w:p>
    <w:p>
      <w:pPr>
        <w:spacing w:after="0" w:line="200" w:lineRule="exact"/>
        <w:rPr>
          <w:sz w:val="20"/>
          <w:szCs w:val="20"/>
          <w:color w:val="auto"/>
        </w:rPr>
      </w:pPr>
    </w:p>
    <w:p>
      <w:pPr>
        <w:spacing w:after="0" w:line="242" w:lineRule="exact"/>
        <w:rPr>
          <w:sz w:val="20"/>
          <w:szCs w:val="20"/>
          <w:color w:val="auto"/>
        </w:rPr>
      </w:pPr>
    </w:p>
    <w:p>
      <w:pPr>
        <w:jc w:val="center"/>
        <w:ind w:left="-19" w:right="60"/>
        <w:spacing w:after="0" w:line="235" w:lineRule="auto"/>
        <w:rPr>
          <w:sz w:val="20"/>
          <w:szCs w:val="20"/>
          <w:color w:val="auto"/>
        </w:rPr>
      </w:pPr>
      <w:r>
        <w:rPr>
          <w:rFonts w:ascii="Arial" w:cs="Arial" w:eastAsia="Arial" w:hAnsi="Arial"/>
          <w:sz w:val="17"/>
          <w:szCs w:val="17"/>
          <w:color w:val="auto"/>
        </w:rPr>
        <w:t xml:space="preserve">2.6 Maximum number of consecutive working days Employees may be employed for a maximum of </w:t>
      </w:r>
      <w:r>
        <w:rPr>
          <w:rFonts w:ascii="Arial" w:cs="Arial" w:eastAsia="Arial" w:hAnsi="Arial"/>
          <w:sz w:val="17"/>
          <w:szCs w:val="17"/>
          <w:i w:val="1"/>
          <w:iCs w:val="1"/>
          <w:color w:val="auto"/>
        </w:rPr>
        <w:t>6 consecutive working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days </w:t>
      </w:r>
      <w:r>
        <w:rPr>
          <w:rFonts w:ascii="Arial" w:cs="Arial" w:eastAsia="Arial" w:hAnsi="Arial"/>
          <w:sz w:val="17"/>
          <w:szCs w:val="17"/>
          <w:color w:val="auto"/>
        </w:rPr>
        <w:t>. Thereafter, a rest day must be observed (Art. 16 ArGV 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 Rest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 Daily rest period</w:t>
      </w:r>
    </w:p>
    <w:p>
      <w:pPr>
        <w:jc w:val="center"/>
        <w:spacing w:after="0" w:line="224" w:lineRule="auto"/>
        <w:rPr>
          <w:sz w:val="20"/>
          <w:szCs w:val="20"/>
          <w:color w:val="auto"/>
        </w:rPr>
      </w:pPr>
      <w:r>
        <w:rPr>
          <w:rFonts w:ascii="Arial" w:cs="Arial" w:eastAsia="Arial" w:hAnsi="Arial"/>
          <w:sz w:val="17"/>
          <w:szCs w:val="17"/>
          <w:color w:val="auto"/>
        </w:rPr>
        <w:t xml:space="preserve">A rest period of </w:t>
      </w:r>
      <w:r>
        <w:rPr>
          <w:rFonts w:ascii="Arial" w:cs="Arial" w:eastAsia="Arial" w:hAnsi="Arial"/>
          <w:sz w:val="17"/>
          <w:szCs w:val="17"/>
          <w:i w:val="1"/>
          <w:iCs w:val="1"/>
          <w:color w:val="auto"/>
        </w:rPr>
        <w:t>at least 11 hours</w:t>
      </w:r>
      <w:r>
        <w:rPr>
          <w:rFonts w:ascii="Arial" w:cs="Arial" w:eastAsia="Arial" w:hAnsi="Arial"/>
          <w:sz w:val="17"/>
          <w:szCs w:val="17"/>
          <w:color w:val="auto"/>
        </w:rPr>
        <w:t xml:space="preserve"> must be observed between two</w:t>
      </w:r>
    </w:p>
    <w:p>
      <w:pPr>
        <w:spacing w:after="0" w:line="1" w:lineRule="exact"/>
        <w:rPr>
          <w:sz w:val="20"/>
          <w:szCs w:val="20"/>
          <w:color w:val="auto"/>
        </w:rPr>
      </w:pPr>
    </w:p>
    <w:p>
      <w:pPr>
        <w:jc w:val="center"/>
        <w:ind w:left="40"/>
        <w:spacing w:after="0" w:line="235" w:lineRule="auto"/>
        <w:rPr>
          <w:sz w:val="20"/>
          <w:szCs w:val="20"/>
          <w:color w:val="auto"/>
        </w:rPr>
      </w:pPr>
      <w:r>
        <w:rPr>
          <w:rFonts w:ascii="Arial" w:cs="Arial" w:eastAsia="Arial" w:hAnsi="Arial"/>
          <w:sz w:val="17"/>
          <w:szCs w:val="17"/>
          <w:color w:val="auto"/>
        </w:rPr>
        <w:t>working days. The daily rest period may be shortened once per week to 8 hours, provided in an average of two weeks, a daily rest period of 11 hours is observed (Art. 15a ArG).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 Breaks</w:t>
      </w:r>
    </w:p>
    <w:p>
      <w:pPr>
        <w:jc w:val="center"/>
        <w:spacing w:after="0" w:line="224" w:lineRule="auto"/>
        <w:rPr>
          <w:sz w:val="20"/>
          <w:szCs w:val="20"/>
          <w:color w:val="auto"/>
        </w:rPr>
      </w:pPr>
      <w:r>
        <w:rPr>
          <w:rFonts w:ascii="Arial" w:cs="Arial" w:eastAsia="Arial" w:hAnsi="Arial"/>
          <w:sz w:val="17"/>
          <w:szCs w:val="17"/>
          <w:color w:val="auto"/>
        </w:rPr>
        <w:t xml:space="preserve">Breaks are work breaks for recreation, nutrition and leisure. They must be granted around the middle of the working time. The workplace may in principle be left (Article 15 ArG, point 2.1). The following </w:t>
      </w:r>
      <w:r>
        <w:rPr>
          <w:rFonts w:ascii="Arial" w:cs="Arial" w:eastAsia="Arial" w:hAnsi="Arial"/>
          <w:sz w:val="17"/>
          <w:szCs w:val="17"/>
          <w:i w:val="1"/>
          <w:iCs w:val="1"/>
          <w:color w:val="auto"/>
        </w:rPr>
        <w:t>minimum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breaks </w:t>
      </w:r>
      <w:r>
        <w:rPr>
          <w:rFonts w:ascii="Arial" w:cs="Arial" w:eastAsia="Arial" w:hAnsi="Arial"/>
          <w:sz w:val="17"/>
          <w:szCs w:val="17"/>
          <w:color w:val="auto"/>
        </w:rPr>
        <w:t>apply:</w:t>
      </w:r>
    </w:p>
    <w:p>
      <w:pPr>
        <w:ind w:left="1040"/>
        <w:spacing w:after="0" w:line="227" w:lineRule="auto"/>
        <w:rPr>
          <w:sz w:val="20"/>
          <w:szCs w:val="20"/>
          <w:color w:val="auto"/>
        </w:rPr>
      </w:pPr>
      <w:r>
        <w:rPr>
          <w:rFonts w:ascii="Arial" w:cs="Arial" w:eastAsia="Arial" w:hAnsi="Arial"/>
          <w:sz w:val="17"/>
          <w:szCs w:val="17"/>
          <w:color w:val="auto"/>
        </w:rPr>
        <w:t xml:space="preserve">Working time of more than 5.5 hours: </w:t>
      </w:r>
      <w:r>
        <w:rPr>
          <w:rFonts w:ascii="Arial" w:cs="Arial" w:eastAsia="Arial" w:hAnsi="Arial"/>
          <w:sz w:val="17"/>
          <w:szCs w:val="17"/>
          <w:b w:val="1"/>
          <w:bCs w:val="1"/>
          <w:color w:val="auto"/>
        </w:rPr>
        <w:t>¼ hour</w:t>
      </w:r>
    </w:p>
    <w:p>
      <w:pPr>
        <w:ind w:left="1120"/>
        <w:spacing w:after="0" w:line="224" w:lineRule="auto"/>
        <w:rPr>
          <w:sz w:val="20"/>
          <w:szCs w:val="20"/>
          <w:color w:val="auto"/>
        </w:rPr>
      </w:pPr>
      <w:r>
        <w:rPr>
          <w:rFonts w:ascii="Arial" w:cs="Arial" w:eastAsia="Arial" w:hAnsi="Arial"/>
          <w:sz w:val="17"/>
          <w:szCs w:val="17"/>
          <w:color w:val="auto"/>
        </w:rPr>
        <w:t xml:space="preserve">Working time of more than 7 hours: </w:t>
      </w:r>
      <w:r>
        <w:rPr>
          <w:rFonts w:ascii="Arial" w:cs="Arial" w:eastAsia="Arial" w:hAnsi="Arial"/>
          <w:sz w:val="17"/>
          <w:szCs w:val="17"/>
          <w:b w:val="1"/>
          <w:bCs w:val="1"/>
          <w:color w:val="auto"/>
        </w:rPr>
        <w:t>½ hour</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Working time of more than 9 hours: </w:t>
      </w:r>
      <w:r>
        <w:rPr>
          <w:rFonts w:ascii="Arial" w:cs="Arial" w:eastAsia="Arial" w:hAnsi="Arial"/>
          <w:sz w:val="17"/>
          <w:szCs w:val="17"/>
          <w:b w:val="1"/>
          <w:bCs w:val="1"/>
          <w:color w:val="auto"/>
        </w:rPr>
        <w:t>1 hour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 Night and Sunday work</w:t>
      </w:r>
    </w:p>
    <w:p>
      <w:pPr>
        <w:jc w:val="center"/>
        <w:spacing w:after="0" w:line="224" w:lineRule="auto"/>
        <w:rPr>
          <w:sz w:val="20"/>
          <w:szCs w:val="20"/>
          <w:color w:val="auto"/>
        </w:rPr>
      </w:pPr>
      <w:r>
        <w:rPr>
          <w:rFonts w:ascii="Arial" w:cs="Arial" w:eastAsia="Arial" w:hAnsi="Arial"/>
          <w:sz w:val="17"/>
          <w:szCs w:val="17"/>
          <w:color w:val="auto"/>
        </w:rPr>
        <w:t xml:space="preserve">Night and Sunday work are </w:t>
      </w:r>
      <w:r>
        <w:rPr>
          <w:rFonts w:ascii="Arial" w:cs="Arial" w:eastAsia="Arial" w:hAnsi="Arial"/>
          <w:sz w:val="17"/>
          <w:szCs w:val="17"/>
          <w:i w:val="1"/>
          <w:iCs w:val="1"/>
          <w:color w:val="auto"/>
        </w:rPr>
        <w:t>generally prohibited</w:t>
      </w:r>
      <w:r>
        <w:rPr>
          <w:rFonts w:ascii="Arial" w:cs="Arial" w:eastAsia="Arial" w:hAnsi="Arial"/>
          <w:sz w:val="17"/>
          <w:szCs w:val="17"/>
          <w:color w:val="auto"/>
        </w:rPr>
        <w:t xml:space="preserve"> (Articles 16 and 18</w:t>
      </w:r>
    </w:p>
    <w:p>
      <w:pPr>
        <w:jc w:val="center"/>
        <w:spacing w:after="0" w:line="225" w:lineRule="auto"/>
        <w:rPr>
          <w:sz w:val="20"/>
          <w:szCs w:val="20"/>
          <w:color w:val="auto"/>
        </w:rPr>
      </w:pPr>
      <w:r>
        <w:rPr>
          <w:rFonts w:ascii="Arial" w:cs="Arial" w:eastAsia="Arial" w:hAnsi="Arial"/>
          <w:sz w:val="17"/>
          <w:szCs w:val="17"/>
          <w:color w:val="auto"/>
        </w:rPr>
        <w:t>ArG).</w:t>
      </w:r>
    </w:p>
    <w:p>
      <w:pPr>
        <w:jc w:val="center"/>
        <w:ind w:left="-19" w:right="80"/>
        <w:spacing w:after="0" w:line="235" w:lineRule="auto"/>
        <w:rPr>
          <w:sz w:val="20"/>
          <w:szCs w:val="20"/>
          <w:color w:val="auto"/>
        </w:rPr>
      </w:pPr>
      <w:r>
        <w:rPr>
          <w:rFonts w:ascii="Arial" w:cs="Arial" w:eastAsia="Arial" w:hAnsi="Arial"/>
          <w:sz w:val="17"/>
          <w:szCs w:val="17"/>
          <w:i w:val="1"/>
          <w:iCs w:val="1"/>
          <w:color w:val="auto"/>
        </w:rPr>
        <w:t xml:space="preserve">Night work </w:t>
      </w:r>
      <w:r>
        <w:rPr>
          <w:rFonts w:ascii="Arial" w:cs="Arial" w:eastAsia="Arial" w:hAnsi="Arial"/>
          <w:sz w:val="17"/>
          <w:szCs w:val="17"/>
          <w:color w:val="auto"/>
        </w:rPr>
        <w:t>: As a rule, night working hours are those between 11 pm</w:t>
      </w:r>
      <w:r>
        <w:rPr>
          <w:rFonts w:ascii="Arial" w:cs="Arial" w:eastAsia="Arial" w:hAnsi="Arial"/>
          <w:sz w:val="17"/>
          <w:szCs w:val="17"/>
          <w:i w:val="1"/>
          <w:iCs w:val="1"/>
          <w:color w:val="auto"/>
        </w:rPr>
        <w:t xml:space="preserve"> </w:t>
      </w:r>
      <w:r>
        <w:rPr>
          <w:rFonts w:ascii="Arial" w:cs="Arial" w:eastAsia="Arial" w:hAnsi="Arial"/>
          <w:sz w:val="17"/>
          <w:szCs w:val="17"/>
          <w:color w:val="auto"/>
        </w:rPr>
        <w:t>and 6 am. With consent of the workforce, the night work period can be shifted by one hour forward or backward (Article 10 (2) of the ArG).</w:t>
      </w:r>
    </w:p>
    <w:p>
      <w:pPr>
        <w:spacing w:after="0" w:line="192" w:lineRule="exact"/>
        <w:rPr>
          <w:sz w:val="20"/>
          <w:szCs w:val="20"/>
          <w:color w:val="auto"/>
        </w:rPr>
      </w:pPr>
    </w:p>
    <w:p>
      <w:pPr>
        <w:jc w:val="center"/>
        <w:ind w:left="200"/>
        <w:spacing w:after="0" w:line="235" w:lineRule="auto"/>
        <w:rPr>
          <w:sz w:val="20"/>
          <w:szCs w:val="20"/>
          <w:color w:val="auto"/>
        </w:rPr>
      </w:pPr>
      <w:r>
        <w:rPr>
          <w:rFonts w:ascii="Arial" w:cs="Arial" w:eastAsia="Arial" w:hAnsi="Arial"/>
          <w:sz w:val="17"/>
          <w:szCs w:val="17"/>
          <w:i w:val="1"/>
          <w:iCs w:val="1"/>
          <w:color w:val="auto"/>
        </w:rPr>
        <w:t xml:space="preserve">Sundays </w:t>
      </w:r>
      <w:r>
        <w:rPr>
          <w:rFonts w:ascii="Arial" w:cs="Arial" w:eastAsia="Arial" w:hAnsi="Arial"/>
          <w:sz w:val="17"/>
          <w:szCs w:val="17"/>
          <w:color w:val="auto"/>
        </w:rPr>
        <w:t>: Sunday is the time between Saturday 23.00 and Sunday</w:t>
      </w:r>
      <w:r>
        <w:rPr>
          <w:rFonts w:ascii="Arial" w:cs="Arial" w:eastAsia="Arial" w:hAnsi="Arial"/>
          <w:sz w:val="17"/>
          <w:szCs w:val="17"/>
          <w:i w:val="1"/>
          <w:iCs w:val="1"/>
          <w:color w:val="auto"/>
        </w:rPr>
        <w:t xml:space="preserve"> </w:t>
      </w:r>
      <w:r>
        <w:rPr>
          <w:rFonts w:ascii="Arial" w:cs="Arial" w:eastAsia="Arial" w:hAnsi="Arial"/>
          <w:sz w:val="17"/>
          <w:szCs w:val="17"/>
          <w:color w:val="auto"/>
        </w:rPr>
        <w:t>23.00 .</w:t>
      </w:r>
    </w:p>
    <w:p>
      <w:pPr>
        <w:spacing w:after="0" w:line="1" w:lineRule="exact"/>
        <w:rPr>
          <w:sz w:val="20"/>
          <w:szCs w:val="20"/>
          <w:color w:val="auto"/>
        </w:rPr>
      </w:pPr>
    </w:p>
    <w:p>
      <w:pPr>
        <w:jc w:val="center"/>
        <w:ind w:left="-19"/>
        <w:spacing w:after="0" w:line="230" w:lineRule="auto"/>
        <w:rPr>
          <w:sz w:val="20"/>
          <w:szCs w:val="20"/>
          <w:color w:val="auto"/>
        </w:rPr>
      </w:pPr>
      <w:r>
        <w:rPr>
          <w:rFonts w:ascii="Arial" w:cs="Arial" w:eastAsia="Arial" w:hAnsi="Arial"/>
          <w:sz w:val="17"/>
          <w:szCs w:val="17"/>
          <w:color w:val="auto"/>
        </w:rPr>
        <w:t xml:space="preserve">Exceptions to these prohibition are usually </w:t>
      </w:r>
      <w:r>
        <w:rPr>
          <w:rFonts w:ascii="Arial" w:cs="Arial" w:eastAsia="Arial" w:hAnsi="Arial"/>
          <w:sz w:val="17"/>
          <w:szCs w:val="17"/>
          <w:i w:val="1"/>
          <w:iCs w:val="1"/>
          <w:color w:val="auto"/>
        </w:rPr>
        <w:t>subject to approval</w:t>
      </w:r>
      <w:r>
        <w:rPr>
          <w:rFonts w:ascii="Arial" w:cs="Arial" w:eastAsia="Arial" w:hAnsi="Arial"/>
          <w:sz w:val="17"/>
          <w:szCs w:val="17"/>
          <w:color w:val="auto"/>
        </w:rPr>
        <w:t xml:space="preserve"> (Articles 17 and 19 ArG). Regulation 2 (Arbeitsgesetz, ArGV 2, SR 822.112) mentions groups of companies or employees who are exempted from this approval requirement (eg power stations, bakeries, campsites, etc.). In the case of night and Sunday work, </w:t>
      </w:r>
      <w:r>
        <w:rPr>
          <w:rFonts w:ascii="Arial" w:cs="Arial" w:eastAsia="Arial" w:hAnsi="Arial"/>
          <w:sz w:val="17"/>
          <w:szCs w:val="17"/>
          <w:i w:val="1"/>
          <w:iCs w:val="1"/>
          <w:color w:val="auto"/>
        </w:rPr>
        <w:t>a time or salary supplement 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w:t>
      </w:r>
      <w:r>
        <w:rPr>
          <w:rFonts w:ascii="Arial" w:cs="Arial" w:eastAsia="Arial" w:hAnsi="Arial"/>
          <w:sz w:val="17"/>
          <w:szCs w:val="17"/>
          <w:color w:val="auto"/>
        </w:rPr>
        <w:t>(Articles 17b and 19 ArG).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 Prohibition of compensation for the rest period</w:t>
      </w:r>
    </w:p>
    <w:p>
      <w:pPr>
        <w:ind w:right="120"/>
        <w:spacing w:after="0" w:line="235" w:lineRule="auto"/>
        <w:rPr>
          <w:sz w:val="20"/>
          <w:szCs w:val="20"/>
          <w:color w:val="auto"/>
        </w:rPr>
      </w:pPr>
      <w:r>
        <w:rPr>
          <w:rFonts w:ascii="Arial" w:cs="Arial" w:eastAsia="Arial" w:hAnsi="Arial"/>
          <w:sz w:val="17"/>
          <w:szCs w:val="17"/>
          <w:color w:val="auto"/>
        </w:rPr>
        <w:t>The periods of rest according to the Labor Code may be paid neither in cash nor by other means be compensated. An exception exists only upon the termination of the employment relationship (Article 22 ArG).</w:t>
      </w:r>
    </w:p>
    <w:p>
      <w:pPr>
        <w:sectPr>
          <w:pgSz w:w="11900" w:h="16838" w:orient="portrait"/>
          <w:cols w:equalWidth="0" w:num="2">
            <w:col w:w="5580" w:space="40"/>
            <w:col w:w="5580"/>
          </w:cols>
          <w:pgMar w:left="340" w:top="1414" w:right="359" w:bottom="1440" w:gutter="0" w:footer="0" w:header="0"/>
        </w:sectPr>
      </w:pPr>
    </w:p>
    <w:bookmarkStart w:id="170" w:name="page171"/>
    <w:bookmarkEnd w:id="170"/>
    <w:p>
      <w:pPr>
        <w:ind w:left="10180"/>
        <w:spacing w:after="0"/>
        <w:rPr>
          <w:sz w:val="20"/>
          <w:szCs w:val="20"/>
          <w:color w:val="auto"/>
        </w:rPr>
      </w:pPr>
      <w:r>
        <w:rPr>
          <w:rFonts w:ascii="Arial" w:cs="Arial" w:eastAsia="Arial" w:hAnsi="Arial"/>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510030" cy="381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December 21,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Mark Porter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[via email]</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Dear Mark,</w:t>
      </w:r>
    </w:p>
    <w:p>
      <w:pPr>
        <w:spacing w:after="0" w:line="221" w:lineRule="exact"/>
        <w:rPr>
          <w:sz w:val="20"/>
          <w:szCs w:val="20"/>
          <w:color w:val="auto"/>
        </w:rPr>
      </w:pPr>
    </w:p>
    <w:p>
      <w:pPr>
        <w:jc w:val="both"/>
        <w:ind w:right="460"/>
        <w:spacing w:after="0" w:line="256" w:lineRule="auto"/>
        <w:rPr>
          <w:sz w:val="20"/>
          <w:szCs w:val="20"/>
          <w:color w:val="auto"/>
        </w:rPr>
      </w:pPr>
      <w:r>
        <w:rPr>
          <w:rFonts w:ascii="Arial" w:cs="Arial" w:eastAsia="Arial" w:hAnsi="Arial"/>
          <w:sz w:val="16"/>
          <w:szCs w:val="16"/>
          <w:color w:val="auto"/>
        </w:rPr>
        <w:t>As you know, you are currently employed by MongoDB, Inc. (the “Company”) as its Chief Technology Officer pursuant to the terms of an offer letter from the Company dated June 27, 2020 (the “Offer Letter”). As discussed, you and the Company hereby agree to amend and restate the Offer Letter to memorialize the terms and conditions of your employment as an executive of the Company. The terms and conditions set forth in this offer letter agreement (the “Agreement”) will become effective as of the date hereof and will supersede and replace the terms and conditions set forth in the Offer Letter. You will continue to be based in Washington State, reporting to the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41"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You will remain employed as a full-time salaried employee, compensated at the rate of $13,541 per semi-monthly pay period ($325,000 annually). Currently, the Company’s regular pay dates are the 15th and last day of each calendar month. If a pay date falls on a weekend or Federal/bank holiday, then the pay date will be on the previous business day. Said salary will be paid in accordance with the Company’s normal payroll practices as may exist from time to time and is subject to required and voluntary withholdings.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Bonus</w:t>
      </w:r>
    </w:p>
    <w:p>
      <w:pPr>
        <w:spacing w:after="0" w:line="241"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In addition to your base salary, during your employment as Chief Technology Officer, you will continue to be eligible for an annual bonus with a target of $211,250 (or 65% of base salary) per annum paid semi-annually, and which will be based on achievement of Company performance goals to be determined by the Company in its sole discretion. Bonus is subject to required and voluntary withholdings and paid according to Company payroll practices. You must be employed on the bonus payment date to be eligible for the bonus payment, except as otherwise provided below.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54" w:lineRule="exact"/>
        <w:rPr>
          <w:sz w:val="20"/>
          <w:szCs w:val="20"/>
          <w:color w:val="auto"/>
        </w:rPr>
      </w:pPr>
    </w:p>
    <w:p>
      <w:pPr>
        <w:jc w:val="both"/>
        <w:ind w:right="480"/>
        <w:spacing w:after="0" w:line="258" w:lineRule="auto"/>
        <w:rPr>
          <w:sz w:val="20"/>
          <w:szCs w:val="20"/>
          <w:color w:val="auto"/>
        </w:rPr>
      </w:pPr>
      <w:r>
        <w:rPr>
          <w:rFonts w:ascii="Arial" w:cs="Arial" w:eastAsia="Arial" w:hAnsi="Arial"/>
          <w:sz w:val="16"/>
          <w:szCs w:val="16"/>
          <w:color w:val="auto"/>
        </w:rPr>
        <w:t>You have previously been granted certain restricted stock units which will continue to be governed by the terms of the applicable equity incentive plan and award agreements. Eligibility for any future equity awards will be subject to the discretion of the Compensation Committee of the Board of Directors of the Company (the “Board”).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w:t>
      </w:r>
    </w:p>
    <w:p>
      <w:pPr>
        <w:spacing w:after="0" w:line="241" w:lineRule="exact"/>
        <w:rPr>
          <w:sz w:val="20"/>
          <w:szCs w:val="20"/>
          <w:color w:val="auto"/>
        </w:rPr>
      </w:pPr>
    </w:p>
    <w:p>
      <w:pPr>
        <w:jc w:val="both"/>
        <w:ind w:right="480"/>
        <w:spacing w:after="0" w:line="260" w:lineRule="auto"/>
        <w:rPr>
          <w:sz w:val="20"/>
          <w:szCs w:val="20"/>
          <w:color w:val="auto"/>
        </w:rPr>
      </w:pPr>
      <w:r>
        <w:rPr>
          <w:rFonts w:ascii="Arial" w:cs="Arial" w:eastAsia="Arial" w:hAnsi="Arial"/>
          <w:sz w:val="16"/>
          <w:szCs w:val="16"/>
          <w:color w:val="auto"/>
        </w:rPr>
        <w:t>As a regular full-time employee, you will continue to be eligible to participate in Company-sponsored medical, dental, vision, life insurance, short and long-term disability plans. The Company may discontinue or modify any such plans, programs or practices at any time, with or without notice.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Arbitration</w:t>
      </w:r>
    </w:p>
    <w:p>
      <w:pPr>
        <w:spacing w:after="0" w:line="241"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You and the Company have previously executed the Company’s standard arbitration agreement that is contained in your Employee Invention Assignment, Confidentiality and Arbitration Agreement (the “Arbitration Agreement”), which agreement remains in full force and effect. You acknowledge and agree to all of the Company’s policies in effect during your employment with Company, including, but not limited to, the policies found in the MongoDB Employee Handbook and the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04" w:right="3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At Will Employment</w:t>
      </w:r>
    </w:p>
    <w:p>
      <w:pPr>
        <w:spacing w:after="0" w:line="25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Your employment relationship with the Company is “at-will.” That means you are free, at any time, for any reason, to end your employment with the Company and that the Company may do the same. Our agreement regarding employment-at-will may not be changed, except specifically in writing signed by the Chief Executive Officer and you.</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41"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Except as provided below, if you resign or the Company terminates your employment, or upon your death or disability, then (i) you will no longer vest in any equity awards, (ii) all payments of compensation by the Company to you hereunder will terminate immediately (except as to amounts already earned), and</w:t>
      </w:r>
    </w:p>
    <w:p>
      <w:pPr>
        <w:spacing w:after="0" w:line="1" w:lineRule="exact"/>
        <w:rPr>
          <w:sz w:val="20"/>
          <w:szCs w:val="20"/>
          <w:color w:val="auto"/>
        </w:rPr>
      </w:pPr>
    </w:p>
    <w:p>
      <w:pPr>
        <w:ind w:right="20" w:firstLine="5"/>
        <w:spacing w:after="0" w:line="260" w:lineRule="auto"/>
        <w:tabs>
          <w:tab w:leader="none" w:pos="254" w:val="left"/>
        </w:tabs>
        <w:numPr>
          <w:ilvl w:val="0"/>
          <w:numId w:val="99"/>
        </w:numPr>
        <w:rPr>
          <w:rFonts w:ascii="Arial" w:cs="Arial" w:eastAsia="Arial" w:hAnsi="Arial"/>
          <w:sz w:val="16"/>
          <w:szCs w:val="16"/>
          <w:color w:val="auto"/>
        </w:rPr>
      </w:pPr>
      <w:r>
        <w:rPr>
          <w:rFonts w:ascii="Arial" w:cs="Arial" w:eastAsia="Arial" w:hAnsi="Arial"/>
          <w:sz w:val="16"/>
          <w:szCs w:val="16"/>
          <w:color w:val="auto"/>
        </w:rPr>
        <w:t>you will not be entitled to any severance benefits. In addition, you will resign from all positions and terminate any relationships as an employee, advisor, officer or director with the Company and any of its affiliates, each effective on the date of termination.</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event your employment with the Company is terminated by the Company without Cause (and other than as result of death or disability) or due to your resignation for Good Reason (collectively, an “Involuntary Termination”), then provided such Involuntary Termination constitutes a “separation from service” (as defined under Treasury Regulation Section 1.409A-1(h), without regard to any alternative definition thereunder, a “Separation from Service”), and provided that you remain in compliance with the terms of this Agreement, the Company will provide you with the following severance benefits (collectively, the “Severance Benefits”): (a) an amount equal to six (6) months of your then-current base salary to be paid in equal installments on the Company’s normal payroll schedule over the six (6) month period immediately following the date of Separation from Service; and (b) provided that you timely elect continued coverage under COBRA, the Company will pay your COBRA premiums to continue your coverage (including coverage for eligible dependents, if applicable) (“COBRA Premiums”) through the period (the “COBRA Premium Period”) starting on your Separation from Service date and ending on the earliest to occur of: (i) six (6) months following your Separation from Service;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will in lieu thereof provide to you a taxable monthly payment in an amount equal to the monthly COBRA premium that you would be required to pay to continue your group health coverage in effect on the date of your employment termination (which amount will be based on the premium for the first month of COBRA coverage), which payments will be made on the last day of each month regardless of whether you elect COBRA continuation coverage and will end on the earlier of (x) the date upon which you obtain other employment or (y) the last day of the 6th calendar month following your Separation from Service date.</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your Involuntary Termination occurs either in connection with a Change in Control (as defined in the Company’s 2016 Equity Incentive Plan), or within three (3) months prior to or within twelve (12) months following the closing of a Change in Control, and such termination qualifies as a Separation from Service, and provided that you remain in compliance with the terms of this Agreement, then you will be entitled to the Severance Benefits provided for above, and the following additional benefits: (a) an amount equal to six (6) months of your then-current “cash-eligible” annual target bonus to be paid in equal installments on the Company’s normal payroll schedule over the six (6) month period immediately following the date of Separation from Service, which, for the avoidance of doubt, shall be in addition to payment of (i) any earned but unpaid annual bonus for the fiscal year preceding the fiscal year in which such Separation from Service occurs based on actual performance, as determined by the Compensation Committee and (ii) an annual bonus for the fiscal year in which the Separation from Service occurs, prorated to your date of Separation from Service and determined based on the greater of target performance or actual performance as of your date of Separation from Service, as determined by the Compensation Committee; (b) 100% of all of your then-outstanding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0780"/>
          </w:cols>
          <w:pgMar w:left="320" w:top="1363" w:right="799" w:bottom="1440" w:gutter="0" w:footer="0" w:header="0"/>
        </w:sectPr>
      </w:pPr>
    </w:p>
    <w:bookmarkStart w:id="172" w:name="page173"/>
    <w:bookmarkEnd w:id="172"/>
    <w:p>
      <w:pPr>
        <w:jc w:val="both"/>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based unvested Company equity awards will accelerate and will be deemed vested and exercisable (if applicable) as of your date of Separation from Service; and (c) 100% of all of your then-outstanding performance-based unvested Company equity awards will accelerate and will be deemed vested and exercisable (if applicable) based on the greater of your target performance rate or actual performance as of your date of Separation from Service (collectively, the “Change in Control Severance Benefits”), including any performance-based unvested awards granted pursuant to the Company’s Senior Leadership Equity Bonus Program (or similar annual bonus program that may be adopted in the future) (an “Equity Bonus Program”). For the avoidance of doubt, if you have elected to receive your annual bonus in equity in lieu of cash pursuant to an Equity Bonus Program, and have received an equity grant as a result of this election, your annual bonus for the performance period for which you made the election will no longer be considered “cash-eligible” for purposes of subsection (a) of this paragraph; provided however, that for any period for which you have elected to receive your annual bonus in equity in lieu of cash pursuant to an Equity Bonus Program, and for which the Company has not yet granted an equity award to you as of the date of Separation of Service, then such election shall be void, and your annual bonus for such period shall be “cash-eligible” in accordance with subsection (a) of this paragraph.</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receipt of the Severance Benefits or the Change in Control Severance Benefits, as applicable, provided above will be subject to you signing and not revoking a separation agreement and release of claims in a form similar to that attached hereto as Exhibit A (as amended to reflect the reason for the separation and any changes to the law) (the “Separation Agreement”) within the time period set forth therein, which will not exceed 50 days from the date of your Separation from Service (the “Release Period”).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You will also resign from all positions and terminate any relationships as an employee, advisor, officer or director with the Company and any of its affiliates, each effective on the date of termination.</w:t>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purposes of this Agreement, “Cause” will mean termination based upon (i) your willful failure to follow lawful directions communicated to you by the Chief Executive Officer or otherwise to perform your duties to the Company; (ii) the willful or intentional engaging by you in conduct which is injurious to the Company or its reputation, business or business relationships, monetarily or otherwise; (iii) your commission of an act of fraud, misappropriation or embezzlement with respect to the Company or the Company’s business; (iv) your conviction of, or a plea of guilty or nolo contendere to, a felony or a crime of moral turpitude (meaning an extreme departure from ordinary standards of honesty, good morals, justice or ethics as to be shocking in the moral sense of community); (v) your habitual drunkenness or use of illegal substances; (vi) a material breach by you of your obligations under this Agreement, including (without limitation) your obligations specified in your Employee Invention Assignment Agreement, Confidentiality and Arbitration Agreement that is not cured (to the extent curable) within 15 days of the Company providing written notice of such material breach; or (vii) your commission of an act of gross neglect or gross misconduct in connection with the performance of your duties.</w:t>
      </w:r>
    </w:p>
    <w:p>
      <w:pPr>
        <w:spacing w:after="0" w:line="23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For purposes of this Agreement, “Good Reason” means the occurrence of one of the following events without your written consent: (i) a material diminution by the Company in your title or the nature or scope of your responsibilities, duties or authority with the Company, (ii) a material reduction of your base salary, (iii) a relocation of your principal place of employment that increases your one-way commute by more than 50 miles as compared to your then-current principal place of employment prior to such relocation (it being understood that you are expected to spend material amounts of time in the Company’s other offices as part of your duties hereunder), or (iv) failure by the Company to ensure that a successor entity assumes this Agreement; provided, however, that to resign for Good Reason, you must (1) provide written notice to the Company’s General Counsel within 30 days after the first occurrence of the event giving rise to Good Reason setting forth the basis for your resignation, (2) allow the Company at least 30 days from receipt of such written notice to cure such event, and (3) if such event is not reasonably cured with such period, your resignation from all positions you then hold with the Company is effective not later than 60 days after the expiration of the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0780"/>
          </w:cols>
          <w:pgMar w:left="320" w:top="1396" w:right="79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280G</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any payment or benefit (including payments and benefits pursuant to this Agreement) that you would receive from the Company or otherwise in connection with a Change in Control (the “Transaction Payment”) would (i) constitute a “parachute payment” within the meaning of Section 280G of the Internal Revenue Code of 1986, as amended (the “Code”) and (ii) but for this sentence, be subject to the excise tax imposed by Section 4999 of the Code (the “Excise Tax”), then the Company will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 be subject to the Excise Tax: (1) payment in full of the entire amount of the Transaction Payment (a “Full Payment”), or (2) payment of only a part of the Transaction Payment so that you receive the largest payment possible without the imposition of the Excise Tax (a “Reduced Payment”). For purposes of determining whether to make a Full Payment or a Reduced Payment, the Company will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will have no rights to any additional payments and/or benefits constituting the Transaction Payment, and (y) reduction in payments and/or benefits will occur in the manner that results in the greatest economic benefit to you as determined in this paragraph. If more than one method of reduction will result in the same economic benefit, the portions of the Transaction Payment will be reduced pro rata. Unless you and the Company otherwise agree in writing, any determination required under this section will be made in writing by the Company’s independent public accountants (the “Accountants”), whose determination will be conclusive and binding upon you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as well as any costs incurred by you with the Accountants for tax planning under Sections 280G and 4999 of the Code.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409A</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It is intended that all of the severance benefits and other payments payable under this Agreement satisfy, to the greatest extent possible, the exemptions from the application of Section 409A of the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 Section 1.409A-2(b)(2)(iii)), your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will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time period, all payments deferred pursuant to this section will be paid in a lump sum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0780"/>
          </w:cols>
          <w:pgMar w:left="320" w:top="1440" w:right="799" w:bottom="1440" w:gutter="0" w:footer="0" w:header="0"/>
        </w:sectPr>
      </w:pPr>
    </w:p>
    <w:bookmarkStart w:id="174" w:name="page175"/>
    <w:bookmarkEnd w:id="174"/>
    <w:p>
      <w:pPr>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and any remaining payments due will be paid as otherwise provided herein or in the applicable agreement. No interest will be due on any amounts so deferred.</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your continued contributions to the growth and success of MongoDB over the coming years.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MongoDB, Inc.</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7"/>
              </w:rPr>
              <w:t>/s/ Andrew Stephens</w:t>
            </w:r>
          </w:p>
        </w:tc>
        <w:tc>
          <w:tcPr>
            <w:tcW w:w="6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12/21/2021</w:t>
            </w:r>
          </w:p>
        </w:tc>
      </w:tr>
      <w:tr>
        <w:trPr>
          <w:trHeight w:val="222"/>
        </w:trPr>
        <w:tc>
          <w:tcPr>
            <w:tcW w:w="2140" w:type="dxa"/>
            <w:vAlign w:val="bottom"/>
            <w:gridSpan w:val="2"/>
          </w:tcPr>
          <w:p>
            <w:pPr>
              <w:spacing w:after="0"/>
              <w:rPr>
                <w:sz w:val="20"/>
                <w:szCs w:val="20"/>
                <w:color w:val="auto"/>
              </w:rPr>
            </w:pPr>
            <w:r>
              <w:rPr>
                <w:rFonts w:ascii="Arial" w:cs="Arial" w:eastAsia="Arial" w:hAnsi="Arial"/>
                <w:sz w:val="16"/>
                <w:szCs w:val="16"/>
                <w:color w:val="auto"/>
              </w:rPr>
              <w:t>Name: Andrew Stephens</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Date</w:t>
            </w:r>
          </w:p>
        </w:tc>
      </w:tr>
      <w:tr>
        <w:trPr>
          <w:trHeight w:val="222"/>
        </w:trPr>
        <w:tc>
          <w:tcPr>
            <w:tcW w:w="2140" w:type="dxa"/>
            <w:vAlign w:val="bottom"/>
            <w:gridSpan w:val="2"/>
          </w:tcPr>
          <w:p>
            <w:pPr>
              <w:spacing w:after="0"/>
              <w:rPr>
                <w:sz w:val="20"/>
                <w:szCs w:val="20"/>
                <w:color w:val="auto"/>
              </w:rPr>
            </w:pPr>
            <w:r>
              <w:rPr>
                <w:rFonts w:ascii="Arial" w:cs="Arial" w:eastAsia="Arial" w:hAnsi="Arial"/>
                <w:sz w:val="16"/>
                <w:szCs w:val="16"/>
                <w:color w:val="auto"/>
              </w:rPr>
              <w:t>Title: General Counsel</w:t>
            </w:r>
          </w:p>
        </w:tc>
        <w:tc>
          <w:tcPr>
            <w:tcW w:w="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hereby acknowledge my acceptance of continued employment with MongoDB pursuant to the terms and conditions contained in this Agreement.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7"/>
              </w:rPr>
              <w:t>/s/ Mark Porter</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12/25/2021</w:t>
            </w:r>
          </w:p>
        </w:tc>
      </w:tr>
      <w:tr>
        <w:trPr>
          <w:trHeight w:val="222"/>
        </w:trPr>
        <w:tc>
          <w:tcPr>
            <w:tcW w:w="1280" w:type="dxa"/>
            <w:vAlign w:val="bottom"/>
            <w:gridSpan w:val="2"/>
          </w:tcPr>
          <w:p>
            <w:pPr>
              <w:spacing w:after="0"/>
              <w:rPr>
                <w:sz w:val="20"/>
                <w:szCs w:val="20"/>
                <w:color w:val="auto"/>
              </w:rPr>
            </w:pPr>
            <w:r>
              <w:rPr>
                <w:rFonts w:ascii="Arial" w:cs="Arial" w:eastAsia="Arial" w:hAnsi="Arial"/>
                <w:sz w:val="16"/>
                <w:szCs w:val="16"/>
                <w:color w:val="auto"/>
              </w:rPr>
              <w:t>Mark Porter</w:t>
            </w:r>
          </w:p>
        </w:tc>
        <w:tc>
          <w:tcPr>
            <w:tcW w:w="1400" w:type="dxa"/>
            <w:vAlign w:val="bottom"/>
            <w:gridSpan w:val="2"/>
          </w:tcPr>
          <w:p>
            <w:pPr>
              <w:jc w:val="right"/>
              <w:ind w:right="742"/>
              <w:spacing w:after="0"/>
              <w:rPr>
                <w:sz w:val="20"/>
                <w:szCs w:val="20"/>
                <w:color w:val="auto"/>
              </w:rPr>
            </w:pPr>
            <w:r>
              <w:rPr>
                <w:rFonts w:ascii="Arial" w:cs="Arial" w:eastAsia="Arial" w:hAnsi="Arial"/>
                <w:sz w:val="16"/>
                <w:szCs w:val="16"/>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0760"/>
          </w:cols>
          <w:pgMar w:left="320" w:top="1396" w:right="8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Exhibit 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[Month] , 201_</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Mark Porter</w:t>
      </w:r>
    </w:p>
    <w:p>
      <w:pPr>
        <w:spacing w:after="0" w:line="84"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 xml:space="preserve">Terms of </w:t>
      </w:r>
      <w:r>
        <w:rPr>
          <w:rFonts w:ascii="Arial" w:cs="Arial" w:eastAsia="Arial" w:hAnsi="Arial"/>
          <w:sz w:val="16"/>
          <w:szCs w:val="16"/>
          <w:b w:val="1"/>
          <w:bCs w:val="1"/>
          <w:u w:val="single" w:color="auto"/>
          <w:color w:val="auto"/>
        </w:rPr>
        <w:t>[Resignation or Separation]</w:t>
      </w:r>
    </w:p>
    <w:p>
      <w:pPr>
        <w:spacing w:after="0" w:line="3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letter confirms the agreement (“Agreement”) between you and MongoDB, Inc. (the “Company”) concerning the terms of your </w:t>
      </w:r>
      <w:r>
        <w:rPr>
          <w:rFonts w:ascii="Arial" w:cs="Arial" w:eastAsia="Arial" w:hAnsi="Arial"/>
          <w:sz w:val="16"/>
          <w:szCs w:val="16"/>
          <w:b w:val="1"/>
          <w:bCs w:val="1"/>
          <w:color w:val="auto"/>
        </w:rPr>
        <w:t>[resignation or separation]</w:t>
      </w:r>
      <w:r>
        <w:rPr>
          <w:rFonts w:ascii="Arial" w:cs="Arial" w:eastAsia="Arial" w:hAnsi="Arial"/>
          <w:sz w:val="16"/>
          <w:szCs w:val="16"/>
          <w:color w:val="auto"/>
        </w:rPr>
        <w:t xml:space="preserve"> and offers you the separation compensation we discussed in exchange for a general release of claims and covenant not to sue.</w:t>
      </w:r>
    </w:p>
    <w:p>
      <w:pPr>
        <w:spacing w:after="0" w:line="202" w:lineRule="exact"/>
        <w:rPr>
          <w:sz w:val="20"/>
          <w:szCs w:val="20"/>
          <w:color w:val="auto"/>
        </w:rPr>
      </w:pPr>
    </w:p>
    <w:p>
      <w:pPr>
        <w:ind w:left="1260" w:hanging="628"/>
        <w:spacing w:after="0"/>
        <w:tabs>
          <w:tab w:leader="none" w:pos="126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Resignation or Separation]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________________is your last day of employment with the Company (the “</w:t>
      </w:r>
      <w:r>
        <w:rPr>
          <w:rFonts w:ascii="Arial" w:cs="Arial" w:eastAsia="Arial" w:hAnsi="Arial"/>
          <w:sz w:val="15"/>
          <w:szCs w:val="15"/>
          <w:b w:val="1"/>
          <w:bCs w:val="1"/>
          <w:color w:val="auto"/>
        </w:rPr>
        <w:t>[Resignation or Separation]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34" w:lineRule="exact"/>
        <w:rPr>
          <w:sz w:val="20"/>
          <w:szCs w:val="20"/>
          <w:color w:val="auto"/>
        </w:rPr>
      </w:pPr>
    </w:p>
    <w:p>
      <w:pPr>
        <w:jc w:val="both"/>
        <w:ind w:firstLine="632"/>
        <w:spacing w:after="0" w:line="256" w:lineRule="auto"/>
        <w:tabs>
          <w:tab w:leader="none" w:pos="125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Acknowledgment of Payment of Wages</w:t>
      </w:r>
      <w:r>
        <w:rPr>
          <w:rFonts w:ascii="Arial" w:cs="Arial" w:eastAsia="Arial" w:hAnsi="Arial"/>
          <w:sz w:val="16"/>
          <w:szCs w:val="16"/>
          <w:color w:val="auto"/>
        </w:rPr>
        <w:t>: On the next regularly scheduled pay day following the Separation Date, the Company will pay you an amount that represents all of your salary earned through the Separation Date. Per the Company’s flexible time off program, paid time off is not accrued and is therefore not paid out upon separation from the Company.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spacing w:after="0" w:line="247" w:lineRule="exact"/>
        <w:rPr>
          <w:rFonts w:ascii="Arial" w:cs="Arial" w:eastAsia="Arial" w:hAnsi="Arial"/>
          <w:sz w:val="16"/>
          <w:szCs w:val="16"/>
          <w:color w:val="auto"/>
        </w:rPr>
      </w:pPr>
    </w:p>
    <w:p>
      <w:pPr>
        <w:jc w:val="both"/>
        <w:ind w:firstLine="632"/>
        <w:spacing w:after="0" w:line="250" w:lineRule="auto"/>
        <w:tabs>
          <w:tab w:leader="none" w:pos="125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Separation Compensation</w:t>
      </w:r>
      <w:r>
        <w:rPr>
          <w:rFonts w:ascii="Arial" w:cs="Arial" w:eastAsia="Arial" w:hAnsi="Arial"/>
          <w:sz w:val="16"/>
          <w:szCs w:val="16"/>
          <w:color w:val="auto"/>
        </w:rPr>
        <w:t xml:space="preserve">: In exchange for your agreement to the general release and waiver of claims and covenant not to sue set forth below and your other promises herein, the Company agrees to provide you with the </w:t>
      </w:r>
      <w:r>
        <w:rPr>
          <w:rFonts w:ascii="Arial" w:cs="Arial" w:eastAsia="Arial" w:hAnsi="Arial"/>
          <w:sz w:val="16"/>
          <w:szCs w:val="16"/>
          <w:b w:val="1"/>
          <w:bCs w:val="1"/>
          <w:color w:val="auto"/>
        </w:rPr>
        <w:t>[Severance Benefits / Change in Control Severance Benefits]</w:t>
      </w:r>
      <w:r>
        <w:rPr>
          <w:rFonts w:ascii="Arial" w:cs="Arial" w:eastAsia="Arial" w:hAnsi="Arial"/>
          <w:sz w:val="16"/>
          <w:szCs w:val="16"/>
          <w:color w:val="auto"/>
        </w:rPr>
        <w:t xml:space="preserve"> (as defined in the Offer Letter, dated as of [</w:t>
      </w:r>
    </w:p>
    <w:p>
      <w:pPr>
        <w:ind w:left="640"/>
        <w:spacing w:after="0"/>
        <w:rPr>
          <w:rFonts w:ascii="Arial" w:cs="Arial" w:eastAsia="Arial" w:hAnsi="Arial"/>
          <w:sz w:val="16"/>
          <w:szCs w:val="16"/>
          <w:color w:val="auto"/>
        </w:rPr>
      </w:pPr>
      <w:r>
        <w:rPr>
          <w:rFonts w:ascii="Arial" w:cs="Arial" w:eastAsia="Arial" w:hAnsi="Arial"/>
          <w:sz w:val="16"/>
          <w:szCs w:val="16"/>
          <w:color w:val="auto"/>
        </w:rPr>
        <w:t>]  (“Offer Letter”), between you and the Company).</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By signing below, you acknowledge that you are receiving the separation compensation outlined in this paragraph in consideration for waiving your rights to claims referred to in this Agreement and that you would not otherwise be entitled to the separation compensation.</w:t>
      </w:r>
    </w:p>
    <w:p>
      <w:pPr>
        <w:spacing w:after="0" w:line="229" w:lineRule="exact"/>
        <w:rPr>
          <w:sz w:val="20"/>
          <w:szCs w:val="20"/>
          <w:color w:val="auto"/>
        </w:rPr>
      </w:pPr>
    </w:p>
    <w:p>
      <w:pPr>
        <w:ind w:firstLine="632"/>
        <w:spacing w:after="0" w:line="260" w:lineRule="auto"/>
        <w:tabs>
          <w:tab w:leader="none" w:pos="125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w:t>
      </w:r>
      <w:r>
        <w:rPr>
          <w:rFonts w:ascii="Arial" w:cs="Arial" w:eastAsia="Arial" w:hAnsi="Arial"/>
          <w:sz w:val="16"/>
          <w:szCs w:val="16"/>
          <w:color w:val="auto"/>
        </w:rPr>
        <w:t>: You hereby warrant to the Company that you have returned to the Company all property or data of the Company of any type whatsoever that has been in your possession or control.</w:t>
      </w:r>
    </w:p>
    <w:p>
      <w:pPr>
        <w:spacing w:after="0" w:line="241" w:lineRule="exact"/>
        <w:rPr>
          <w:rFonts w:ascii="Arial" w:cs="Arial" w:eastAsia="Arial" w:hAnsi="Arial"/>
          <w:sz w:val="16"/>
          <w:szCs w:val="16"/>
          <w:color w:val="auto"/>
        </w:rPr>
      </w:pPr>
    </w:p>
    <w:p>
      <w:pPr>
        <w:jc w:val="both"/>
        <w:ind w:firstLine="632"/>
        <w:spacing w:after="0" w:line="256" w:lineRule="auto"/>
        <w:tabs>
          <w:tab w:leader="none" w:pos="125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You hereby acknowledge that you are bound by the attached Employee Invention Assignment, Confidentiality and Arbitration Agreement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234" w:lineRule="exact"/>
        <w:rPr>
          <w:rFonts w:ascii="Arial" w:cs="Arial" w:eastAsia="Arial" w:hAnsi="Arial"/>
          <w:sz w:val="16"/>
          <w:szCs w:val="16"/>
          <w:color w:val="auto"/>
        </w:rPr>
      </w:pPr>
    </w:p>
    <w:p>
      <w:pPr>
        <w:ind w:firstLine="632"/>
        <w:spacing w:after="0" w:line="260" w:lineRule="auto"/>
        <w:tabs>
          <w:tab w:leader="none" w:pos="125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Your rights concerning any unvested Restricted Stock Units will be governed by the applicable Restricted Stock Unit Agreements, except as otherwise set forth in your Offer Letter.</w:t>
      </w:r>
    </w:p>
    <w:p>
      <w:pPr>
        <w:spacing w:after="0" w:line="228" w:lineRule="exact"/>
        <w:rPr>
          <w:rFonts w:ascii="Arial" w:cs="Arial" w:eastAsia="Arial" w:hAnsi="Arial"/>
          <w:sz w:val="16"/>
          <w:szCs w:val="16"/>
          <w:color w:val="auto"/>
        </w:rPr>
      </w:pPr>
    </w:p>
    <w:p>
      <w:pPr>
        <w:ind w:left="1260" w:hanging="628"/>
        <w:spacing w:after="0"/>
        <w:tabs>
          <w:tab w:leader="none" w:pos="126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General Release and Waiver of Claims</w:t>
      </w:r>
      <w:r>
        <w:rPr>
          <w:rFonts w:ascii="Arial" w:cs="Arial" w:eastAsia="Arial" w:hAnsi="Arial"/>
          <w:sz w:val="16"/>
          <w:szCs w:val="16"/>
          <w:color w:val="auto"/>
        </w:rPr>
        <w:t>:</w:t>
      </w:r>
    </w:p>
    <w:p>
      <w:pPr>
        <w:spacing w:after="0" w:line="286" w:lineRule="exact"/>
        <w:rPr>
          <w:rFonts w:ascii="Arial" w:cs="Arial" w:eastAsia="Arial" w:hAnsi="Arial"/>
          <w:sz w:val="16"/>
          <w:szCs w:val="16"/>
          <w:color w:val="auto"/>
        </w:rPr>
      </w:pPr>
    </w:p>
    <w:p>
      <w:pPr>
        <w:jc w:val="both"/>
        <w:ind w:firstLine="1255"/>
        <w:spacing w:after="0" w:line="256" w:lineRule="auto"/>
        <w:rPr>
          <w:rFonts w:ascii="Arial" w:cs="Arial" w:eastAsia="Arial" w:hAnsi="Arial"/>
          <w:sz w:val="16"/>
          <w:szCs w:val="16"/>
          <w:color w:val="auto"/>
        </w:rPr>
      </w:pPr>
      <w:r>
        <w:rPr>
          <w:rFonts w:ascii="Arial" w:cs="Arial" w:eastAsia="Arial" w:hAnsi="Arial"/>
          <w:sz w:val="16"/>
          <w:szCs w:val="16"/>
          <w:color w:val="auto"/>
        </w:rPr>
        <w:t>a. The payments and promises set forth in this Agreement are in full satisfaction of all accrued salary, vacation pay, bonus and commission pay, profit-sharing, stock, stock options, restricted stock units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428" w:right="339" w:bottom="1440" w:gutter="0" w:footer="0" w:header="0"/>
        </w:sectPr>
      </w:pPr>
    </w:p>
    <w:bookmarkStart w:id="176" w:name="page177"/>
    <w:bookmarkEnd w:id="176"/>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5"/>
          <w:szCs w:val="15"/>
          <w:color w:val="auto"/>
        </w:rPr>
        <w:t>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New York Human Rights Law and any other applicable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230" w:lineRule="exact"/>
        <w:rPr>
          <w:sz w:val="20"/>
          <w:szCs w:val="20"/>
          <w:color w:val="auto"/>
        </w:rPr>
      </w:pPr>
    </w:p>
    <w:p>
      <w:pPr>
        <w:jc w:val="both"/>
        <w:ind w:firstLine="1259"/>
        <w:spacing w:after="0" w:line="258" w:lineRule="auto"/>
        <w:tabs>
          <w:tab w:leader="none" w:pos="188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229" w:lineRule="exact"/>
        <w:rPr>
          <w:rFonts w:ascii="Arial" w:cs="Arial" w:eastAsia="Arial" w:hAnsi="Arial"/>
          <w:sz w:val="16"/>
          <w:szCs w:val="16"/>
          <w:color w:val="auto"/>
        </w:rPr>
      </w:pPr>
    </w:p>
    <w:p>
      <w:pPr>
        <w:jc w:val="both"/>
        <w:ind w:firstLine="1259"/>
        <w:spacing w:after="0" w:line="258" w:lineRule="auto"/>
        <w:tabs>
          <w:tab w:leader="none" w:pos="18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You and the Company do not intend to release claims that you may not release as a matter of law, including but not limited to claims for indemnity, and any claims for enforcement of this Agreement. To the fullest extent permitted by law, any dispute regarding the scope of this general release shall be determined by an arbitrator under the procedures set forth in the arbitration clause below.</w:t>
      </w:r>
    </w:p>
    <w:p>
      <w:pPr>
        <w:spacing w:after="0" w:line="229" w:lineRule="exact"/>
        <w:rPr>
          <w:rFonts w:ascii="Arial" w:cs="Arial" w:eastAsia="Arial" w:hAnsi="Arial"/>
          <w:sz w:val="16"/>
          <w:szCs w:val="16"/>
          <w:color w:val="auto"/>
        </w:rPr>
      </w:pPr>
    </w:p>
    <w:p>
      <w:pPr>
        <w:ind w:left="1260" w:hanging="628"/>
        <w:spacing w:after="0"/>
        <w:tabs>
          <w:tab w:leader="none" w:pos="12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w:t>
      </w:r>
    </w:p>
    <w:p>
      <w:pPr>
        <w:spacing w:after="0" w:line="299" w:lineRule="exact"/>
        <w:rPr>
          <w:rFonts w:ascii="Arial" w:cs="Arial" w:eastAsia="Arial" w:hAnsi="Arial"/>
          <w:sz w:val="16"/>
          <w:szCs w:val="16"/>
          <w:color w:val="auto"/>
        </w:rPr>
      </w:pPr>
    </w:p>
    <w:p>
      <w:pPr>
        <w:jc w:val="both"/>
        <w:ind w:firstLine="1259"/>
        <w:spacing w:after="0" w:line="257" w:lineRule="auto"/>
        <w:tabs>
          <w:tab w:leader="none" w:pos="188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spacing w:after="0" w:line="244" w:lineRule="exact"/>
        <w:rPr>
          <w:rFonts w:ascii="Arial" w:cs="Arial" w:eastAsia="Arial" w:hAnsi="Arial"/>
          <w:sz w:val="16"/>
          <w:szCs w:val="16"/>
          <w:color w:val="auto"/>
        </w:rPr>
      </w:pPr>
    </w:p>
    <w:p>
      <w:pPr>
        <w:jc w:val="both"/>
        <w:ind w:firstLine="1259"/>
        <w:spacing w:after="0" w:line="257" w:lineRule="auto"/>
        <w:tabs>
          <w:tab w:leader="none" w:pos="188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Nothing in this section shall prohibit you from filing a charge or complaint with a government 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spacing w:after="0" w:line="231" w:lineRule="exact"/>
        <w:rPr>
          <w:rFonts w:ascii="Arial" w:cs="Arial" w:eastAsia="Arial" w:hAnsi="Arial"/>
          <w:sz w:val="16"/>
          <w:szCs w:val="16"/>
          <w:color w:val="auto"/>
        </w:rPr>
      </w:pPr>
    </w:p>
    <w:p>
      <w:pPr>
        <w:ind w:firstLine="1259"/>
        <w:spacing w:after="0" w:line="260" w:lineRule="auto"/>
        <w:tabs>
          <w:tab w:leader="none" w:pos="187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241" w:lineRule="exact"/>
        <w:rPr>
          <w:rFonts w:ascii="Arial" w:cs="Arial" w:eastAsia="Arial" w:hAnsi="Arial"/>
          <w:sz w:val="16"/>
          <w:szCs w:val="16"/>
          <w:color w:val="auto"/>
        </w:rPr>
      </w:pPr>
    </w:p>
    <w:p>
      <w:pPr>
        <w:jc w:val="both"/>
        <w:ind w:firstLine="632"/>
        <w:spacing w:after="0" w:line="258" w:lineRule="auto"/>
        <w:tabs>
          <w:tab w:leader="none" w:pos="125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spacing w:after="0" w:line="60" w:lineRule="exact"/>
        <w:rPr>
          <w:rFonts w:ascii="Arial" w:cs="Arial" w:eastAsia="Arial" w:hAnsi="Arial"/>
          <w:sz w:val="16"/>
          <w:szCs w:val="16"/>
          <w:color w:val="auto"/>
        </w:rPr>
      </w:pPr>
    </w:p>
    <w:p>
      <w:pPr>
        <w:jc w:val="both"/>
        <w:ind w:firstLine="632"/>
        <w:spacing w:after="0" w:line="256" w:lineRule="auto"/>
        <w:tabs>
          <w:tab w:leader="none" w:pos="125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Except for any claim for injunctive relief out of a breach of a party’s obligations to protect the other’s proprietary information, the parties agree to arbitrate, in County, New York, any and all disputes or claims arising out of or related to the validity, enforceability, interpretation, performance or breach of this Agreement, whether sounding in tort,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246" w:lineRule="exact"/>
        <w:rPr>
          <w:rFonts w:ascii="Arial" w:cs="Arial" w:eastAsia="Arial" w:hAnsi="Arial"/>
          <w:sz w:val="16"/>
          <w:szCs w:val="16"/>
          <w:color w:val="auto"/>
        </w:rPr>
      </w:pPr>
    </w:p>
    <w:p>
      <w:pPr>
        <w:ind w:firstLine="632"/>
        <w:spacing w:after="0" w:line="260" w:lineRule="auto"/>
        <w:tabs>
          <w:tab w:leader="none" w:pos="125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40"/>
          </w:cols>
          <w:pgMar w:left="320" w:top="1440" w:right="339" w:bottom="1440" w:gutter="0" w:footer="0" w:header="0"/>
        </w:sectPr>
      </w:pPr>
    </w:p>
    <w:bookmarkStart w:id="177" w:name="page178"/>
    <w:bookmarkEnd w:id="177"/>
    <w:p>
      <w:pPr>
        <w:jc w:val="both"/>
        <w:ind w:left="-5" w:firstLine="632"/>
        <w:spacing w:after="0" w:line="257" w:lineRule="auto"/>
        <w:tabs>
          <w:tab w:leader="none" w:pos="124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Confidentiality</w:t>
      </w:r>
      <w:r>
        <w:rPr>
          <w:rFonts w:ascii="Arial" w:cs="Arial" w:eastAsia="Arial" w:hAnsi="Arial"/>
          <w:sz w:val="16"/>
          <w:szCs w:val="16"/>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244" w:lineRule="exact"/>
        <w:rPr>
          <w:rFonts w:ascii="Arial" w:cs="Arial" w:eastAsia="Arial" w:hAnsi="Arial"/>
          <w:sz w:val="16"/>
          <w:szCs w:val="16"/>
          <w:color w:val="auto"/>
        </w:rPr>
      </w:pPr>
    </w:p>
    <w:p>
      <w:pPr>
        <w:jc w:val="both"/>
        <w:ind w:left="-5" w:firstLine="632"/>
        <w:spacing w:after="0" w:line="257" w:lineRule="auto"/>
        <w:tabs>
          <w:tab w:leader="none" w:pos="124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231" w:lineRule="exact"/>
        <w:rPr>
          <w:rFonts w:ascii="Arial" w:cs="Arial" w:eastAsia="Arial" w:hAnsi="Arial"/>
          <w:sz w:val="16"/>
          <w:szCs w:val="16"/>
          <w:color w:val="auto"/>
        </w:rPr>
      </w:pPr>
    </w:p>
    <w:p>
      <w:pPr>
        <w:jc w:val="both"/>
        <w:ind w:left="-5" w:firstLine="632"/>
        <w:spacing w:after="0" w:line="256" w:lineRule="auto"/>
        <w:tabs>
          <w:tab w:leader="none" w:pos="124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Complete and Voluntary Agreement</w:t>
      </w:r>
      <w:r>
        <w:rPr>
          <w:rFonts w:ascii="Arial" w:cs="Arial" w:eastAsia="Arial" w:hAnsi="Arial"/>
          <w:sz w:val="16"/>
          <w:szCs w:val="16"/>
          <w:color w:val="auto"/>
        </w:rPr>
        <w:t>: This Agreement, together with Exhibit A hereto, any Stock Option Agreements and any RSU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246" w:lineRule="exact"/>
        <w:rPr>
          <w:rFonts w:ascii="Arial" w:cs="Arial" w:eastAsia="Arial" w:hAnsi="Arial"/>
          <w:sz w:val="16"/>
          <w:szCs w:val="16"/>
          <w:color w:val="auto"/>
        </w:rPr>
      </w:pPr>
    </w:p>
    <w:p>
      <w:pPr>
        <w:jc w:val="both"/>
        <w:ind w:left="-5" w:firstLine="632"/>
        <w:spacing w:after="0" w:line="257" w:lineRule="auto"/>
        <w:tabs>
          <w:tab w:leader="none" w:pos="124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231" w:lineRule="exact"/>
        <w:rPr>
          <w:rFonts w:ascii="Arial" w:cs="Arial" w:eastAsia="Arial" w:hAnsi="Arial"/>
          <w:sz w:val="16"/>
          <w:szCs w:val="16"/>
          <w:color w:val="auto"/>
        </w:rPr>
      </w:pPr>
    </w:p>
    <w:p>
      <w:pPr>
        <w:jc w:val="both"/>
        <w:ind w:left="-5" w:firstLine="632"/>
        <w:spacing w:after="0" w:line="256" w:lineRule="auto"/>
        <w:tabs>
          <w:tab w:leader="none" w:pos="124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Modification; Counterparts; Facsimile/PDF Signatures</w:t>
      </w:r>
      <w:r>
        <w:rPr>
          <w:rFonts w:ascii="Arial" w:cs="Arial" w:eastAsia="Arial" w:hAnsi="Arial"/>
          <w:sz w:val="16"/>
          <w:szCs w:val="16"/>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247" w:lineRule="exact"/>
        <w:rPr>
          <w:rFonts w:ascii="Arial" w:cs="Arial" w:eastAsia="Arial" w:hAnsi="Arial"/>
          <w:sz w:val="16"/>
          <w:szCs w:val="16"/>
          <w:color w:val="auto"/>
        </w:rPr>
      </w:pPr>
    </w:p>
    <w:p>
      <w:pPr>
        <w:jc w:val="both"/>
        <w:ind w:left="-5" w:firstLine="632"/>
        <w:spacing w:after="0" w:line="272" w:lineRule="auto"/>
        <w:tabs>
          <w:tab w:leader="none" w:pos="1246"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Review of Separation Agreement</w:t>
      </w:r>
      <w:r>
        <w:rPr>
          <w:rFonts w:ascii="Arial" w:cs="Arial" w:eastAsia="Arial" w:hAnsi="Arial"/>
          <w:sz w:val="15"/>
          <w:szCs w:val="15"/>
          <w:color w:val="auto"/>
        </w:rPr>
        <w:t>: You understand that you may take up to twenty-one (21) days to consider this Agreement and, by signing below, affirm that you were advised to consult with an attorney prior to signing this agreement. You also understand you may revoke this Agreement within seven</w:t>
      </w:r>
    </w:p>
    <w:p>
      <w:pPr>
        <w:spacing w:after="0" w:line="1" w:lineRule="exact"/>
        <w:rPr>
          <w:rFonts w:ascii="Arial" w:cs="Arial" w:eastAsia="Arial" w:hAnsi="Arial"/>
          <w:sz w:val="15"/>
          <w:szCs w:val="15"/>
          <w:color w:val="auto"/>
        </w:rPr>
      </w:pPr>
    </w:p>
    <w:p>
      <w:pPr>
        <w:ind w:left="-5" w:firstLine="5"/>
        <w:spacing w:after="0" w:line="260" w:lineRule="auto"/>
        <w:tabs>
          <w:tab w:leader="none" w:pos="2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days of signing this document and that the compensation to be paid to you pursuant to Paragraph 3 will be paid only at the end of that seven (7) day revocation period.</w:t>
      </w:r>
    </w:p>
    <w:p>
      <w:pPr>
        <w:spacing w:after="0" w:line="150" w:lineRule="exact"/>
        <w:rPr>
          <w:rFonts w:ascii="Arial" w:cs="Arial" w:eastAsia="Arial" w:hAnsi="Arial"/>
          <w:sz w:val="16"/>
          <w:szCs w:val="16"/>
          <w:color w:val="auto"/>
        </w:rPr>
      </w:pPr>
    </w:p>
    <w:p>
      <w:pPr>
        <w:ind w:left="1255" w:hanging="628"/>
        <w:spacing w:after="0"/>
        <w:tabs>
          <w:tab w:leader="none" w:pos="1255"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is effective on the eighth (8th) day after you sign it and without revocation by you.</w:t>
      </w:r>
    </w:p>
    <w:p>
      <w:pPr>
        <w:spacing w:after="0" w:line="247" w:lineRule="exact"/>
        <w:rPr>
          <w:rFonts w:ascii="Arial" w:cs="Arial" w:eastAsia="Arial" w:hAnsi="Arial"/>
          <w:sz w:val="16"/>
          <w:szCs w:val="16"/>
          <w:color w:val="auto"/>
        </w:rPr>
      </w:pPr>
    </w:p>
    <w:p>
      <w:pPr>
        <w:ind w:left="1255" w:hanging="628"/>
        <w:spacing w:after="0"/>
        <w:tabs>
          <w:tab w:leader="none" w:pos="1255"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235"/>
          </w:cols>
          <w:pgMar w:left="325" w:top="1396" w:right="339" w:bottom="1440" w:gutter="0" w:footer="0" w:header="0"/>
        </w:sectPr>
      </w:pPr>
    </w:p>
    <w:bookmarkStart w:id="178" w:name="page179"/>
    <w:bookmarkEnd w:id="178"/>
    <w:p>
      <w:pPr>
        <w:ind w:firstLine="627"/>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510030" cy="3816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510030" cy="381635"/>
                    </a:xfrm>
                    <a:prstGeom prst="rect">
                      <a:avLst/>
                    </a:prstGeom>
                    <a:noFill/>
                  </pic:spPr>
                </pic:pic>
              </a:graphicData>
            </a:graphic>
          </wp:anchor>
        </w:drawing>
        <w:t>If you agree to abide by the terms outlined in this letter, please sign this letter below and also sign the attached copy and return it to me. I wish you the best in your future endeavors.</w:t>
      </w:r>
    </w:p>
    <w:p>
      <w:pPr>
        <w:spacing w:after="0" w:line="320"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Sincerely,</w:t>
      </w:r>
    </w:p>
    <w:p>
      <w:pPr>
        <w:spacing w:after="0" w:line="16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MongoDB, Inc.</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By: _______________________________</w:t>
      </w:r>
    </w:p>
    <w:p>
      <w:pPr>
        <w:spacing w:after="0" w:line="5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[Name and title of person signing on behalf of the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READ, UNDERSTOOD AND AGREED</w:t>
      </w:r>
    </w:p>
    <w:p>
      <w:pPr>
        <w:spacing w:after="0" w:line="200" w:lineRule="exact"/>
        <w:rPr>
          <w:sz w:val="20"/>
          <w:szCs w:val="20"/>
          <w:color w:val="auto"/>
        </w:rPr>
      </w:pPr>
    </w:p>
    <w:p>
      <w:pPr>
        <w:spacing w:after="0" w:line="223" w:lineRule="exact"/>
        <w:rPr>
          <w:sz w:val="20"/>
          <w:szCs w:val="20"/>
          <w:color w:val="auto"/>
        </w:rPr>
      </w:pPr>
    </w:p>
    <w:p>
      <w:pPr>
        <w:spacing w:after="0"/>
        <w:tabs>
          <w:tab w:leader="none" w:pos="3980" w:val="left"/>
        </w:tabs>
        <w:rPr>
          <w:sz w:val="20"/>
          <w:szCs w:val="20"/>
          <w:color w:val="auto"/>
        </w:rPr>
      </w:pPr>
      <w:r>
        <w:rPr>
          <w:rFonts w:ascii="Arial" w:cs="Arial" w:eastAsia="Arial" w:hAnsi="Arial"/>
          <w:sz w:val="16"/>
          <w:szCs w:val="16"/>
          <w:color w:val="auto"/>
        </w:rPr>
        <w:t>Mark Porter:</w:t>
      </w:r>
      <w:r>
        <w:rPr>
          <w:rFonts w:ascii="Arial" w:cs="Arial" w:eastAsia="Arial" w:hAnsi="Arial"/>
          <w:sz w:val="16"/>
          <w:szCs w:val="16"/>
          <w:b w:val="1"/>
          <w:bCs w:val="1"/>
          <w:color w:val="auto"/>
        </w:rPr>
        <w:t>________________________________</w:t>
      </w:r>
      <w:r>
        <w:rPr>
          <w:sz w:val="20"/>
          <w:szCs w:val="20"/>
          <w:color w:val="auto"/>
        </w:rPr>
        <w:tab/>
      </w:r>
      <w:r>
        <w:rPr>
          <w:rFonts w:ascii="Arial" w:cs="Arial" w:eastAsia="Arial" w:hAnsi="Arial"/>
          <w:sz w:val="15"/>
          <w:szCs w:val="15"/>
          <w:color w:val="auto"/>
        </w:rPr>
        <w:t>Date:</w:t>
      </w:r>
      <w:r>
        <w:rPr>
          <w:rFonts w:ascii="Arial" w:cs="Arial" w:eastAsia="Arial" w:hAnsi="Arial"/>
          <w:sz w:val="15"/>
          <w:szCs w:val="15"/>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131C"/>
        </w:rPr>
        <w:t xml:space="preserve">MongoDB, Inc. </w:t>
      </w:r>
      <w:r>
        <w:rPr>
          <w:rFonts w:ascii="Arial" w:cs="Arial" w:eastAsia="Arial" w:hAnsi="Arial"/>
          <w:sz w:val="12"/>
          <w:szCs w:val="12"/>
          <w:color w:val="00131C"/>
        </w:rPr>
        <w:t>// 1633 Broadway, 38th Floor • New York, NY 10019 • 866.237.8815</w:t>
      </w:r>
    </w:p>
    <w:p>
      <w:pPr>
        <w:sectPr>
          <w:pgSz w:w="11900" w:h="16838" w:orient="portrait"/>
          <w:cols w:equalWidth="0" w:num="1">
            <w:col w:w="11020"/>
          </w:cols>
          <w:pgMar w:left="320" w:top="1396" w:right="5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7040" w:type="dxa"/>
            <w:vAlign w:val="bottom"/>
            <w:gridSpan w:val="3"/>
          </w:tcPr>
          <w:p>
            <w:pPr>
              <w:ind w:left="920"/>
              <w:spacing w:after="0"/>
              <w:rPr>
                <w:sz w:val="20"/>
                <w:szCs w:val="20"/>
                <w:color w:val="auto"/>
              </w:rPr>
            </w:pPr>
            <w:r>
              <w:rPr>
                <w:rFonts w:ascii="Arial" w:cs="Arial" w:eastAsia="Arial" w:hAnsi="Arial"/>
                <w:sz w:val="17"/>
                <w:szCs w:val="17"/>
                <w:b w:val="1"/>
                <w:bCs w:val="1"/>
                <w:color w:val="auto"/>
              </w:rPr>
              <w:t>List of Subsidiaries of MongoDB, Inc.</w:t>
            </w:r>
          </w:p>
        </w:tc>
      </w:tr>
      <w:tr>
        <w:trPr>
          <w:trHeight w:val="24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of Subsidiary</w:t>
            </w:r>
          </w:p>
        </w:tc>
        <w:tc>
          <w:tcPr>
            <w:tcW w:w="2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Jurisdiction</w:t>
            </w:r>
          </w:p>
        </w:tc>
      </w:tr>
      <w:tr>
        <w:trPr>
          <w:trHeight w:val="21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MongoDB Limited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Ireland</w:t>
            </w:r>
          </w:p>
        </w:tc>
      </w:tr>
    </w:tbl>
    <w:p>
      <w:pPr>
        <w:sectPr>
          <w:pgSz w:w="11900" w:h="16838" w:orient="portrait"/>
          <w:cols w:equalWidth="0" w:num="1">
            <w:col w:w="10340"/>
          </w:cols>
          <w:pgMar w:left="12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200"/>
        <w:spacing w:after="0" w:line="196" w:lineRule="exact"/>
        <w:rPr>
          <w:sz w:val="20"/>
          <w:szCs w:val="20"/>
          <w:color w:val="auto"/>
        </w:rPr>
      </w:pPr>
      <w:r>
        <w:rPr>
          <w:rFonts w:ascii="Arial" w:cs="Arial" w:eastAsia="Arial" w:hAnsi="Arial"/>
          <w:sz w:val="17"/>
          <w:szCs w:val="17"/>
          <w:color w:val="auto"/>
        </w:rPr>
        <w:t>We hereby consent to the incorporation by reference in the Registration Statements on Form S-8 (No. 333-221028, 333-224058, 333-230661, 333-237570 and 333-254592) and Form S-3 (No. 333-257514) of MongoDB, Inc. of our report dated March 18, 2022 relating to the financial statements, financial statement schedule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18, 2022</w:t>
      </w:r>
    </w:p>
    <w:p>
      <w:pPr>
        <w:sectPr>
          <w:pgSz w:w="11900" w:h="16838" w:orient="portrait"/>
          <w:cols w:equalWidth="0" w:num="1">
            <w:col w:w="11240"/>
          </w:cols>
          <w:pgMar w:left="320" w:top="35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Dev Ittycheria, certify that:</w:t>
      </w:r>
    </w:p>
    <w:p>
      <w:pPr>
        <w:spacing w:after="0" w:line="249" w:lineRule="exact"/>
        <w:rPr>
          <w:sz w:val="20"/>
          <w:szCs w:val="20"/>
          <w:color w:val="auto"/>
        </w:rPr>
      </w:pPr>
    </w:p>
    <w:p>
      <w:pPr>
        <w:ind w:left="640" w:hanging="322"/>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MongoDB, Inc. (the “registrant”) for the fiscal year ended January 31, 2022;</w:t>
      </w:r>
    </w:p>
    <w:p>
      <w:pPr>
        <w:spacing w:after="0" w:line="353"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420" w:hanging="308"/>
        <w:spacing w:after="0" w:line="272" w:lineRule="auto"/>
        <w:tabs>
          <w:tab w:leader="none" w:pos="93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08"/>
        <w:spacing w:after="0" w:line="272"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940" w:right="880" w:hanging="308"/>
        <w:spacing w:after="0" w:line="358" w:lineRule="auto"/>
        <w:tabs>
          <w:tab w:leader="none" w:pos="932" w:val="left"/>
        </w:tabs>
        <w:numPr>
          <w:ilvl w:val="1"/>
          <w:numId w:val="10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jc w:val="both"/>
        <w:ind w:left="940" w:right="40" w:hanging="308"/>
        <w:spacing w:after="0" w:line="272"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2" w:lineRule="exact"/>
        <w:rPr>
          <w:rFonts w:ascii="Arial" w:cs="Arial" w:eastAsia="Arial" w:hAnsi="Arial"/>
          <w:sz w:val="17"/>
          <w:szCs w:val="17"/>
          <w:color w:val="auto"/>
        </w:rPr>
      </w:pPr>
    </w:p>
    <w:p>
      <w:pPr>
        <w:ind w:left="640" w:right="200" w:hanging="322"/>
        <w:spacing w:after="0" w:line="321" w:lineRule="auto"/>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940" w:right="320" w:hanging="308"/>
        <w:spacing w:after="0" w:line="288" w:lineRule="auto"/>
        <w:tabs>
          <w:tab w:leader="none" w:pos="93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940" w:right="300" w:hanging="308"/>
        <w:spacing w:after="0" w:line="288" w:lineRule="auto"/>
        <w:tabs>
          <w:tab w:leader="none" w:pos="92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1180"/>
        <w:spacing w:after="0"/>
        <w:tabs>
          <w:tab w:leader="none" w:pos="5780" w:val="left"/>
          <w:tab w:leader="none" w:pos="6960" w:val="left"/>
        </w:tabs>
        <w:rPr>
          <w:sz w:val="20"/>
          <w:szCs w:val="20"/>
          <w:color w:val="auto"/>
        </w:rPr>
      </w:pPr>
      <w:r>
        <w:rPr>
          <w:rFonts w:ascii="Arial" w:cs="Arial" w:eastAsia="Arial" w:hAnsi="Arial"/>
          <w:sz w:val="17"/>
          <w:szCs w:val="17"/>
          <w:color w:val="auto"/>
        </w:rPr>
        <w:t>Date: March 18,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16510</wp:posOffset>
            </wp:positionV>
            <wp:extent cx="24149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0" w:lineRule="exact"/>
        <w:rPr>
          <w:sz w:val="20"/>
          <w:szCs w:val="20"/>
          <w:color w:val="auto"/>
        </w:rPr>
      </w:pPr>
    </w:p>
    <w:p>
      <w:pPr>
        <w:ind w:left="6300"/>
        <w:spacing w:after="0"/>
        <w:tabs>
          <w:tab w:leader="none" w:pos="696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Dev Ittycheria</w:t>
      </w:r>
    </w:p>
    <w:p>
      <w:pPr>
        <w:spacing w:after="0" w:line="66" w:lineRule="exact"/>
        <w:rPr>
          <w:sz w:val="20"/>
          <w:szCs w:val="20"/>
          <w:color w:val="auto"/>
        </w:rPr>
      </w:pPr>
    </w:p>
    <w:p>
      <w:pPr>
        <w:ind w:left="6300"/>
        <w:spacing w:after="0"/>
        <w:tabs>
          <w:tab w:leader="none" w:pos="696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72"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Michael Gordon, certify that:</w:t>
      </w:r>
    </w:p>
    <w:p>
      <w:pPr>
        <w:spacing w:after="0" w:line="249" w:lineRule="exact"/>
        <w:rPr>
          <w:sz w:val="20"/>
          <w:szCs w:val="20"/>
          <w:color w:val="auto"/>
        </w:rPr>
      </w:pPr>
    </w:p>
    <w:p>
      <w:pPr>
        <w:ind w:left="640" w:hanging="322"/>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MongoDB, Inc. (the “registrant”) for the fiscal year ended January 31, 2022;</w:t>
      </w:r>
    </w:p>
    <w:p>
      <w:pPr>
        <w:spacing w:after="0" w:line="353"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420" w:hanging="308"/>
        <w:spacing w:after="0" w:line="272" w:lineRule="auto"/>
        <w:tabs>
          <w:tab w:leader="none" w:pos="9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08"/>
        <w:spacing w:after="0" w:line="272"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940" w:right="880" w:hanging="308"/>
        <w:spacing w:after="0" w:line="358" w:lineRule="auto"/>
        <w:tabs>
          <w:tab w:leader="none" w:pos="932"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jc w:val="both"/>
        <w:ind w:left="940" w:right="40" w:hanging="308"/>
        <w:spacing w:after="0" w:line="272"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2" w:lineRule="exact"/>
        <w:rPr>
          <w:rFonts w:ascii="Arial" w:cs="Arial" w:eastAsia="Arial" w:hAnsi="Arial"/>
          <w:sz w:val="17"/>
          <w:szCs w:val="17"/>
          <w:color w:val="auto"/>
        </w:rPr>
      </w:pPr>
    </w:p>
    <w:p>
      <w:pPr>
        <w:ind w:left="640" w:right="200" w:hanging="322"/>
        <w:spacing w:after="0" w:line="321" w:lineRule="auto"/>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940" w:right="320" w:hanging="308"/>
        <w:spacing w:after="0" w:line="288" w:lineRule="auto"/>
        <w:tabs>
          <w:tab w:leader="none" w:pos="9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940" w:right="300" w:hanging="308"/>
        <w:spacing w:after="0" w:line="288" w:lineRule="auto"/>
        <w:tabs>
          <w:tab w:leader="none" w:pos="9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1180"/>
        <w:spacing w:after="0"/>
        <w:tabs>
          <w:tab w:leader="none" w:pos="5000" w:val="left"/>
          <w:tab w:leader="none" w:pos="6180" w:val="left"/>
        </w:tabs>
        <w:rPr>
          <w:sz w:val="20"/>
          <w:szCs w:val="20"/>
          <w:color w:val="auto"/>
        </w:rPr>
      </w:pPr>
      <w:r>
        <w:rPr>
          <w:rFonts w:ascii="Arial" w:cs="Arial" w:eastAsia="Arial" w:hAnsi="Arial"/>
          <w:sz w:val="17"/>
          <w:szCs w:val="17"/>
          <w:color w:val="auto"/>
        </w:rPr>
        <w:t>Date: March 18,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29127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6"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Chief Operating Officer and Chief Financial Officer</w:t>
      </w:r>
    </w:p>
    <w:p>
      <w:pPr>
        <w:spacing w:after="0" w:line="7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 Dev Ittycheria, certify, pursuant to 18 U.S.C. Section 1350, as adopted pursuant to Section 906 of the Sarbanes-Oxley Act of 2002, that the Annual Report on Form 10-K of MongoDB, Inc. for the fiscal year ended January 31, 2022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tabs>
          <w:tab w:leader="none" w:pos="5760" w:val="left"/>
          <w:tab w:leader="none" w:pos="6940" w:val="left"/>
        </w:tabs>
        <w:rPr>
          <w:sz w:val="20"/>
          <w:szCs w:val="20"/>
          <w:color w:val="auto"/>
        </w:rPr>
      </w:pPr>
      <w:r>
        <w:rPr>
          <w:rFonts w:ascii="Arial" w:cs="Arial" w:eastAsia="Arial" w:hAnsi="Arial"/>
          <w:sz w:val="17"/>
          <w:szCs w:val="17"/>
          <w:color w:val="auto"/>
        </w:rPr>
        <w:t>Date: March 18,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16510</wp:posOffset>
            </wp:positionV>
            <wp:extent cx="2414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0" w:lineRule="exact"/>
        <w:rPr>
          <w:sz w:val="20"/>
          <w:szCs w:val="20"/>
          <w:color w:val="auto"/>
        </w:rPr>
      </w:pPr>
    </w:p>
    <w:p>
      <w:pPr>
        <w:ind w:left="6280"/>
        <w:spacing w:after="0"/>
        <w:tabs>
          <w:tab w:leader="none" w:pos="694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Dev Ittycheria</w:t>
      </w:r>
    </w:p>
    <w:p>
      <w:pPr>
        <w:spacing w:after="0" w:line="66" w:lineRule="exact"/>
        <w:rPr>
          <w:sz w:val="20"/>
          <w:szCs w:val="20"/>
          <w:color w:val="auto"/>
        </w:rPr>
      </w:pPr>
    </w:p>
    <w:p>
      <w:pPr>
        <w:ind w:left="6280"/>
        <w:spacing w:after="0"/>
        <w:tabs>
          <w:tab w:leader="none" w:pos="694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72"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3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 Michael Gordon, certify, pursuant to 18 U.S.C. Section 1350, as adopted pursuant to Section 906 of the Sarbanes-Oxley Act of 2002, that the Annual Report on Form 10-K of MongoDB, Inc. for the fiscal year ended January 31, 2022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80"/>
        <w:spacing w:after="0"/>
        <w:tabs>
          <w:tab w:leader="none" w:pos="5000" w:val="left"/>
          <w:tab w:leader="none" w:pos="6180" w:val="left"/>
        </w:tabs>
        <w:rPr>
          <w:sz w:val="20"/>
          <w:szCs w:val="20"/>
          <w:color w:val="auto"/>
        </w:rPr>
      </w:pPr>
      <w:r>
        <w:rPr>
          <w:rFonts w:ascii="Arial" w:cs="Arial" w:eastAsia="Arial" w:hAnsi="Arial"/>
          <w:sz w:val="17"/>
          <w:szCs w:val="17"/>
          <w:color w:val="auto"/>
        </w:rPr>
        <w:t>Date: March 18,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29127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6"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Chief Operating Officer and Chief Financial Officer</w:t>
      </w:r>
    </w:p>
    <w:p>
      <w:pPr>
        <w:spacing w:after="0" w:line="7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pacing w:after="0" w:line="3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2"/>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lowerRoman"/>
      <w:start w:val="1"/>
    </w:lvl>
  </w:abstractNum>
  <w:abstractNum w:abstractNumId="32">
    <w:nsid w:val="98A3148"/>
    <w:multiLevelType w:val="hybridMultilevel"/>
    <w:lvl w:ilvl="0">
      <w:lvlJc w:val="left"/>
      <w:lvlText w:val="(%1)"/>
      <w:numFmt w:val="lowerRoman"/>
      <w:start w:val="2"/>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lowerRoman"/>
      <w:start w:val="1"/>
    </w:lvl>
  </w:abstractNum>
  <w:abstractNum w:abstractNumId="35">
    <w:nsid w:val="42C296BD"/>
    <w:multiLevelType w:val="hybridMultilevel"/>
    <w:lvl w:ilvl="0">
      <w:lvlJc w:val="left"/>
      <w:lvlText w:val="%1."/>
      <w:numFmt w:val="lowerRoman"/>
      <w:start w:val="5"/>
    </w:lvl>
  </w:abstractNum>
  <w:abstractNum w:abstractNumId="36">
    <w:nsid w:val="168E121F"/>
    <w:multiLevelType w:val="hybridMultilevel"/>
    <w:lvl w:ilvl="0">
      <w:lvlJc w:val="left"/>
      <w:lvlText w:val="%1."/>
      <w:numFmt w:val="lowerRoman"/>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2"/>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1)"/>
      <w:numFmt w:val="decimal"/>
      <w:start w:val="3"/>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1"/>
      <w:numFmt w:val="decimal"/>
      <w:start w:val="104"/>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1)"/>
      <w:numFmt w:val="lowerRoman"/>
      <w:start w:val="2"/>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
    <w:nsid w:val="3B0FD379"/>
    <w:multiLevelType w:val="hybridMultilevel"/>
    <w:lvl w:ilvl="0">
      <w:lvlJc w:val="left"/>
      <w:lvlText w:val="%1"/>
      <w:numFmt w:val="decimal"/>
      <w:start w:val="1"/>
    </w:lvl>
    <w:lvl w:ilvl="1">
      <w:lvlJc w:val="left"/>
      <w:lvlText w:val="(%2)"/>
      <w:numFmt w:val="lowerLetter"/>
      <w:start w:val="3"/>
    </w:lvl>
  </w:abstractNum>
  <w:abstractNum w:abstractNumId="51">
    <w:nsid w:val="68EB2F63"/>
    <w:multiLevelType w:val="hybridMultilevel"/>
    <w:lvl w:ilvl="0">
      <w:lvlJc w:val="left"/>
      <w:lvlText w:val="%1."/>
      <w:numFmt w:val="decimal"/>
      <w:start w:val="7"/>
    </w:lvl>
    <w:lvl w:ilvl="1">
      <w:lvlJc w:val="left"/>
      <w:lvlText w:val="(%2)"/>
      <w:numFmt w:val="lowerLetter"/>
      <w:start w:val="1"/>
    </w:lvl>
  </w:abstractNum>
  <w:abstractNum w:abstractNumId="52">
    <w:nsid w:val="4962813B"/>
    <w:multiLevelType w:val="hybridMultilevel"/>
    <w:lvl w:ilvl="0">
      <w:lvlJc w:val="left"/>
      <w:lvlText w:val="%1"/>
      <w:numFmt w:val="decimal"/>
      <w:start w:val="1"/>
    </w:lvl>
    <w:lvl w:ilvl="1">
      <w:lvlJc w:val="left"/>
      <w:lvlText w:val="(%2)"/>
      <w:numFmt w:val="lowerLetter"/>
      <w:start w:val="2"/>
    </w:lvl>
  </w:abstractNum>
  <w:abstractNum w:abstractNumId="53">
    <w:nsid w:val="60B6DF70"/>
    <w:multiLevelType w:val="hybridMultilevel"/>
    <w:lvl w:ilvl="0">
      <w:lvlJc w:val="left"/>
      <w:lvlText w:val="%1."/>
      <w:numFmt w:val="decimal"/>
      <w:start w:val="12"/>
    </w:lvl>
    <w:lvl w:ilvl="1">
      <w:lvlJc w:val="left"/>
      <w:lvlText w:val="%2"/>
      <w:numFmt w:val="lowerLetter"/>
      <w:start w:val="1"/>
    </w:lvl>
  </w:abstractNum>
  <w:abstractNum w:abstractNumId="54">
    <w:nsid w:val="6A5EE64"/>
    <w:multiLevelType w:val="hybridMultilevel"/>
    <w:lvl w:ilvl="0">
      <w:lvlJc w:val="left"/>
      <w:lvlText w:val="%1."/>
      <w:numFmt w:val="decimal"/>
      <w:start w:val="14"/>
    </w:lvl>
    <w:lvl w:ilvl="1">
      <w:lvlJc w:val="left"/>
      <w:lvlText w:val="(%2)"/>
      <w:numFmt w:val="lowerLetter"/>
      <w:start w:val="1"/>
    </w:lvl>
  </w:abstractNum>
  <w:abstractNum w:abstractNumId="55">
    <w:nsid w:val="14330624"/>
    <w:multiLevelType w:val="hybridMultilevel"/>
    <w:lvl w:ilvl="0">
      <w:lvlJc w:val="left"/>
      <w:lvlText w:val="%1"/>
      <w:numFmt w:val="decimal"/>
      <w:start w:val="1"/>
    </w:lvl>
    <w:lvl w:ilvl="1">
      <w:lvlJc w:val="left"/>
      <w:lvlText w:val="(%2)"/>
      <w:numFmt w:val="lowerLetter"/>
      <w:start w:val="2"/>
    </w:lvl>
  </w:abstractNum>
  <w:abstractNum w:abstractNumId="56">
    <w:nsid w:val="7FFFCA11"/>
    <w:multiLevelType w:val="hybridMultilevel"/>
    <w:lvl w:ilvl="0">
      <w:lvlJc w:val="left"/>
      <w:lvlText w:val="%1."/>
      <w:numFmt w:val="decimal"/>
      <w:start w:val="18"/>
    </w:lvl>
    <w:lvl w:ilvl="1">
      <w:lvlJc w:val="left"/>
      <w:lvlText w:val="%2"/>
      <w:numFmt w:val="lowerLetter"/>
      <w:start w:val="1"/>
    </w:lvl>
  </w:abstractNum>
  <w:abstractNum w:abstractNumId="57">
    <w:nsid w:val="1A27709E"/>
    <w:multiLevelType w:val="hybridMultilevel"/>
    <w:lvl w:ilvl="0">
      <w:lvlJc w:val="left"/>
      <w:lvlText w:val="%1."/>
      <w:numFmt w:val="decimal"/>
      <w:start w:val="23"/>
    </w:lvl>
  </w:abstractNum>
  <w:abstractNum w:abstractNumId="58">
    <w:nsid w:val="71EA1109"/>
    <w:multiLevelType w:val="hybridMultilevel"/>
    <w:lvl w:ilvl="0">
      <w:lvlJc w:val="left"/>
      <w:lvlText w:val="(%1)"/>
      <w:numFmt w:val="lowerRoman"/>
      <w:start w:val="1"/>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lowerLetter"/>
      <w:start w:val="1"/>
    </w:lvl>
  </w:abstractNum>
  <w:abstractNum w:abstractNumId="61">
    <w:nsid w:val="6EB5BD4"/>
    <w:multiLevelType w:val="hybridMultilevel"/>
    <w:lvl w:ilvl="0">
      <w:lvlJc w:val="left"/>
      <w:lvlText w:val="(%1)"/>
      <w:numFmt w:val="lowerLetter"/>
      <w:start w:val="2"/>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4"/>
    </w:lvl>
  </w:abstractNum>
  <w:abstractNum w:abstractNumId="64">
    <w:nsid w:val="885E1B"/>
    <w:multiLevelType w:val="hybridMultilevel"/>
    <w:lvl w:ilvl="0">
      <w:lvlJc w:val="left"/>
      <w:lvlText w:val="%1."/>
      <w:numFmt w:val="decimal"/>
      <w:start w:val="7"/>
    </w:lvl>
    <w:lvl w:ilvl="1">
      <w:lvlJc w:val="left"/>
      <w:lvlText w:val="%2"/>
      <w:numFmt w:val="lowerLetter"/>
      <w:start w:val="1"/>
    </w:lvl>
  </w:abstractNum>
  <w:abstractNum w:abstractNumId="65">
    <w:nsid w:val="76272110"/>
    <w:multiLevelType w:val="hybridMultilevel"/>
    <w:lvl w:ilvl="0">
      <w:lvlJc w:val="left"/>
      <w:lvlText w:val="%1"/>
      <w:numFmt w:val="decimal"/>
      <w:start w:val="1"/>
    </w:lvl>
    <w:lvl w:ilvl="1">
      <w:lvlJc w:val="left"/>
      <w:lvlText w:val="%2."/>
      <w:numFmt w:val="lowerLetter"/>
      <w:start w:val="2"/>
    </w:lvl>
  </w:abstractNum>
  <w:abstractNum w:abstractNumId="66">
    <w:nsid w:val="4C04A8AF"/>
    <w:multiLevelType w:val="hybridMultilevel"/>
    <w:lvl w:ilvl="0">
      <w:lvlJc w:val="left"/>
      <w:lvlText w:val="%1."/>
      <w:numFmt w:val="decimal"/>
      <w:start w:val="8"/>
    </w:lvl>
    <w:lvl w:ilvl="1">
      <w:lvlJc w:val="left"/>
      <w:lvlText w:val="%2."/>
      <w:numFmt w:val="lowerLetter"/>
      <w:start w:val="1"/>
    </w:lvl>
  </w:abstractNum>
  <w:abstractNum w:abstractNumId="67">
    <w:nsid w:val="1716703B"/>
    <w:multiLevelType w:val="hybridMultilevel"/>
    <w:lvl w:ilvl="0">
      <w:lvlJc w:val="left"/>
      <w:lvlText w:val="%1."/>
      <w:numFmt w:val="decimal"/>
      <w:start w:val="11"/>
    </w:lvl>
  </w:abstractNum>
  <w:abstractNum w:abstractNumId="68">
    <w:nsid w:val="14E17E33"/>
    <w:multiLevelType w:val="hybridMultilevel"/>
    <w:lvl w:ilvl="0">
      <w:lvlJc w:val="left"/>
      <w:lvlText w:val="%1"/>
      <w:numFmt w:val="decimal"/>
      <w:start w:val="1"/>
    </w:lvl>
    <w:lvl w:ilvl="1">
      <w:lvlJc w:val="left"/>
      <w:lvlText w:val="%2."/>
      <w:numFmt w:val="decimal"/>
      <w:start w:val="15"/>
    </w:lvl>
  </w:abstractNum>
  <w:abstractNum w:abstractNumId="69">
    <w:nsid w:val="3222E7CD"/>
    <w:multiLevelType w:val="hybridMultilevel"/>
    <w:lvl w:ilvl="0">
      <w:lvlJc w:val="left"/>
      <w:lvlText w:val="(%1)"/>
      <w:numFmt w:val="decimal"/>
      <w:start w:val="7"/>
    </w:lvl>
    <w:lvl w:ilvl="1">
      <w:lvlJc w:val="left"/>
      <w:lvlText w:val="%2."/>
      <w:numFmt w:val="decimal"/>
      <w:start w:val="18"/>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4"/>
    </w:lvl>
  </w:abstractNum>
  <w:abstractNum w:abstractNumId="72">
    <w:nsid w:val="2DF6D648"/>
    <w:multiLevelType w:val="hybridMultilevel"/>
    <w:lvl w:ilvl="0">
      <w:lvlJc w:val="left"/>
      <w:lvlText w:val="%1."/>
      <w:numFmt w:val="decimal"/>
      <w:start w:val="7"/>
    </w:lvl>
  </w:abstractNum>
  <w:abstractNum w:abstractNumId="73">
    <w:nsid w:val="46B7D447"/>
    <w:multiLevelType w:val="hybridMultilevel"/>
    <w:lvl w:ilvl="0">
      <w:lvlJc w:val="left"/>
      <w:lvlText w:val="%1"/>
      <w:numFmt w:val="decimal"/>
      <w:start w:val="1"/>
    </w:lvl>
    <w:lvl w:ilvl="1">
      <w:lvlJc w:val="left"/>
      <w:lvlText w:val="%2."/>
      <w:numFmt w:val="lowerLetter"/>
      <w:start w:val="2"/>
    </w:lvl>
  </w:abstractNum>
  <w:abstractNum w:abstractNumId="74">
    <w:nsid w:val="4A2AC315"/>
    <w:multiLevelType w:val="hybridMultilevel"/>
    <w:lvl w:ilvl="0">
      <w:lvlJc w:val="left"/>
      <w:lvlText w:val="%1."/>
      <w:numFmt w:val="decimal"/>
      <w:start w:val="8"/>
    </w:lvl>
    <w:lvl w:ilvl="1">
      <w:lvlJc w:val="left"/>
      <w:lvlText w:val="%2."/>
      <w:numFmt w:val="lowerLetter"/>
      <w:start w:val="1"/>
    </w:lvl>
  </w:abstractNum>
  <w:abstractNum w:abstractNumId="75">
    <w:nsid w:val="39EE015C"/>
    <w:multiLevelType w:val="hybridMultilevel"/>
    <w:lvl w:ilvl="0">
      <w:lvlJc w:val="left"/>
      <w:lvlText w:val="%1."/>
      <w:numFmt w:val="decimal"/>
      <w:start w:val="1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2"/>
    </w:lvl>
  </w:abstractNum>
  <w:abstractNum w:abstractNumId="78">
    <w:nsid w:val="43F18422"/>
    <w:multiLevelType w:val="hybridMultilevel"/>
    <w:lvl w:ilvl="0">
      <w:lvlJc w:val="left"/>
      <w:lvlText w:val="%1."/>
      <w:numFmt w:val="lowerRoman"/>
      <w:start w:val="1"/>
    </w:lvl>
  </w:abstractNum>
  <w:abstractNum w:abstractNumId="79">
    <w:nsid w:val="60EF0119"/>
    <w:multiLevelType w:val="hybridMultilevel"/>
    <w:lvl w:ilvl="0">
      <w:lvlJc w:val="left"/>
      <w:lvlText w:val="%1."/>
      <w:numFmt w:val="decimal"/>
      <w:start w:val="3"/>
    </w:lvl>
  </w:abstractNum>
  <w:abstractNum w:abstractNumId="80">
    <w:nsid w:val="26F324BA"/>
    <w:multiLevelType w:val="hybridMultilevel"/>
    <w:lvl w:ilvl="0">
      <w:lvlJc w:val="left"/>
      <w:lvlText w:val="%1."/>
      <w:numFmt w:val="decimal"/>
      <w:start w:val="4"/>
    </w:lvl>
  </w:abstractNum>
  <w:abstractNum w:abstractNumId="81">
    <w:nsid w:val="7F01579B"/>
    <w:multiLevelType w:val="hybridMultilevel"/>
    <w:lvl w:ilvl="0">
      <w:lvlJc w:val="left"/>
      <w:lvlText w:val="%1."/>
      <w:numFmt w:val="decimal"/>
      <w:start w:val="5"/>
    </w:lvl>
  </w:abstractNum>
  <w:abstractNum w:abstractNumId="82">
    <w:nsid w:val="49DA307D"/>
    <w:multiLevelType w:val="hybridMultilevel"/>
    <w:lvl w:ilvl="0">
      <w:lvlJc w:val="left"/>
      <w:lvlText w:val="%1."/>
      <w:numFmt w:val="decimal"/>
      <w:start w:val="6"/>
    </w:lvl>
  </w:abstractNum>
  <w:abstractNum w:abstractNumId="83">
    <w:nsid w:val="7055A5F5"/>
    <w:multiLevelType w:val="hybridMultilevel"/>
    <w:lvl w:ilvl="0">
      <w:lvlJc w:val="left"/>
      <w:lvlText w:val="%1."/>
      <w:numFmt w:val="decimal"/>
      <w:start w:val="7"/>
    </w:lvl>
  </w:abstractNum>
  <w:abstractNum w:abstractNumId="84">
    <w:nsid w:val="5FB8370B"/>
    <w:multiLevelType w:val="hybridMultilevel"/>
    <w:lvl w:ilvl="0">
      <w:lvlJc w:val="left"/>
      <w:lvlText w:val="%1."/>
      <w:numFmt w:val="decimal"/>
      <w:start w:val="8"/>
    </w:lvl>
  </w:abstractNum>
  <w:abstractNum w:abstractNumId="85">
    <w:nsid w:val="50801EE1"/>
    <w:multiLevelType w:val="hybridMultilevel"/>
    <w:lvl w:ilvl="0">
      <w:lvlJc w:val="left"/>
      <w:lvlText w:val="%1."/>
      <w:numFmt w:val="decimal"/>
      <w:start w:val="9"/>
    </w:lvl>
  </w:abstractNum>
  <w:abstractNum w:abstractNumId="86">
    <w:nsid w:val="488AC1A"/>
    <w:multiLevelType w:val="hybridMultilevel"/>
    <w:lvl w:ilvl="0">
      <w:lvlJc w:val="left"/>
      <w:lvlText w:val="%1."/>
      <w:numFmt w:val="decimal"/>
      <w:start w:val="10"/>
    </w:lvl>
  </w:abstractNum>
  <w:abstractNum w:abstractNumId="87">
    <w:nsid w:val="5FB8011C"/>
    <w:multiLevelType w:val="hybridMultilevel"/>
    <w:lvl w:ilvl="0">
      <w:lvlJc w:val="left"/>
      <w:lvlText w:val="%1."/>
      <w:numFmt w:val="decimal"/>
      <w:start w:val="11"/>
    </w:lvl>
  </w:abstractNum>
  <w:abstractNum w:abstractNumId="88">
    <w:nsid w:val="6AA78F7F"/>
    <w:multiLevelType w:val="hybridMultilevel"/>
    <w:lvl w:ilvl="0">
      <w:lvlJc w:val="left"/>
      <w:lvlText w:val="%1."/>
      <w:numFmt w:val="decimal"/>
      <w:start w:val="12"/>
    </w:lvl>
  </w:abstractNum>
  <w:abstractNum w:abstractNumId="89">
    <w:nsid w:val="7672BD23"/>
    <w:multiLevelType w:val="hybridMultilevel"/>
    <w:lvl w:ilvl="0">
      <w:lvlJc w:val="left"/>
      <w:lvlText w:val="%1."/>
      <w:numFmt w:val="decimal"/>
      <w:start w:val="14"/>
    </w:lvl>
  </w:abstractNum>
  <w:abstractNum w:abstractNumId="90">
    <w:nsid w:val="6FC75AF8"/>
    <w:multiLevelType w:val="hybridMultilevel"/>
    <w:lvl w:ilvl="0">
      <w:lvlJc w:val="left"/>
      <w:lvlText w:val="(%1)"/>
      <w:numFmt w:val="lowerRoman"/>
      <w:start w:val="1"/>
    </w:lvl>
  </w:abstractNum>
  <w:abstractNum w:abstractNumId="91">
    <w:nsid w:val="6A5F7029"/>
    <w:multiLevelType w:val="hybridMultilevel"/>
    <w:lvl w:ilvl="0">
      <w:lvlJc w:val="left"/>
      <w:lvlText w:val="(%1)"/>
      <w:numFmt w:val="lowerRoman"/>
      <w:start w:val="2"/>
    </w:lvl>
  </w:abstractNum>
  <w:abstractNum w:abstractNumId="92">
    <w:nsid w:val="7D5E18F8"/>
    <w:multiLevelType w:val="hybridMultilevel"/>
    <w:lvl w:ilvl="0">
      <w:lvlJc w:val="left"/>
      <w:lvlText w:val="%1."/>
      <w:numFmt w:val="decimal"/>
      <w:start w:val="15"/>
    </w:lvl>
  </w:abstractNum>
  <w:abstractNum w:abstractNumId="93">
    <w:nsid w:val="5F3534A4"/>
    <w:multiLevelType w:val="hybridMultilevel"/>
    <w:lvl w:ilvl="0">
      <w:lvlJc w:val="left"/>
      <w:lvlText w:val="%1."/>
      <w:numFmt w:val="decimal"/>
      <w:start w:val="16"/>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7"/>
    </w:lvl>
    <w:lvl w:ilvl="1">
      <w:lvlJc w:val="left"/>
      <w:lvlText w:val="%2."/>
      <w:numFmt w:val="lowerLetter"/>
      <w:start w:val="1"/>
    </w:lvl>
  </w:abstractNum>
  <w:abstractNum w:abstractNumId="96">
    <w:nsid w:val="555C55B5"/>
    <w:multiLevelType w:val="hybridMultilevel"/>
    <w:lvl w:ilvl="0">
      <w:lvlJc w:val="left"/>
      <w:lvlText w:val="%1."/>
      <w:numFmt w:val="decimal"/>
      <w:start w:val="13"/>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1)"/>
      <w:numFmt w:val="lowerRoman"/>
      <w:start w:val="3"/>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2"/>
    </w:lvl>
  </w:abstractNum>
  <w:abstractNum w:abstractNumId="101">
    <w:nsid w:val="9DAF632"/>
    <w:multiLevelType w:val="hybridMultilevel"/>
    <w:lvl w:ilvl="0">
      <w:lvlJc w:val="left"/>
      <w:lvlText w:val="%1."/>
      <w:numFmt w:val="decimal"/>
      <w:start w:val="4"/>
    </w:lvl>
    <w:lvl w:ilvl="1">
      <w:lvlJc w:val="left"/>
      <w:lvlText w:val="%2"/>
      <w:numFmt w:val="lowerLetter"/>
      <w:start w:val="1"/>
    </w:lvl>
  </w:abstractNum>
  <w:abstractNum w:abstractNumId="102">
    <w:nsid w:val="53299938"/>
    <w:multiLevelType w:val="hybridMultilevel"/>
    <w:lvl w:ilvl="0">
      <w:lvlJc w:val="left"/>
      <w:lvlText w:val="%1"/>
      <w:numFmt w:val="decimal"/>
      <w:start w:val="1"/>
    </w:lvl>
    <w:lvl w:ilvl="1">
      <w:lvlJc w:val="left"/>
      <w:lvlText w:val="%2."/>
      <w:numFmt w:val="lowerLetter"/>
      <w:start w:val="2"/>
    </w:lvl>
  </w:abstractNum>
  <w:abstractNum w:abstractNumId="103">
    <w:nsid w:val="1FBFE8E0"/>
    <w:multiLevelType w:val="hybridMultilevel"/>
    <w:lvl w:ilvl="0">
      <w:lvlJc w:val="left"/>
      <w:lvlText w:val="%1."/>
      <w:numFmt w:val="decimal"/>
      <w:start w:val="8"/>
    </w:lvl>
    <w:lvl w:ilvl="1">
      <w:lvlJc w:val="left"/>
      <w:lvlText w:val="%2."/>
      <w:numFmt w:val="lowerLetter"/>
      <w:start w:val="1"/>
    </w:lvl>
  </w:abstractNum>
  <w:abstractNum w:abstractNumId="104">
    <w:nsid w:val="5092CA79"/>
    <w:multiLevelType w:val="hybridMultilevel"/>
    <w:lvl w:ilvl="0">
      <w:lvlJc w:val="left"/>
      <w:lvlText w:val="%1"/>
      <w:numFmt w:val="decimal"/>
      <w:start w:val="1"/>
    </w:lvl>
    <w:lvl w:ilvl="1">
      <w:lvlJc w:val="left"/>
      <w:lvlText w:val="%2."/>
      <w:numFmt w:val="decimal"/>
      <w:start w:val="12"/>
    </w:lvl>
  </w:abstractNum>
  <w:abstractNum w:abstractNumId="105">
    <w:nsid w:val="1D545C4D"/>
    <w:multiLevelType w:val="hybridMultilevel"/>
    <w:lvl w:ilvl="0">
      <w:lvlJc w:val="left"/>
      <w:lvlText w:val="(%1)"/>
      <w:numFmt w:val="decimal"/>
      <w:start w:val="7"/>
    </w:lvl>
    <w:lvl w:ilvl="1">
      <w:lvlJc w:val="left"/>
      <w:lvlText w:val="%2."/>
      <w:numFmt w:val="decimal"/>
      <w:start w:val="18"/>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jpeg"/><Relationship Id="rId161" Type="http://schemas.openxmlformats.org/officeDocument/2006/relationships/image" Target="media/image135.jpeg"/><Relationship Id="rId162" Type="http://schemas.openxmlformats.org/officeDocument/2006/relationships/image" Target="media/image136.jpeg"/><Relationship Id="rId163" Type="http://schemas.openxmlformats.org/officeDocument/2006/relationships/image" Target="media/image137.jpeg"/><Relationship Id="rId164" Type="http://schemas.openxmlformats.org/officeDocument/2006/relationships/image" Target="media/image138.jpeg"/><Relationship Id="rId165" Type="http://schemas.openxmlformats.org/officeDocument/2006/relationships/image" Target="media/image139.jpe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jpeg"/><Relationship Id="rId175" Type="http://schemas.openxmlformats.org/officeDocument/2006/relationships/image" Target="media/image149.png"/><Relationship Id="rId176" Type="http://schemas.openxmlformats.org/officeDocument/2006/relationships/image" Target="media/image150.jpeg"/><Relationship Id="rId177" Type="http://schemas.openxmlformats.org/officeDocument/2006/relationships/image" Target="media/image151.jpe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jpeg"/><Relationship Id="rId187" Type="http://schemas.openxmlformats.org/officeDocument/2006/relationships/image" Target="media/image161.jpeg"/><Relationship Id="rId188" Type="http://schemas.openxmlformats.org/officeDocument/2006/relationships/image" Target="media/image162.jpeg"/><Relationship Id="rId189" Type="http://schemas.openxmlformats.org/officeDocument/2006/relationships/image" Target="media/image163.jpeg"/><Relationship Id="rId190" Type="http://schemas.openxmlformats.org/officeDocument/2006/relationships/image" Target="media/image164.jpeg"/><Relationship Id="rId191" Type="http://schemas.openxmlformats.org/officeDocument/2006/relationships/image" Target="media/image165.jpeg"/><Relationship Id="rId192" Type="http://schemas.openxmlformats.org/officeDocument/2006/relationships/image" Target="media/image166.jpeg"/><Relationship Id="rId193" Type="http://schemas.openxmlformats.org/officeDocument/2006/relationships/image" Target="media/image167.jpeg"/><Relationship Id="rId194" Type="http://schemas.openxmlformats.org/officeDocument/2006/relationships/image" Target="media/image168.jpe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24" Type="http://schemas.openxmlformats.org/officeDocument/2006/relationships/hyperlink" Target="http://www.sec.gov/Archives/edgar/data/1441816/000144181618000140/mdb-103118x10qxex21.htm" TargetMode="External"/><Relationship Id="rId125" Type="http://schemas.openxmlformats.org/officeDocument/2006/relationships/hyperlink" Target="http://www.sec.gov/Archives/edgar/data/1441816/000110465917063753/a17-24439_1ex3d1.htm" TargetMode="External"/><Relationship Id="rId126" Type="http://schemas.openxmlformats.org/officeDocument/2006/relationships/hyperlink" Target="http://www.sec.gov/Archives/edgar/data/1441816/000104746917006014/a2233365zex-3_4.htm" TargetMode="External"/><Relationship Id="rId127" Type="http://schemas.openxmlformats.org/officeDocument/2006/relationships/hyperlink" Target="https://www.sec.gov/Archives/edgar/data/0001441816/000144181620000114/mdb-certificateofretir.htm" TargetMode="External"/><Relationship Id="rId128" Type="http://schemas.openxmlformats.org/officeDocument/2006/relationships/hyperlink" Target="http://www.sec.gov/Archives/edgar/data/1441816/000104746917006246/a2233386zex-4_1.htm" TargetMode="External"/><Relationship Id="rId129" Type="http://schemas.openxmlformats.org/officeDocument/2006/relationships/hyperlink" Target="http://www.sec.gov/Archives/edgar/data/1441816/000104746917006014/a2233365zex-4_2.htm" TargetMode="External"/><Relationship Id="rId130" Type="http://schemas.openxmlformats.org/officeDocument/2006/relationships/hyperlink" Target="https://www.sec.gov/Archives/edgar/data/1441816/000110465920003938/tm201523d2_ex4-1.htm" TargetMode="External"/><Relationship Id="rId131" Type="http://schemas.openxmlformats.org/officeDocument/2006/relationships/hyperlink" Target="https://www.sec.gov/Archives/edgar/data/1441816/000144181621000051/mdb-13121x10kxex47.htm" TargetMode="External"/><Relationship Id="rId132" Type="http://schemas.openxmlformats.org/officeDocument/2006/relationships/hyperlink" Target="http://www.sec.gov/Archives/edgar/data/1441816/000104746917006014/a2233365zex-10_1.htm" TargetMode="External"/><Relationship Id="rId133" Type="http://schemas.openxmlformats.org/officeDocument/2006/relationships/hyperlink" Target="http://www.sec.gov/Archives/edgar/data/1441816/000104746917006246/a2233386zex-10_2.htm" TargetMode="External"/><Relationship Id="rId134" Type="http://schemas.openxmlformats.org/officeDocument/2006/relationships/hyperlink" Target="http://www.sec.gov/Archives/edgar/data/1441816/000144181618000028/mdb-13118x10kxex103.htm" TargetMode="External"/><Relationship Id="rId135" Type="http://schemas.openxmlformats.org/officeDocument/2006/relationships/hyperlink" Target="http://www.sec.gov/Archives/edgar/data/1441816/000104746917006246/a2233386zex-10_3.htm" TargetMode="External"/><Relationship Id="rId136" Type="http://schemas.openxmlformats.org/officeDocument/2006/relationships/hyperlink" Target="http://www.sec.gov/Archives/edgar/data/1441816/000104746917006246/a2233386zex-10_4.htm" TargetMode="External"/><Relationship Id="rId137" Type="http://schemas.openxmlformats.org/officeDocument/2006/relationships/hyperlink" Target="http://www.sec.gov/Archives/edgar/data/1441816/000104746917006014/a2233365zex-10_5.htm" TargetMode="External"/><Relationship Id="rId141" Type="http://schemas.openxmlformats.org/officeDocument/2006/relationships/hyperlink" Target="http://www.sec.gov/Archives/edgar/data/1441816/000144181618000028/mdb-1318x10kxex1012.htm" TargetMode="External"/><Relationship Id="rId142" Type="http://schemas.openxmlformats.org/officeDocument/2006/relationships/hyperlink" Target="http://www.sec.gov/Archives/edgar/data/1441816/000110465918042924/a18-16173_1ex99d1.htm#Exhibit99_1_050204" TargetMode="External"/><Relationship Id="rId143" Type="http://schemas.openxmlformats.org/officeDocument/2006/relationships/hyperlink" Target="http://www.sec.gov/Archives/edgar/data/1441816/000110465918042924/a18-16173_1ex99d2.htm#Exhibit99_2_052450" TargetMode="External"/><Relationship Id="rId144" Type="http://schemas.openxmlformats.org/officeDocument/2006/relationships/hyperlink" Target="https://www.sec.gov/Archives/edgar/data/1441816/000110465918042924/a18-16173_1ex99d1.htm" TargetMode="External"/><Relationship Id="rId145" Type="http://schemas.openxmlformats.org/officeDocument/2006/relationships/hyperlink" Target="https://www.sec.gov/Archives/edgar/data/1441816/000110465918042924/a18-161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2022-03-18T15:19:14Z</dcterms:created>
  <dcterms:modified xsi:type="dcterms:W3CDTF">2022-03-18T15:19:14Z</dcterms:modified>
</cp:coreProperties>
</file>