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153">
        <w:r>
          <w:rPr>
            <w:rFonts w:ascii="Arial" w:cs="Arial" w:eastAsia="Arial" w:hAnsi="Arial"/>
            <w:sz w:val="22"/>
            <w:szCs w:val="22"/>
            <w:u w:val="single" w:color="auto"/>
            <w:color w:val="0000EE"/>
          </w:rPr>
          <w:t>MONGODB, INC. AND SUBSIDIARIES 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left="280" w:right="1840"/>
        <w:spacing w:after="0" w:line="234" w:lineRule="auto"/>
        <w:rPr>
          <w:sz w:val="20"/>
          <w:szCs w:val="20"/>
          <w:color w:val="auto"/>
        </w:rPr>
      </w:pPr>
      <w:r>
        <w:rPr>
          <w:rFonts w:ascii="Arial" w:cs="Arial" w:eastAsia="Arial" w:hAnsi="Arial"/>
          <w:sz w:val="14"/>
          <w:szCs w:val="14"/>
          <w:b w:val="1"/>
          <w:bCs w:val="1"/>
          <w:color w:val="auto"/>
        </w:rPr>
        <w:t>Draft Registration Statement No. 2 as confidentially submitted to the Securities and Exchange Commission on August 2, 2017. This draft registration statement has not been publicly filed with the Securities and Exchange Commission and all information herein remains strictly confidential.</w:t>
      </w:r>
    </w:p>
    <w:p>
      <w:pPr>
        <w:spacing w:after="0" w:line="191" w:lineRule="exact"/>
        <w:rPr>
          <w:sz w:val="24"/>
          <w:szCs w:val="24"/>
          <w:color w:val="auto"/>
        </w:rPr>
      </w:pPr>
    </w:p>
    <w:p>
      <w:pPr>
        <w:ind w:left="9160"/>
        <w:spacing w:after="0"/>
        <w:rPr>
          <w:sz w:val="20"/>
          <w:szCs w:val="20"/>
          <w:color w:val="auto"/>
        </w:rPr>
      </w:pPr>
      <w:r>
        <w:rPr>
          <w:rFonts w:ascii="Arial" w:cs="Arial" w:eastAsia="Arial" w:hAnsi="Arial"/>
          <w:sz w:val="14"/>
          <w:szCs w:val="14"/>
          <w:b w:val="1"/>
          <w:bCs w:val="1"/>
          <w:color w:val="auto"/>
        </w:rPr>
        <w:t>Registration Statement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MONGODB,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306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Delaware</w:t>
            </w:r>
          </w:p>
        </w:tc>
        <w:tc>
          <w:tcPr>
            <w:tcW w:w="1920" w:type="dxa"/>
            <w:vAlign w:val="bottom"/>
          </w:tcPr>
          <w:p>
            <w:pPr>
              <w:jc w:val="right"/>
              <w:ind w:right="812"/>
              <w:spacing w:after="0"/>
              <w:rPr>
                <w:sz w:val="20"/>
                <w:szCs w:val="20"/>
                <w:color w:val="auto"/>
              </w:rPr>
            </w:pPr>
            <w:r>
              <w:rPr>
                <w:rFonts w:ascii="Arial" w:cs="Arial" w:eastAsia="Arial" w:hAnsi="Arial"/>
                <w:sz w:val="14"/>
                <w:szCs w:val="14"/>
                <w:b w:val="1"/>
                <w:bCs w:val="1"/>
                <w:color w:val="auto"/>
              </w:rPr>
              <w:t>7372</w:t>
            </w:r>
          </w:p>
        </w:tc>
        <w:tc>
          <w:tcPr>
            <w:tcW w:w="146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26-1463205</w:t>
            </w:r>
          </w:p>
        </w:tc>
      </w:tr>
      <w:tr>
        <w:trPr>
          <w:trHeight w:val="149"/>
        </w:trPr>
        <w:tc>
          <w:tcPr>
            <w:tcW w:w="17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47"/>
        </w:trPr>
        <w:tc>
          <w:tcPr>
            <w:tcW w:w="1740" w:type="dxa"/>
            <w:vAlign w:val="bottom"/>
          </w:tcPr>
          <w:p>
            <w:pPr>
              <w:jc w:val="center"/>
              <w:ind w:right="52"/>
              <w:spacing w:after="0" w:line="147" w:lineRule="exact"/>
              <w:rPr>
                <w:sz w:val="20"/>
                <w:szCs w:val="20"/>
                <w:color w:val="auto"/>
              </w:rPr>
            </w:pPr>
            <w:r>
              <w:rPr>
                <w:rFonts w:ascii="Arial" w:cs="Arial" w:eastAsia="Arial" w:hAnsi="Arial"/>
                <w:sz w:val="14"/>
                <w:szCs w:val="14"/>
                <w:color w:val="auto"/>
                <w:w w:val="88"/>
              </w:rPr>
              <w:t>incorporation or organization)</w:t>
            </w:r>
          </w:p>
        </w:tc>
        <w:tc>
          <w:tcPr>
            <w:tcW w:w="1920" w:type="dxa"/>
            <w:vAlign w:val="bottom"/>
          </w:tcPr>
          <w:p>
            <w:pPr>
              <w:jc w:val="center"/>
              <w:ind w:right="32"/>
              <w:spacing w:after="0" w:line="147" w:lineRule="exact"/>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line="147" w:lineRule="exact"/>
              <w:rPr>
                <w:sz w:val="20"/>
                <w:szCs w:val="20"/>
                <w:color w:val="auto"/>
              </w:rPr>
            </w:pPr>
            <w:r>
              <w:rPr>
                <w:rFonts w:ascii="Arial" w:cs="Arial" w:eastAsia="Arial" w:hAnsi="Arial"/>
                <w:sz w:val="14"/>
                <w:szCs w:val="14"/>
                <w:color w:val="auto"/>
                <w:w w:val="90"/>
              </w:rPr>
              <w:t>Identification Number)</w:t>
            </w: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229 W 43rd Street,</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5th Floor</w:t>
            </w:r>
          </w:p>
        </w:tc>
        <w:tc>
          <w:tcPr>
            <w:tcW w:w="1460" w:type="dxa"/>
            <w:vAlign w:val="bottom"/>
          </w:tcPr>
          <w:p>
            <w:pPr>
              <w:spacing w:after="0"/>
              <w:rPr>
                <w:sz w:val="12"/>
                <w:szCs w:val="12"/>
                <w:color w:val="auto"/>
              </w:rPr>
            </w:pPr>
          </w:p>
        </w:tc>
      </w:tr>
      <w:tr>
        <w:trPr>
          <w:trHeight w:val="149"/>
        </w:trPr>
        <w:tc>
          <w:tcPr>
            <w:tcW w:w="1740" w:type="dxa"/>
            <w:vAlign w:val="bottom"/>
          </w:tcPr>
          <w:p>
            <w:pPr>
              <w:spacing w:after="0"/>
              <w:rPr>
                <w:sz w:val="12"/>
                <w:szCs w:val="12"/>
                <w:color w:val="auto"/>
              </w:rPr>
            </w:pPr>
          </w:p>
        </w:tc>
        <w:tc>
          <w:tcPr>
            <w:tcW w:w="19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1460" w:type="dxa"/>
            <w:vAlign w:val="bottom"/>
          </w:tcPr>
          <w:p>
            <w:pPr>
              <w:spacing w:after="0"/>
              <w:rPr>
                <w:sz w:val="12"/>
                <w:szCs w:val="12"/>
                <w:color w:val="auto"/>
              </w:rPr>
            </w:pPr>
          </w:p>
        </w:tc>
      </w:tr>
      <w:tr>
        <w:trPr>
          <w:trHeight w:val="174"/>
        </w:trPr>
        <w:tc>
          <w:tcPr>
            <w:tcW w:w="1740" w:type="dxa"/>
            <w:vAlign w:val="bottom"/>
          </w:tcPr>
          <w:p>
            <w:pPr>
              <w:spacing w:after="0"/>
              <w:rPr>
                <w:sz w:val="15"/>
                <w:szCs w:val="15"/>
                <w:color w:val="auto"/>
              </w:rPr>
            </w:pPr>
          </w:p>
        </w:tc>
        <w:tc>
          <w:tcPr>
            <w:tcW w:w="1920" w:type="dxa"/>
            <w:vAlign w:val="bottom"/>
          </w:tcPr>
          <w:p>
            <w:pPr>
              <w:jc w:val="right"/>
              <w:ind w:right="552"/>
              <w:spacing w:after="0"/>
              <w:rPr>
                <w:sz w:val="20"/>
                <w:szCs w:val="20"/>
                <w:color w:val="auto"/>
              </w:rPr>
            </w:pPr>
            <w:r>
              <w:rPr>
                <w:rFonts w:ascii="Arial" w:cs="Arial" w:eastAsia="Arial" w:hAnsi="Arial"/>
                <w:sz w:val="14"/>
                <w:szCs w:val="14"/>
                <w:b w:val="1"/>
                <w:bCs w:val="1"/>
                <w:color w:val="auto"/>
              </w:rPr>
              <w:t>646-727-4092</w:t>
            </w:r>
          </w:p>
        </w:tc>
        <w:tc>
          <w:tcPr>
            <w:tcW w:w="1460" w:type="dxa"/>
            <w:vAlign w:val="bottom"/>
          </w:tcPr>
          <w:p>
            <w:pPr>
              <w:spacing w:after="0"/>
              <w:rPr>
                <w:sz w:val="15"/>
                <w:szCs w:val="15"/>
                <w:color w:val="auto"/>
              </w:rPr>
            </w:pPr>
          </w:p>
        </w:tc>
      </w:tr>
    </w:tbl>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Dev Ittycheria</w:t>
      </w:r>
    </w:p>
    <w:p>
      <w:pPr>
        <w:jc w:val="center"/>
        <w:ind w:right="-39"/>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MongoDB, Inc.</w:t>
      </w:r>
    </w:p>
    <w:p>
      <w:pPr>
        <w:jc w:val="center"/>
        <w:ind w:right="-39"/>
        <w:spacing w:after="0" w:line="221" w:lineRule="auto"/>
        <w:rPr>
          <w:sz w:val="20"/>
          <w:szCs w:val="20"/>
          <w:color w:val="auto"/>
        </w:rPr>
      </w:pPr>
      <w:r>
        <w:rPr>
          <w:rFonts w:ascii="Arial" w:cs="Arial" w:eastAsia="Arial" w:hAnsi="Arial"/>
          <w:sz w:val="14"/>
          <w:szCs w:val="14"/>
          <w:b w:val="1"/>
          <w:bCs w:val="1"/>
          <w:color w:val="auto"/>
        </w:rPr>
        <w:t>229 W 43rd Street, 5th Floor</w:t>
      </w:r>
    </w:p>
    <w:p>
      <w:pPr>
        <w:jc w:val="center"/>
        <w:ind w:right="-39"/>
        <w:spacing w:after="0" w:line="222" w:lineRule="auto"/>
        <w:rPr>
          <w:sz w:val="20"/>
          <w:szCs w:val="20"/>
          <w:color w:val="auto"/>
        </w:rPr>
      </w:pPr>
      <w:r>
        <w:rPr>
          <w:rFonts w:ascii="Arial" w:cs="Arial" w:eastAsia="Arial" w:hAnsi="Arial"/>
          <w:sz w:val="14"/>
          <w:szCs w:val="14"/>
          <w:b w:val="1"/>
          <w:bCs w:val="1"/>
          <w:color w:val="auto"/>
        </w:rPr>
        <w:t>New York, NY 10036</w:t>
      </w:r>
    </w:p>
    <w:p>
      <w:pPr>
        <w:jc w:val="center"/>
        <w:ind w:right="-39"/>
        <w:spacing w:after="0" w:line="221" w:lineRule="auto"/>
        <w:rPr>
          <w:sz w:val="20"/>
          <w:szCs w:val="20"/>
          <w:color w:val="auto"/>
        </w:rPr>
      </w:pPr>
      <w:r>
        <w:rPr>
          <w:rFonts w:ascii="Arial" w:cs="Arial" w:eastAsia="Arial" w:hAnsi="Arial"/>
          <w:sz w:val="14"/>
          <w:szCs w:val="14"/>
          <w:b w:val="1"/>
          <w:bCs w:val="1"/>
          <w:color w:val="auto"/>
        </w:rPr>
        <w:t>646-727-4092</w:t>
      </w: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250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4"/>
              </w:rPr>
              <w:t>Copies to:</w:t>
            </w:r>
          </w:p>
        </w:tc>
        <w:tc>
          <w:tcPr>
            <w:tcW w:w="2500" w:type="dxa"/>
            <w:vAlign w:val="bottom"/>
          </w:tcPr>
          <w:p>
            <w:pPr>
              <w:spacing w:after="0"/>
              <w:rPr>
                <w:sz w:val="15"/>
                <w:szCs w:val="15"/>
                <w:color w:val="auto"/>
              </w:rPr>
            </w:pPr>
          </w:p>
        </w:tc>
      </w:tr>
      <w:tr>
        <w:trPr>
          <w:trHeight w:val="366"/>
        </w:trPr>
        <w:tc>
          <w:tcPr>
            <w:tcW w:w="2020" w:type="dxa"/>
            <w:vAlign w:val="bottom"/>
          </w:tcPr>
          <w:p>
            <w:pPr>
              <w:jc w:val="center"/>
              <w:ind w:right="292"/>
              <w:spacing w:after="0"/>
              <w:rPr>
                <w:sz w:val="20"/>
                <w:szCs w:val="20"/>
                <w:color w:val="auto"/>
              </w:rPr>
            </w:pPr>
            <w:r>
              <w:rPr>
                <w:rFonts w:ascii="Arial" w:cs="Arial" w:eastAsia="Arial" w:hAnsi="Arial"/>
                <w:sz w:val="14"/>
                <w:szCs w:val="14"/>
                <w:b w:val="1"/>
                <w:bCs w:val="1"/>
                <w:color w:val="auto"/>
                <w:w w:val="87"/>
              </w:rPr>
              <w:t>Babak Yaghmaie</w:t>
            </w:r>
          </w:p>
        </w:tc>
        <w:tc>
          <w:tcPr>
            <w:tcW w:w="2220" w:type="dxa"/>
            <w:vAlign w:val="bottom"/>
          </w:tcPr>
          <w:p>
            <w:pPr>
              <w:jc w:val="center"/>
              <w:ind w:left="92"/>
              <w:spacing w:after="0"/>
              <w:rPr>
                <w:sz w:val="20"/>
                <w:szCs w:val="20"/>
                <w:color w:val="auto"/>
              </w:rPr>
            </w:pPr>
            <w:r>
              <w:rPr>
                <w:rFonts w:ascii="Arial" w:cs="Arial" w:eastAsia="Arial" w:hAnsi="Arial"/>
                <w:sz w:val="14"/>
                <w:szCs w:val="14"/>
                <w:b w:val="1"/>
                <w:bCs w:val="1"/>
                <w:color w:val="auto"/>
                <w:w w:val="88"/>
              </w:rPr>
              <w:t>Michael Gordon</w:t>
            </w:r>
          </w:p>
        </w:tc>
        <w:tc>
          <w:tcPr>
            <w:tcW w:w="2500" w:type="dxa"/>
            <w:vAlign w:val="bottom"/>
          </w:tcPr>
          <w:p>
            <w:pPr>
              <w:jc w:val="center"/>
              <w:ind w:left="172"/>
              <w:spacing w:after="0"/>
              <w:rPr>
                <w:sz w:val="20"/>
                <w:szCs w:val="20"/>
                <w:color w:val="auto"/>
              </w:rPr>
            </w:pPr>
            <w:r>
              <w:rPr>
                <w:rFonts w:ascii="Arial" w:cs="Arial" w:eastAsia="Arial" w:hAnsi="Arial"/>
                <w:sz w:val="14"/>
                <w:szCs w:val="14"/>
                <w:b w:val="1"/>
                <w:bCs w:val="1"/>
                <w:color w:val="auto"/>
                <w:w w:val="88"/>
              </w:rPr>
              <w:t>Jeffrey D. Saper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Eric Jensen</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6"/>
              </w:rPr>
              <w:t>Andrew Stephens</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0"/>
              </w:rPr>
              <w:t>Michael C. Labriola</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Nicole Brookshire</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9"/>
              </w:rPr>
              <w:t>MongoDB, Inc.</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Megan J. Baier</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Cooley LLP</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9"/>
              </w:rPr>
              <w:t>229 W 43rd Street, 5th Floor</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6"/>
              </w:rPr>
              <w:t>Wilson Sonsini Goodrich &amp; Rosati, P.C.</w:t>
            </w:r>
          </w:p>
        </w:tc>
      </w:tr>
      <w:tr>
        <w:trPr>
          <w:trHeight w:val="149"/>
        </w:trPr>
        <w:tc>
          <w:tcPr>
            <w:tcW w:w="20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5"/>
              </w:rPr>
              <w:t>1114 Avenue of the Americas</w:t>
            </w:r>
          </w:p>
        </w:tc>
        <w:tc>
          <w:tcPr>
            <w:tcW w:w="22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91"/>
              </w:rPr>
              <w:t>New York, NY 10036</w:t>
            </w:r>
          </w:p>
        </w:tc>
        <w:tc>
          <w:tcPr>
            <w:tcW w:w="2500" w:type="dxa"/>
            <w:vAlign w:val="bottom"/>
          </w:tcPr>
          <w:p>
            <w:pPr>
              <w:jc w:val="center"/>
              <w:ind w:left="172"/>
              <w:spacing w:after="0" w:line="149" w:lineRule="exact"/>
              <w:rPr>
                <w:sz w:val="20"/>
                <w:szCs w:val="20"/>
                <w:color w:val="auto"/>
              </w:rPr>
            </w:pPr>
            <w:r>
              <w:rPr>
                <w:rFonts w:ascii="Arial" w:cs="Arial" w:eastAsia="Arial" w:hAnsi="Arial"/>
                <w:sz w:val="14"/>
                <w:szCs w:val="14"/>
                <w:b w:val="1"/>
                <w:bCs w:val="1"/>
                <w:color w:val="auto"/>
                <w:w w:val="85"/>
              </w:rPr>
              <w:t>1301 Avenue of the Americas,</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9"/>
              </w:rPr>
              <w:t>New York, NY 10036</w:t>
            </w:r>
          </w:p>
        </w:tc>
        <w:tc>
          <w:tcPr>
            <w:tcW w:w="2220" w:type="dxa"/>
            <w:vAlign w:val="bottom"/>
          </w:tcPr>
          <w:p>
            <w:pPr>
              <w:jc w:val="center"/>
              <w:ind w:left="72"/>
              <w:spacing w:after="0" w:line="149" w:lineRule="exact"/>
              <w:rPr>
                <w:sz w:val="20"/>
                <w:szCs w:val="20"/>
                <w:color w:val="auto"/>
              </w:rPr>
            </w:pPr>
            <w:r>
              <w:rPr>
                <w:rFonts w:ascii="Arial" w:cs="Arial" w:eastAsia="Arial" w:hAnsi="Arial"/>
                <w:sz w:val="14"/>
                <w:szCs w:val="14"/>
                <w:b w:val="1"/>
                <w:bCs w:val="1"/>
                <w:color w:val="auto"/>
                <w:w w:val="87"/>
              </w:rPr>
              <w:t>646-727-4092</w:t>
            </w: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8"/>
              </w:rPr>
              <w:t>40th Floor</w:t>
            </w:r>
          </w:p>
        </w:tc>
      </w:tr>
      <w:tr>
        <w:trPr>
          <w:trHeight w:val="149"/>
        </w:trPr>
        <w:tc>
          <w:tcPr>
            <w:tcW w:w="2020" w:type="dxa"/>
            <w:vAlign w:val="bottom"/>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212-479-6000</w:t>
            </w:r>
          </w:p>
        </w:tc>
        <w:tc>
          <w:tcPr>
            <w:tcW w:w="2220" w:type="dxa"/>
            <w:vAlign w:val="bottom"/>
          </w:tcPr>
          <w:p>
            <w:pPr>
              <w:spacing w:after="0"/>
              <w:rPr>
                <w:sz w:val="12"/>
                <w:szCs w:val="12"/>
                <w:color w:val="auto"/>
              </w:rPr>
            </w:pPr>
          </w:p>
        </w:tc>
        <w:tc>
          <w:tcPr>
            <w:tcW w:w="250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89"/>
              </w:rPr>
              <w:t>New York, NY 10019</w:t>
            </w:r>
          </w:p>
        </w:tc>
      </w:tr>
      <w:tr>
        <w:trPr>
          <w:trHeight w:val="174"/>
        </w:trPr>
        <w:tc>
          <w:tcPr>
            <w:tcW w:w="20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500" w:type="dxa"/>
            <w:vAlign w:val="bottom"/>
          </w:tcPr>
          <w:p>
            <w:pPr>
              <w:jc w:val="center"/>
              <w:ind w:left="152"/>
              <w:spacing w:after="0"/>
              <w:rPr>
                <w:sz w:val="20"/>
                <w:szCs w:val="20"/>
                <w:color w:val="auto"/>
              </w:rPr>
            </w:pPr>
            <w:r>
              <w:rPr>
                <w:rFonts w:ascii="Arial" w:cs="Arial" w:eastAsia="Arial" w:hAnsi="Arial"/>
                <w:sz w:val="14"/>
                <w:szCs w:val="14"/>
                <w:b w:val="1"/>
                <w:bCs w:val="1"/>
                <w:color w:val="auto"/>
                <w:w w:val="87"/>
              </w:rPr>
              <w:t>212-999-5800</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380"/>
        <w:spacing w:after="0"/>
        <w:tabs>
          <w:tab w:leader="none" w:pos="1110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of 1933, as amended,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100"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71"/>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number of the earlier effective registration statement for the same offering.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685" w:right="279" w:bottom="0" w:gutter="0" w:footer="0" w:header="0"/>
        </w:sectPr>
      </w:pPr>
    </w:p>
    <w:bookmarkStart w:id="1" w:name="page2"/>
    <w:bookmarkEnd w:id="1"/>
    <w:p>
      <w:pPr>
        <w:ind w:right="140" w:firstLine="371"/>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0"/>
          </w:cols>
          <w:pgMar w:left="240" w:top="493" w:right="279" w:bottom="1440" w:gutter="0" w:footer="0" w:header="0"/>
        </w:sectPr>
      </w:pPr>
    </w:p>
    <w:p>
      <w:pPr>
        <w:spacing w:after="0" w:line="193" w:lineRule="exact"/>
        <w:rPr>
          <w:sz w:val="20"/>
          <w:szCs w:val="20"/>
          <w:color w:val="auto"/>
        </w:rPr>
      </w:pPr>
    </w:p>
    <w:p>
      <w:pPr>
        <w:ind w:left="132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60"/>
        <w:spacing w:after="0"/>
        <w:rPr>
          <w:sz w:val="20"/>
          <w:szCs w:val="20"/>
          <w:color w:val="auto"/>
        </w:rPr>
      </w:pPr>
      <w:r>
        <w:rPr>
          <w:rFonts w:ascii="Arial" w:cs="Arial" w:eastAsia="Arial" w:hAnsi="Arial"/>
          <w:sz w:val="12"/>
          <w:szCs w:val="12"/>
          <w:color w:val="auto"/>
        </w:rPr>
        <w:t>Accelerated Filer o</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20"/>
        <w:spacing w:after="0" w:line="138" w:lineRule="exact"/>
        <w:rPr>
          <w:sz w:val="20"/>
          <w:szCs w:val="20"/>
          <w:color w:val="auto"/>
        </w:rPr>
      </w:pP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0"/>
          <w:szCs w:val="20"/>
          <w:color w:val="auto"/>
        </w:rPr>
      </w:pPr>
    </w:p>
    <w:p>
      <w:pPr>
        <w:ind w:left="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0" w:lineRule="exact"/>
        <w:rPr>
          <w:sz w:val="20"/>
          <w:szCs w:val="20"/>
          <w:color w:val="auto"/>
        </w:rPr>
      </w:pPr>
    </w:p>
    <w:p>
      <w:pPr>
        <w:sectPr>
          <w:pgSz w:w="11900" w:h="16838" w:orient="portrait"/>
          <w:cols w:equalWidth="0" w:num="4">
            <w:col w:w="3100" w:space="720"/>
            <w:col w:w="1400" w:space="720"/>
            <w:col w:w="1740" w:space="720"/>
            <w:col w:w="2980"/>
          </w:cols>
          <w:pgMar w:left="240" w:top="493" w:right="279" w:bottom="1440" w:gutter="0" w:footer="0" w:header="0"/>
          <w:type w:val="continuous"/>
        </w:sectPr>
      </w:pPr>
    </w:p>
    <w:p>
      <w:pPr>
        <w:spacing w:after="0" w:line="15" w:lineRule="exact"/>
        <w:rPr>
          <w:sz w:val="20"/>
          <w:szCs w:val="20"/>
          <w:color w:val="auto"/>
        </w:rPr>
      </w:pPr>
    </w:p>
    <w:p>
      <w:pPr>
        <w:ind w:right="440" w:firstLine="371"/>
        <w:spacing w:after="0" w:line="239"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of 1933, as amended.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40"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580" w:type="dxa"/>
            <w:vAlign w:val="bottom"/>
            <w:tcBorders>
              <w:top w:val="single" w:sz="8" w:color="auto"/>
              <w:bottom w:val="single" w:sz="8" w:color="auto"/>
            </w:tcBorders>
          </w:tcPr>
          <w:p>
            <w:pPr>
              <w:spacing w:after="0"/>
              <w:rPr>
                <w:sz w:val="3"/>
                <w:szCs w:val="3"/>
                <w:color w:val="auto"/>
              </w:rPr>
            </w:pPr>
          </w:p>
        </w:tc>
        <w:tc>
          <w:tcPr>
            <w:tcW w:w="2340" w:type="dxa"/>
            <w:vAlign w:val="bottom"/>
            <w:tcBorders>
              <w:top w:val="single" w:sz="8" w:color="auto"/>
              <w:bottom w:val="single" w:sz="8" w:color="auto"/>
            </w:tcBorders>
          </w:tcPr>
          <w:p>
            <w:pPr>
              <w:spacing w:after="0"/>
              <w:rPr>
                <w:sz w:val="3"/>
                <w:szCs w:val="3"/>
                <w:color w:val="auto"/>
              </w:rPr>
            </w:pPr>
          </w:p>
        </w:tc>
        <w:tc>
          <w:tcPr>
            <w:tcW w:w="1400" w:type="dxa"/>
            <w:vAlign w:val="bottom"/>
            <w:tcBorders>
              <w:top w:val="single" w:sz="8" w:color="auto"/>
              <w:bottom w:val="single" w:sz="8" w:color="auto"/>
            </w:tcBorders>
          </w:tcPr>
          <w:p>
            <w:pPr>
              <w:spacing w:after="0"/>
              <w:rPr>
                <w:sz w:val="3"/>
                <w:szCs w:val="3"/>
                <w:color w:val="auto"/>
              </w:rPr>
            </w:pPr>
          </w:p>
        </w:tc>
      </w:tr>
      <w:tr>
        <w:trPr>
          <w:trHeight w:val="116"/>
        </w:trPr>
        <w:tc>
          <w:tcPr>
            <w:tcW w:w="20" w:type="dxa"/>
            <w:vAlign w:val="bottom"/>
          </w:tcPr>
          <w:p>
            <w:pPr>
              <w:spacing w:after="0"/>
              <w:rPr>
                <w:sz w:val="10"/>
                <w:szCs w:val="10"/>
                <w:color w:val="auto"/>
              </w:rPr>
            </w:pPr>
          </w:p>
        </w:tc>
        <w:tc>
          <w:tcPr>
            <w:tcW w:w="4580" w:type="dxa"/>
            <w:vAlign w:val="bottom"/>
          </w:tcPr>
          <w:p>
            <w:pPr>
              <w:spacing w:after="0"/>
              <w:rPr>
                <w:sz w:val="10"/>
                <w:szCs w:val="10"/>
                <w:color w:val="auto"/>
              </w:rPr>
            </w:pPr>
          </w:p>
        </w:tc>
        <w:tc>
          <w:tcPr>
            <w:tcW w:w="2340" w:type="dxa"/>
            <w:vAlign w:val="bottom"/>
          </w:tcPr>
          <w:p>
            <w:pPr>
              <w:jc w:val="center"/>
              <w:ind w:left="858"/>
              <w:spacing w:after="0" w:line="117" w:lineRule="exact"/>
              <w:rPr>
                <w:sz w:val="20"/>
                <w:szCs w:val="20"/>
                <w:color w:val="auto"/>
              </w:rPr>
            </w:pPr>
            <w:r>
              <w:rPr>
                <w:rFonts w:ascii="Arial" w:cs="Arial" w:eastAsia="Arial" w:hAnsi="Arial"/>
                <w:sz w:val="12"/>
                <w:szCs w:val="12"/>
                <w:b w:val="1"/>
                <w:bCs w:val="1"/>
                <w:color w:val="auto"/>
              </w:rPr>
              <w:t>Proposed Maximum</w:t>
            </w:r>
          </w:p>
        </w:tc>
        <w:tc>
          <w:tcPr>
            <w:tcW w:w="140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4580" w:type="dxa"/>
            <w:vAlign w:val="bottom"/>
          </w:tcPr>
          <w:p>
            <w:pPr>
              <w:jc w:val="center"/>
              <w:ind w:left="732"/>
              <w:spacing w:after="0"/>
              <w:rPr>
                <w:sz w:val="20"/>
                <w:szCs w:val="20"/>
                <w:color w:val="auto"/>
              </w:rPr>
            </w:pPr>
            <w:r>
              <w:rPr>
                <w:rFonts w:ascii="Arial" w:cs="Arial" w:eastAsia="Arial" w:hAnsi="Arial"/>
                <w:sz w:val="14"/>
                <w:szCs w:val="14"/>
                <w:b w:val="1"/>
                <w:bCs w:val="1"/>
                <w:color w:val="auto"/>
                <w:w w:val="85"/>
              </w:rPr>
              <w:t>Title of Each Class of Securities</w:t>
            </w:r>
          </w:p>
        </w:tc>
        <w:tc>
          <w:tcPr>
            <w:tcW w:w="2340" w:type="dxa"/>
            <w:vAlign w:val="bottom"/>
          </w:tcPr>
          <w:p>
            <w:pPr>
              <w:jc w:val="center"/>
              <w:ind w:left="878"/>
              <w:spacing w:after="0"/>
              <w:rPr>
                <w:sz w:val="20"/>
                <w:szCs w:val="20"/>
                <w:color w:val="auto"/>
              </w:rPr>
            </w:pPr>
            <w:r>
              <w:rPr>
                <w:rFonts w:ascii="Arial" w:cs="Arial" w:eastAsia="Arial" w:hAnsi="Arial"/>
                <w:sz w:val="14"/>
                <w:szCs w:val="14"/>
                <w:b w:val="1"/>
                <w:bCs w:val="1"/>
                <w:color w:val="auto"/>
                <w:w w:val="87"/>
              </w:rPr>
              <w:t>Aggregate Offering</w:t>
            </w:r>
          </w:p>
        </w:tc>
        <w:tc>
          <w:tcPr>
            <w:tcW w:w="14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4580" w:type="dxa"/>
            <w:vAlign w:val="bottom"/>
            <w:tcBorders>
              <w:bottom w:val="single" w:sz="8" w:color="auto"/>
            </w:tcBorders>
          </w:tcPr>
          <w:p>
            <w:pPr>
              <w:jc w:val="center"/>
              <w:ind w:left="752"/>
              <w:spacing w:after="0"/>
              <w:rPr>
                <w:sz w:val="20"/>
                <w:szCs w:val="20"/>
                <w:color w:val="auto"/>
              </w:rPr>
            </w:pPr>
            <w:r>
              <w:rPr>
                <w:rFonts w:ascii="Arial" w:cs="Arial" w:eastAsia="Arial" w:hAnsi="Arial"/>
                <w:sz w:val="14"/>
                <w:szCs w:val="14"/>
                <w:b w:val="1"/>
                <w:bCs w:val="1"/>
                <w:color w:val="auto"/>
                <w:w w:val="83"/>
              </w:rPr>
              <w:t>to be Registered</w:t>
            </w:r>
          </w:p>
        </w:tc>
        <w:tc>
          <w:tcPr>
            <w:tcW w:w="2340" w:type="dxa"/>
            <w:vAlign w:val="bottom"/>
            <w:tcBorders>
              <w:bottom w:val="single" w:sz="8" w:color="auto"/>
            </w:tcBorders>
          </w:tcPr>
          <w:p>
            <w:pPr>
              <w:jc w:val="center"/>
              <w:ind w:left="878"/>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40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5"/>
              </w:rPr>
              <w:t>Registration Fee</w:t>
            </w:r>
          </w:p>
        </w:tc>
      </w:tr>
      <w:tr>
        <w:trPr>
          <w:trHeight w:val="167"/>
        </w:trPr>
        <w:tc>
          <w:tcPr>
            <w:tcW w:w="20" w:type="dxa"/>
            <w:vAlign w:val="bottom"/>
            <w:tcBorders>
              <w:bottom w:val="single" w:sz="8" w:color="auto"/>
            </w:tcBorders>
          </w:tcPr>
          <w:p>
            <w:pPr>
              <w:spacing w:after="0"/>
              <w:rPr>
                <w:sz w:val="14"/>
                <w:szCs w:val="1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Class A Common Stock, $0.001 par value per share</w:t>
            </w:r>
          </w:p>
        </w:tc>
        <w:tc>
          <w:tcPr>
            <w:tcW w:w="2340" w:type="dxa"/>
            <w:vAlign w:val="bottom"/>
            <w:tcBorders>
              <w:bottom w:val="single" w:sz="8" w:color="auto"/>
            </w:tcBorders>
          </w:tcPr>
          <w:p>
            <w:pPr>
              <w:jc w:val="right"/>
              <w:ind w:right="121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152"/>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0"/>
          <w:szCs w:val="10"/>
          <w:color w:val="auto"/>
        </w:rPr>
      </w:pPr>
      <w:r>
        <w:rPr>
          <w:rFonts w:ascii="Arial" w:cs="Arial" w:eastAsia="Arial" w:hAnsi="Arial"/>
          <w:sz w:val="12"/>
          <w:szCs w:val="12"/>
          <w:color w:val="auto"/>
        </w:rPr>
        <w:t>In accordance with Rule 457(o) under the Securities Act of 1933, as amended, the number of shares being registered and the proposed maximum offering price per share are not included in this table.</w:t>
      </w:r>
    </w:p>
    <w:p>
      <w:pPr>
        <w:spacing w:after="0" w:line="145" w:lineRule="exact"/>
        <w:rPr>
          <w:rFonts w:ascii="Arial" w:cs="Arial" w:eastAsia="Arial" w:hAnsi="Arial"/>
          <w:sz w:val="10"/>
          <w:szCs w:val="10"/>
          <w:color w:val="auto"/>
        </w:rPr>
      </w:pPr>
    </w:p>
    <w:p>
      <w:pPr>
        <w:ind w:left="540" w:right="20" w:hanging="532"/>
        <w:spacing w:after="0" w:line="239" w:lineRule="auto"/>
        <w:tabs>
          <w:tab w:leader="none" w:pos="540" w:val="left"/>
        </w:tabs>
        <w:numPr>
          <w:ilvl w:val="0"/>
          <w:numId w:val="1"/>
        </w:numPr>
        <w:rPr>
          <w:rFonts w:ascii="Arial" w:cs="Arial" w:eastAsia="Arial" w:hAnsi="Arial"/>
          <w:sz w:val="11"/>
          <w:szCs w:val="11"/>
          <w:color w:val="auto"/>
        </w:rPr>
      </w:pPr>
      <w:r>
        <w:rPr>
          <w:rFonts w:ascii="Arial" w:cs="Arial" w:eastAsia="Arial" w:hAnsi="Arial"/>
          <w:sz w:val="14"/>
          <w:szCs w:val="14"/>
          <w:color w:val="auto"/>
        </w:rPr>
        <w:t>Estimated solely for purposes of computing the amount of the registration fee pursuant to Rule 457(o) under the Securities Act of 1933, as amended. Includes the aggregate offering price of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71"/>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461645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3" w:right="27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We and the selling stockholders may not sell these securities until the registration statement filed with the Securities and Exchange Commission is effective. This prospectus is not an offer to sell these securities and we and the selling stockholders are not soliciting offers to buy these securities in any state where the offer or sale is not permitted.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FF4040"/>
        </w:rPr>
        <w:t>PRELIMINARY PROSPECTUS (Subject to Completion)</w:t>
      </w:r>
    </w:p>
    <w:p>
      <w:pPr>
        <w:spacing w:after="0" w:line="21"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FF4040"/>
        </w:rPr>
        <w:t>Issued</w:t>
      </w:r>
      <w:r>
        <w:rPr>
          <w:sz w:val="20"/>
          <w:szCs w:val="20"/>
          <w:color w:val="auto"/>
        </w:rPr>
        <w:tab/>
      </w:r>
      <w:r>
        <w:rPr>
          <w:rFonts w:ascii="Arial" w:cs="Arial" w:eastAsia="Arial" w:hAnsi="Arial"/>
          <w:sz w:val="18"/>
          <w:szCs w:val="18"/>
          <w:b w:val="1"/>
          <w:bCs w:val="1"/>
          <w:color w:val="FF4040"/>
        </w:rPr>
        <w:t>, 2017</w:t>
      </w:r>
    </w:p>
    <w:p>
      <w:pPr>
        <w:spacing w:after="0" w:line="199" w:lineRule="exact"/>
        <w:rPr>
          <w:sz w:val="20"/>
          <w:szCs w:val="20"/>
          <w:color w:val="auto"/>
        </w:rPr>
      </w:pPr>
    </w:p>
    <w:p>
      <w:pPr>
        <w:ind w:left="5980"/>
        <w:spacing w:after="0"/>
        <w:rPr>
          <w:sz w:val="20"/>
          <w:szCs w:val="20"/>
          <w:color w:val="auto"/>
        </w:rPr>
      </w:pP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160020</wp:posOffset>
            </wp:positionV>
            <wp:extent cx="294132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413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MongoDB, Inc. is offering shares of its Class A common stock, and the selling stockholders are offering an additional shares of Class A common stock. We will not receive any of the proceeds from the shares of Class A common stock sold by the selling stockholders. This is our initial public offering, and no public market currently exists for our shares of Class A Common Stock. We anticipate that the initial public offering price of the Class A common stock will be between $ and $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130810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20" w:firstLine="348"/>
        <w:spacing w:after="0" w:line="303" w:lineRule="auto"/>
        <w:rPr>
          <w:sz w:val="20"/>
          <w:szCs w:val="20"/>
          <w:color w:val="auto"/>
        </w:rPr>
      </w:pPr>
      <w:r>
        <w:rPr>
          <w:rFonts w:ascii="Arial" w:cs="Arial" w:eastAsia="Arial" w:hAnsi="Arial"/>
          <w:sz w:val="15"/>
          <w:szCs w:val="15"/>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will be entitled to ten votes per share and will be convertible into one share of Class A common stock at any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w w:val="91"/>
              </w:rPr>
              <w:t>Outstanding shares of Class B common stock will represent approximately</w:t>
            </w: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w w:val="90"/>
              </w:rPr>
              <w:t>% of the voting power of our outstanding capital stock immediately following the</w:t>
            </w:r>
          </w:p>
        </w:tc>
      </w:tr>
      <w:tr>
        <w:trPr>
          <w:trHeight w:val="216"/>
        </w:trPr>
        <w:tc>
          <w:tcPr>
            <w:tcW w:w="7660" w:type="dxa"/>
            <w:vAlign w:val="bottom"/>
            <w:gridSpan w:val="4"/>
          </w:tcPr>
          <w:p>
            <w:pPr>
              <w:spacing w:after="0"/>
              <w:rPr>
                <w:sz w:val="20"/>
                <w:szCs w:val="20"/>
                <w:color w:val="auto"/>
              </w:rPr>
            </w:pPr>
            <w:r>
              <w:rPr>
                <w:rFonts w:ascii="Arial" w:cs="Arial" w:eastAsia="Arial" w:hAnsi="Arial"/>
                <w:sz w:val="18"/>
                <w:szCs w:val="18"/>
                <w:color w:val="auto"/>
                <w:w w:val="92"/>
              </w:rPr>
              <w:t>closing of this offering, with our directors and executive officers and their affiliates holding approximately</w:t>
            </w:r>
          </w:p>
        </w:tc>
        <w:tc>
          <w:tcPr>
            <w:tcW w:w="3720" w:type="dxa"/>
            <w:vAlign w:val="bottom"/>
          </w:tcPr>
          <w:p>
            <w:pPr>
              <w:ind w:left="180"/>
              <w:spacing w:after="0"/>
              <w:rPr>
                <w:sz w:val="20"/>
                <w:szCs w:val="20"/>
                <w:color w:val="auto"/>
              </w:rPr>
            </w:pPr>
            <w:r>
              <w:rPr>
                <w:rFonts w:ascii="Arial" w:cs="Arial" w:eastAsia="Arial" w:hAnsi="Arial"/>
                <w:sz w:val="18"/>
                <w:szCs w:val="18"/>
                <w:color w:val="auto"/>
                <w:w w:val="98"/>
              </w:rPr>
              <w:t>%, assuming in each case no exercise of the</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underwriters' over-allotment option.</w:t>
            </w:r>
          </w:p>
        </w:tc>
        <w:tc>
          <w:tcPr>
            <w:tcW w:w="1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18"/>
        </w:trPr>
        <w:tc>
          <w:tcPr>
            <w:tcW w:w="42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ind w:left="360"/>
        <w:spacing w:after="0"/>
        <w:tabs>
          <w:tab w:leader="none" w:pos="540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320" w:firstLine="432"/>
        <w:spacing w:after="0" w:line="261" w:lineRule="auto"/>
        <w:rPr>
          <w:sz w:val="20"/>
          <w:szCs w:val="20"/>
          <w:color w:val="auto"/>
        </w:rPr>
      </w:pPr>
      <w:r>
        <w:rPr>
          <w:rFonts w:ascii="Arial" w:cs="Arial" w:eastAsia="Arial" w:hAnsi="Arial"/>
          <w:sz w:val="21"/>
          <w:szCs w:val="21"/>
          <w:b w:val="1"/>
          <w:bCs w:val="1"/>
          <w:color w:val="auto"/>
        </w:rPr>
        <w:t>We are an "emerging growth company" as defined under the U.S. federal securities laws and, as such, may elect to comply with certain reduced public company reporting requirements for this and future filings. Investing in our Class A common stock involves risks. See "Risk Factors" beginning on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117475</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660"/>
        <w:spacing w:after="0"/>
        <w:tabs>
          <w:tab w:leader="none" w:pos="5800" w:val="left"/>
        </w:tabs>
        <w:rPr>
          <w:sz w:val="20"/>
          <w:szCs w:val="20"/>
          <w:color w:val="auto"/>
        </w:rPr>
      </w:pPr>
      <w:r>
        <w:rPr>
          <w:rFonts w:ascii="Arial" w:cs="Arial" w:eastAsia="Arial" w:hAnsi="Arial"/>
          <w:sz w:val="18"/>
          <w:szCs w:val="18"/>
          <w:color w:val="auto"/>
        </w:rPr>
        <w:t>PRICE $</w:t>
      </w:r>
      <w:r>
        <w:rPr>
          <w:sz w:val="20"/>
          <w:szCs w:val="20"/>
          <w:color w:val="auto"/>
        </w:rPr>
        <w:tab/>
      </w:r>
      <w:r>
        <w:rPr>
          <w:rFonts w:ascii="Arial" w:cs="Arial" w:eastAsia="Arial" w:hAnsi="Arial"/>
          <w:sz w:val="16"/>
          <w:szCs w:val="16"/>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22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460" w:type="dxa"/>
            <w:vAlign w:val="bottom"/>
          </w:tcPr>
          <w:p>
            <w:pPr>
              <w:spacing w:after="0"/>
              <w:rPr>
                <w:sz w:val="3"/>
                <w:szCs w:val="3"/>
                <w:color w:val="auto"/>
              </w:rPr>
            </w:pPr>
          </w:p>
        </w:tc>
      </w:tr>
      <w:tr>
        <w:trPr>
          <w:trHeight w:val="129"/>
        </w:trPr>
        <w:tc>
          <w:tcPr>
            <w:tcW w:w="2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60" w:type="dxa"/>
            <w:vAlign w:val="bottom"/>
          </w:tcPr>
          <w:p>
            <w:pPr>
              <w:jc w:val="center"/>
              <w:ind w:left="124"/>
              <w:spacing w:after="0" w:line="129" w:lineRule="exact"/>
              <w:rPr>
                <w:sz w:val="20"/>
                <w:szCs w:val="20"/>
                <w:color w:val="auto"/>
              </w:rPr>
            </w:pPr>
            <w:r>
              <w:rPr>
                <w:rFonts w:ascii="Arial" w:cs="Arial" w:eastAsia="Arial" w:hAnsi="Arial"/>
                <w:sz w:val="14"/>
                <w:szCs w:val="14"/>
                <w:b w:val="1"/>
                <w:bCs w:val="1"/>
                <w:color w:val="auto"/>
                <w:w w:val="90"/>
              </w:rPr>
              <w:t>Underwriting</w:t>
            </w:r>
          </w:p>
        </w:tc>
        <w:tc>
          <w:tcPr>
            <w:tcW w:w="1340" w:type="dxa"/>
            <w:vAlign w:val="bottom"/>
          </w:tcPr>
          <w:p>
            <w:pPr>
              <w:spacing w:after="0"/>
              <w:rPr>
                <w:sz w:val="11"/>
                <w:szCs w:val="11"/>
                <w:color w:val="auto"/>
              </w:rPr>
            </w:pPr>
          </w:p>
        </w:tc>
        <w:tc>
          <w:tcPr>
            <w:tcW w:w="3060" w:type="dxa"/>
            <w:vAlign w:val="bottom"/>
            <w:gridSpan w:val="2"/>
          </w:tcPr>
          <w:p>
            <w:pPr>
              <w:jc w:val="center"/>
              <w:ind w:right="1160"/>
              <w:spacing w:after="0" w:line="129" w:lineRule="exact"/>
              <w:rPr>
                <w:sz w:val="20"/>
                <w:szCs w:val="20"/>
                <w:color w:val="auto"/>
              </w:rPr>
            </w:pPr>
            <w:r>
              <w:rPr>
                <w:rFonts w:ascii="Arial" w:cs="Arial" w:eastAsia="Arial" w:hAnsi="Arial"/>
                <w:sz w:val="14"/>
                <w:szCs w:val="14"/>
                <w:b w:val="1"/>
                <w:bCs w:val="1"/>
                <w:color w:val="auto"/>
                <w:w w:val="82"/>
              </w:rPr>
              <w:t>Proceeds to</w:t>
            </w:r>
          </w:p>
        </w:tc>
      </w:tr>
      <w:tr>
        <w:trPr>
          <w:trHeight w:val="149"/>
        </w:trPr>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60" w:type="dxa"/>
            <w:vAlign w:val="bottom"/>
          </w:tcPr>
          <w:p>
            <w:pPr>
              <w:jc w:val="center"/>
              <w:ind w:left="124"/>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340" w:type="dxa"/>
            <w:vAlign w:val="bottom"/>
          </w:tcPr>
          <w:p>
            <w:pPr>
              <w:jc w:val="right"/>
              <w:ind w:right="102"/>
              <w:spacing w:after="0" w:line="149" w:lineRule="exact"/>
              <w:rPr>
                <w:sz w:val="20"/>
                <w:szCs w:val="20"/>
                <w:color w:val="auto"/>
              </w:rPr>
            </w:pPr>
            <w:r>
              <w:rPr>
                <w:rFonts w:ascii="Arial" w:cs="Arial" w:eastAsia="Arial" w:hAnsi="Arial"/>
                <w:sz w:val="14"/>
                <w:szCs w:val="14"/>
                <w:b w:val="1"/>
                <w:bCs w:val="1"/>
                <w:color w:val="auto"/>
              </w:rPr>
              <w:t>Proceeds to</w:t>
            </w:r>
          </w:p>
        </w:tc>
        <w:tc>
          <w:tcPr>
            <w:tcW w:w="306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2"/>
              </w:rPr>
              <w:t>Selling</w:t>
            </w:r>
          </w:p>
        </w:tc>
      </w:tr>
      <w:tr>
        <w:trPr>
          <w:trHeight w:val="203"/>
        </w:trPr>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60" w:type="dxa"/>
            <w:vAlign w:val="bottom"/>
          </w:tcPr>
          <w:p>
            <w:pPr>
              <w:jc w:val="right"/>
              <w:ind w:right="119"/>
              <w:spacing w:after="0"/>
              <w:rPr>
                <w:sz w:val="20"/>
                <w:szCs w:val="20"/>
                <w:color w:val="auto"/>
              </w:rPr>
            </w:pPr>
            <w:r>
              <w:rPr>
                <w:rFonts w:ascii="Arial" w:cs="Arial" w:eastAsia="Arial" w:hAnsi="Arial"/>
                <w:sz w:val="14"/>
                <w:szCs w:val="14"/>
                <w:b w:val="1"/>
                <w:bCs w:val="1"/>
                <w:color w:val="auto"/>
              </w:rPr>
              <w:t>Price to Public</w:t>
            </w:r>
          </w:p>
        </w:tc>
        <w:tc>
          <w:tcPr>
            <w:tcW w:w="1460" w:type="dxa"/>
            <w:vAlign w:val="bottom"/>
          </w:tcPr>
          <w:p>
            <w:pPr>
              <w:jc w:val="center"/>
              <w:ind w:left="124"/>
              <w:spacing w:after="0" w:line="203" w:lineRule="exact"/>
              <w:rPr>
                <w:sz w:val="20"/>
                <w:szCs w:val="20"/>
                <w:color w:val="auto"/>
              </w:rPr>
            </w:pPr>
            <w:r>
              <w:rPr>
                <w:rFonts w:ascii="Arial" w:cs="Arial" w:eastAsia="Arial" w:hAnsi="Arial"/>
                <w:sz w:val="14"/>
                <w:szCs w:val="14"/>
                <w:b w:val="1"/>
                <w:bCs w:val="1"/>
                <w:color w:val="auto"/>
                <w:w w:val="81"/>
              </w:rPr>
              <w:t>Commissions</w:t>
            </w:r>
            <w:r>
              <w:rPr>
                <w:rFonts w:ascii="Arial" w:cs="Arial" w:eastAsia="Arial" w:hAnsi="Arial"/>
                <w:sz w:val="22"/>
                <w:szCs w:val="22"/>
                <w:b w:val="1"/>
                <w:bCs w:val="1"/>
                <w:color w:val="auto"/>
                <w:w w:val="81"/>
                <w:vertAlign w:val="superscript"/>
              </w:rPr>
              <w:t>(1)</w:t>
            </w:r>
          </w:p>
        </w:tc>
        <w:tc>
          <w:tcPr>
            <w:tcW w:w="1340" w:type="dxa"/>
            <w:vAlign w:val="bottom"/>
          </w:tcPr>
          <w:p>
            <w:pPr>
              <w:jc w:val="right"/>
              <w:ind w:right="142"/>
              <w:spacing w:after="0"/>
              <w:rPr>
                <w:sz w:val="20"/>
                <w:szCs w:val="20"/>
                <w:color w:val="auto"/>
              </w:rPr>
            </w:pPr>
            <w:r>
              <w:rPr>
                <w:rFonts w:ascii="Arial" w:cs="Arial" w:eastAsia="Arial" w:hAnsi="Arial"/>
                <w:sz w:val="14"/>
                <w:szCs w:val="14"/>
                <w:b w:val="1"/>
                <w:bCs w:val="1"/>
                <w:color w:val="auto"/>
              </w:rPr>
              <w:t>MongoDB</w:t>
            </w:r>
          </w:p>
        </w:tc>
        <w:tc>
          <w:tcPr>
            <w:tcW w:w="306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3"/>
              </w:rPr>
              <w:t>Stockholders</w:t>
            </w: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Per Share</w:t>
            </w:r>
          </w:p>
        </w:tc>
        <w:tc>
          <w:tcPr>
            <w:tcW w:w="2260" w:type="dxa"/>
            <w:vAlign w:val="bottom"/>
            <w:tcBorders>
              <w:top w:val="single" w:sz="8" w:color="auto"/>
            </w:tcBorders>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tcBorders>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16"/>
        </w:trPr>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jc w:val="right"/>
              <w:ind w:right="1099"/>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04"/>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98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122"/>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r>
      <w:tr>
        <w:trPr>
          <w:trHeight w:val="21"/>
        </w:trPr>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940" w:type="dxa"/>
            <w:vAlign w:val="bottom"/>
            <w:tcBorders>
              <w:bottom w:val="single" w:sz="8" w:color="auto"/>
            </w:tcBorders>
            <w:gridSpan w:val="3"/>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0"/>
        </w:trPr>
        <w:tc>
          <w:tcPr>
            <w:tcW w:w="2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92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45"/>
        </w:trPr>
        <w:tc>
          <w:tcPr>
            <w:tcW w:w="240" w:type="dxa"/>
            <w:vAlign w:val="bottom"/>
          </w:tcPr>
          <w:p>
            <w:pPr>
              <w:spacing w:after="0"/>
              <w:rPr>
                <w:sz w:val="20"/>
                <w:szCs w:val="20"/>
                <w:color w:val="auto"/>
              </w:rPr>
            </w:pPr>
            <w:r>
              <w:rPr>
                <w:rFonts w:ascii="Arial" w:cs="Arial" w:eastAsia="Arial" w:hAnsi="Arial"/>
                <w:sz w:val="11"/>
                <w:szCs w:val="11"/>
                <w:color w:val="auto"/>
              </w:rPr>
              <w:t>(1)</w:t>
            </w:r>
          </w:p>
        </w:tc>
        <w:tc>
          <w:tcPr>
            <w:tcW w:w="5240" w:type="dxa"/>
            <w:vAlign w:val="bottom"/>
            <w:gridSpan w:val="4"/>
          </w:tcPr>
          <w:p>
            <w:pPr>
              <w:jc w:val="right"/>
              <w:ind w:right="199"/>
              <w:spacing w:after="0"/>
              <w:rPr>
                <w:sz w:val="20"/>
                <w:szCs w:val="20"/>
                <w:color w:val="auto"/>
              </w:rPr>
            </w:pPr>
            <w:r>
              <w:rPr>
                <w:rFonts w:ascii="Arial" w:cs="Arial" w:eastAsia="Arial" w:hAnsi="Arial"/>
                <w:sz w:val="14"/>
                <w:szCs w:val="14"/>
                <w:color w:val="auto"/>
                <w:w w:val="93"/>
              </w:rPr>
              <w:t>See "Underwriting" for a description of the compensation payable to the underwriters.</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11"/>
        </w:trPr>
        <w:tc>
          <w:tcPr>
            <w:tcW w:w="240" w:type="dxa"/>
            <w:vAlign w:val="bottom"/>
          </w:tcPr>
          <w:p>
            <w:pPr>
              <w:spacing w:after="0"/>
              <w:rPr>
                <w:sz w:val="24"/>
                <w:szCs w:val="24"/>
                <w:color w:val="auto"/>
              </w:rPr>
            </w:pPr>
          </w:p>
        </w:tc>
        <w:tc>
          <w:tcPr>
            <w:tcW w:w="8040" w:type="dxa"/>
            <w:vAlign w:val="bottom"/>
            <w:gridSpan w:val="6"/>
          </w:tcPr>
          <w:p>
            <w:pPr>
              <w:jc w:val="right"/>
              <w:ind w:right="642"/>
              <w:spacing w:after="0"/>
              <w:rPr>
                <w:sz w:val="20"/>
                <w:szCs w:val="20"/>
                <w:color w:val="auto"/>
              </w:rPr>
            </w:pPr>
            <w:r>
              <w:rPr>
                <w:rFonts w:ascii="Arial" w:cs="Arial" w:eastAsia="Arial" w:hAnsi="Arial"/>
                <w:sz w:val="18"/>
                <w:szCs w:val="18"/>
                <w:color w:val="auto"/>
                <w:w w:val="89"/>
              </w:rPr>
              <w:t>We and the selling stockholders have granted the underwriters the right to purchase up to an additional</w:t>
            </w:r>
          </w:p>
        </w:tc>
        <w:tc>
          <w:tcPr>
            <w:tcW w:w="3060" w:type="dxa"/>
            <w:vAlign w:val="bottom"/>
            <w:gridSpan w:val="2"/>
          </w:tcPr>
          <w:p>
            <w:pPr>
              <w:ind w:left="160"/>
              <w:spacing w:after="0"/>
              <w:rPr>
                <w:sz w:val="20"/>
                <w:szCs w:val="20"/>
                <w:color w:val="auto"/>
              </w:rPr>
            </w:pPr>
            <w:r>
              <w:rPr>
                <w:rFonts w:ascii="Arial" w:cs="Arial" w:eastAsia="Arial" w:hAnsi="Arial"/>
                <w:sz w:val="18"/>
                <w:szCs w:val="18"/>
                <w:color w:val="auto"/>
                <w:w w:val="86"/>
              </w:rPr>
              <w:t>shares of Class A common stock to cover</w:t>
            </w:r>
          </w:p>
        </w:tc>
      </w:tr>
      <w:tr>
        <w:trPr>
          <w:trHeight w:val="222"/>
        </w:trPr>
        <w:tc>
          <w:tcPr>
            <w:tcW w:w="3220" w:type="dxa"/>
            <w:vAlign w:val="bottom"/>
            <w:gridSpan w:val="4"/>
          </w:tcPr>
          <w:p>
            <w:pPr>
              <w:spacing w:after="0"/>
              <w:rPr>
                <w:sz w:val="20"/>
                <w:szCs w:val="20"/>
                <w:color w:val="auto"/>
              </w:rPr>
            </w:pPr>
            <w:r>
              <w:rPr>
                <w:rFonts w:ascii="Arial" w:cs="Arial" w:eastAsia="Arial" w:hAnsi="Arial"/>
                <w:sz w:val="18"/>
                <w:szCs w:val="18"/>
                <w:color w:val="auto"/>
              </w:rPr>
              <w:t>over-allotments.</w:t>
            </w:r>
          </w:p>
        </w:tc>
        <w:tc>
          <w:tcPr>
            <w:tcW w:w="2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10"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6800" w:type="dxa"/>
            <w:vAlign w:val="bottom"/>
            <w:gridSpan w:val="2"/>
          </w:tcPr>
          <w:p>
            <w:pPr>
              <w:spacing w:after="0"/>
              <w:rPr>
                <w:sz w:val="20"/>
                <w:szCs w:val="20"/>
                <w:color w:val="auto"/>
              </w:rPr>
            </w:pPr>
            <w:r>
              <w:rPr>
                <w:rFonts w:ascii="Arial" w:cs="Arial" w:eastAsia="Arial" w:hAnsi="Arial"/>
                <w:sz w:val="18"/>
                <w:szCs w:val="18"/>
                <w:color w:val="auto"/>
                <w:w w:val="95"/>
              </w:rPr>
              <w:t>The underwriters expect to deliver the shares of Class A common stock to purchasers on</w:t>
            </w:r>
          </w:p>
        </w:tc>
        <w:tc>
          <w:tcPr>
            <w:tcW w:w="1460" w:type="dxa"/>
            <w:vAlign w:val="bottom"/>
          </w:tcPr>
          <w:p>
            <w:pPr>
              <w:jc w:val="right"/>
              <w:spacing w:after="0"/>
              <w:rPr>
                <w:sz w:val="20"/>
                <w:szCs w:val="20"/>
                <w:color w:val="auto"/>
              </w:rPr>
            </w:pPr>
            <w:r>
              <w:rPr>
                <w:rFonts w:ascii="Arial" w:cs="Arial" w:eastAsia="Arial" w:hAnsi="Arial"/>
                <w:sz w:val="18"/>
                <w:szCs w:val="18"/>
                <w:color w:val="auto"/>
              </w:rPr>
              <w:t>, 2017.</w:t>
            </w:r>
          </w:p>
        </w:tc>
      </w:tr>
      <w:tr>
        <w:trPr>
          <w:trHeight w:val="218"/>
        </w:trPr>
        <w:tc>
          <w:tcPr>
            <w:tcW w:w="394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r>
    </w:tbl>
    <w:p>
      <w:pPr>
        <w:sectPr>
          <w:pgSz w:w="11900" w:h="16838" w:orient="portrait"/>
          <w:cols w:equalWidth="0" w:num="1">
            <w:col w:w="11380"/>
          </w:cols>
          <w:pgMar w:left="240" w:top="131" w:right="279" w:bottom="198"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0"/>
                <w:szCs w:val="20"/>
                <w:color w:val="auto"/>
              </w:rPr>
            </w:pPr>
            <w:r>
              <w:rPr>
                <w:rFonts w:ascii="Arial" w:cs="Arial" w:eastAsia="Arial" w:hAnsi="Arial"/>
                <w:sz w:val="22"/>
                <w:szCs w:val="22"/>
                <w:b w:val="1"/>
                <w:bCs w:val="1"/>
                <w:color w:val="auto"/>
              </w:rPr>
              <w:t>Morgan Stanley</w:t>
            </w:r>
          </w:p>
        </w:tc>
        <w:tc>
          <w:tcPr>
            <w:tcW w:w="4420" w:type="dxa"/>
            <w:vAlign w:val="bottom"/>
          </w:tcPr>
          <w:p>
            <w:pPr>
              <w:ind w:left="840"/>
              <w:spacing w:after="0"/>
              <w:rPr>
                <w:sz w:val="20"/>
                <w:szCs w:val="20"/>
                <w:color w:val="auto"/>
              </w:rPr>
            </w:pPr>
            <w:r>
              <w:rPr>
                <w:rFonts w:ascii="Arial" w:cs="Arial" w:eastAsia="Arial" w:hAnsi="Arial"/>
                <w:sz w:val="22"/>
                <w:szCs w:val="22"/>
                <w:b w:val="1"/>
                <w:bCs w:val="1"/>
                <w:color w:val="auto"/>
              </w:rPr>
              <w:t>Goldman Sachs &amp; Co. LLC</w:t>
            </w:r>
          </w:p>
        </w:tc>
        <w:tc>
          <w:tcPr>
            <w:tcW w:w="1720" w:type="dxa"/>
            <w:vAlign w:val="bottom"/>
          </w:tcPr>
          <w:p>
            <w:pPr>
              <w:ind w:left="120"/>
              <w:spacing w:after="0"/>
              <w:rPr>
                <w:sz w:val="20"/>
                <w:szCs w:val="20"/>
                <w:color w:val="auto"/>
              </w:rPr>
            </w:pPr>
            <w:r>
              <w:rPr>
                <w:rFonts w:ascii="Arial" w:cs="Arial" w:eastAsia="Arial" w:hAnsi="Arial"/>
                <w:sz w:val="22"/>
                <w:szCs w:val="22"/>
                <w:b w:val="1"/>
                <w:bCs w:val="1"/>
                <w:color w:val="auto"/>
              </w:rPr>
              <w:t>Barclays</w:t>
            </w: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Allen &amp; Company LLC</w:t>
            </w:r>
          </w:p>
        </w:tc>
      </w:tr>
      <w:tr>
        <w:trPr>
          <w:trHeight w:val="281"/>
        </w:trPr>
        <w:tc>
          <w:tcPr>
            <w:tcW w:w="2320" w:type="dxa"/>
            <w:vAlign w:val="bottom"/>
          </w:tcPr>
          <w:p>
            <w:pPr>
              <w:spacing w:after="0"/>
              <w:rPr>
                <w:sz w:val="20"/>
                <w:szCs w:val="20"/>
                <w:color w:val="auto"/>
              </w:rPr>
            </w:pPr>
            <w:r>
              <w:rPr>
                <w:rFonts w:ascii="Arial" w:cs="Arial" w:eastAsia="Arial" w:hAnsi="Arial"/>
                <w:sz w:val="22"/>
                <w:szCs w:val="22"/>
                <w:b w:val="1"/>
                <w:bCs w:val="1"/>
                <w:color w:val="auto"/>
              </w:rPr>
              <w:t>Stifel</w:t>
            </w:r>
          </w:p>
        </w:tc>
        <w:tc>
          <w:tcPr>
            <w:tcW w:w="4420" w:type="dxa"/>
            <w:vAlign w:val="bottom"/>
          </w:tcPr>
          <w:p>
            <w:pPr>
              <w:ind w:left="2500"/>
              <w:spacing w:after="0"/>
              <w:rPr>
                <w:sz w:val="20"/>
                <w:szCs w:val="20"/>
                <w:color w:val="auto"/>
              </w:rPr>
            </w:pPr>
            <w:r>
              <w:rPr>
                <w:rFonts w:ascii="Arial" w:cs="Arial" w:eastAsia="Arial" w:hAnsi="Arial"/>
                <w:sz w:val="22"/>
                <w:szCs w:val="22"/>
                <w:b w:val="1"/>
                <w:bCs w:val="1"/>
                <w:color w:val="auto"/>
                <w:w w:val="94"/>
              </w:rPr>
              <w:t>Canaccord Genuity</w:t>
            </w:r>
          </w:p>
        </w:tc>
        <w:tc>
          <w:tcPr>
            <w:tcW w:w="1720" w:type="dxa"/>
            <w:vAlign w:val="bottom"/>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22"/>
                <w:szCs w:val="22"/>
                <w:b w:val="1"/>
                <w:bCs w:val="1"/>
                <w:color w:val="auto"/>
              </w:rPr>
              <w:t>JMP Securities</w:t>
            </w:r>
          </w:p>
        </w:tc>
      </w:tr>
      <w:tr>
        <w:trPr>
          <w:trHeight w:val="704"/>
        </w:trPr>
        <w:tc>
          <w:tcPr>
            <w:tcW w:w="2320" w:type="dxa"/>
            <w:vAlign w:val="bottom"/>
          </w:tcPr>
          <w:p>
            <w:pPr>
              <w:jc w:val="right"/>
              <w:ind w:right="899"/>
              <w:spacing w:after="0"/>
              <w:rPr>
                <w:sz w:val="20"/>
                <w:szCs w:val="20"/>
                <w:color w:val="auto"/>
              </w:rPr>
            </w:pPr>
            <w:r>
              <w:rPr>
                <w:rFonts w:ascii="Arial" w:cs="Arial" w:eastAsia="Arial" w:hAnsi="Arial"/>
                <w:sz w:val="18"/>
                <w:szCs w:val="18"/>
                <w:color w:val="auto"/>
              </w:rPr>
              <w:t>, 2017</w:t>
            </w:r>
          </w:p>
        </w:tc>
        <w:tc>
          <w:tcPr>
            <w:tcW w:w="4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28"/>
        </w:trPr>
        <w:tc>
          <w:tcPr>
            <w:tcW w:w="232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2"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gridSpan w:val="10"/>
            <w:vMerge w:val="restart"/>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7060" w:type="dxa"/>
            <w:vAlign w:val="bottom"/>
            <w:gridSpan w:val="14"/>
            <w:vMerge w:val="restart"/>
          </w:tcPr>
          <w:p>
            <w:pPr>
              <w:spacing w:after="0"/>
              <w:rPr>
                <w:sz w:val="14"/>
                <w:szCs w:val="1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500" w:type="dxa"/>
            <w:vAlign w:val="bottom"/>
            <w:tcBorders>
              <w:bottom w:val="single" w:sz="8" w:color="0000EE"/>
            </w:tcBorders>
            <w:gridSpan w:val="10"/>
            <w:vMerge w:val="continue"/>
          </w:tcPr>
          <w:p>
            <w:pPr>
              <w:spacing w:after="0"/>
              <w:rPr>
                <w:sz w:val="14"/>
                <w:szCs w:val="14"/>
                <w:color w:val="auto"/>
              </w:rPr>
            </w:pPr>
          </w:p>
        </w:tc>
        <w:tc>
          <w:tcPr>
            <w:tcW w:w="7060" w:type="dxa"/>
            <w:vAlign w:val="bottom"/>
            <w:gridSpan w:val="14"/>
            <w:vMerge w:val="continue"/>
          </w:tcPr>
          <w:p>
            <w:pPr>
              <w:spacing w:after="0"/>
              <w:rPr>
                <w:sz w:val="14"/>
                <w:szCs w:val="14"/>
                <w:color w:val="auto"/>
              </w:rPr>
            </w:pPr>
          </w:p>
        </w:tc>
        <w:tc>
          <w:tcPr>
            <w:tcW w:w="320" w:type="dxa"/>
            <w:vAlign w:val="bottom"/>
            <w:gridSpan w:val="3"/>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7660" w:type="dxa"/>
            <w:vAlign w:val="bottom"/>
            <w:gridSpan w:val="20"/>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380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53">
              <w:r>
                <w:rPr>
                  <w:rFonts w:ascii="Arial" w:cs="Arial" w:eastAsia="Arial" w:hAnsi="Arial"/>
                  <w:sz w:val="18"/>
                  <w:szCs w:val="18"/>
                  <w:color w:val="0000EE"/>
                  <w:w w:val="88"/>
                </w:rPr>
                <w:t>Special Note Regarding Forward-Looking Statements</w:t>
              </w:r>
            </w:hyperlink>
          </w:p>
        </w:tc>
        <w:tc>
          <w:tcPr>
            <w:tcW w:w="4760" w:type="dxa"/>
            <w:vAlign w:val="bottom"/>
            <w:gridSpan w:val="4"/>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48</w:t>
              </w:r>
            </w:hyperlink>
          </w:p>
        </w:tc>
        <w:tc>
          <w:tcPr>
            <w:tcW w:w="0" w:type="dxa"/>
            <w:vAlign w:val="bottom"/>
          </w:tcPr>
          <w:p>
            <w:pPr>
              <w:spacing w:after="0"/>
              <w:rPr>
                <w:sz w:val="1"/>
                <w:szCs w:val="1"/>
                <w:color w:val="auto"/>
              </w:rPr>
            </w:pPr>
          </w:p>
        </w:tc>
      </w:tr>
      <w:tr>
        <w:trPr>
          <w:trHeight w:val="196"/>
        </w:trPr>
        <w:tc>
          <w:tcPr>
            <w:tcW w:w="18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Industry and Market Data</w:t>
              </w:r>
            </w:hyperlink>
          </w:p>
        </w:tc>
        <w:tc>
          <w:tcPr>
            <w:tcW w:w="6740" w:type="dxa"/>
            <w:vAlign w:val="bottom"/>
            <w:gridSpan w:val="1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49</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Use of Proceeds</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50</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Dividend Policy</w:t>
              </w:r>
            </w:hyperlink>
          </w:p>
        </w:tc>
        <w:tc>
          <w:tcPr>
            <w:tcW w:w="7400" w:type="dxa"/>
            <w:vAlign w:val="bottom"/>
            <w:gridSpan w:val="15"/>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Capitalization</w:t>
              </w:r>
            </w:hyperlink>
          </w:p>
        </w:tc>
        <w:tc>
          <w:tcPr>
            <w:tcW w:w="7560" w:type="dxa"/>
            <w:vAlign w:val="bottom"/>
            <w:gridSpan w:val="16"/>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52</w:t>
              </w:r>
            </w:hyperlink>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60">
              <w:r>
                <w:rPr>
                  <w:rFonts w:ascii="Arial" w:cs="Arial" w:eastAsia="Arial" w:hAnsi="Arial"/>
                  <w:sz w:val="18"/>
                  <w:szCs w:val="18"/>
                  <w:color w:val="0000EE"/>
                  <w:w w:val="96"/>
                </w:rPr>
                <w:t>Dilution</w:t>
              </w:r>
            </w:hyperlink>
          </w:p>
        </w:tc>
        <w:tc>
          <w:tcPr>
            <w:tcW w:w="7960" w:type="dxa"/>
            <w:vAlign w:val="bottom"/>
            <w:gridSpan w:val="22"/>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55</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Selected Consolidated Financial Data</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Management's Discussion and Analysis of Financial Condition and Results of Operations</w:t>
              </w:r>
            </w:hyperlink>
          </w:p>
        </w:tc>
        <w:tc>
          <w:tcPr>
            <w:tcW w:w="2260" w:type="dxa"/>
            <w:vAlign w:val="bottom"/>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89">
              <w:r>
                <w:rPr>
                  <w:rFonts w:ascii="Arial" w:cs="Arial" w:eastAsia="Arial" w:hAnsi="Arial"/>
                  <w:sz w:val="18"/>
                  <w:szCs w:val="18"/>
                  <w:color w:val="0000EE"/>
                  <w:w w:val="84"/>
                </w:rPr>
                <w:t>Business</w:t>
              </w:r>
            </w:hyperlink>
          </w:p>
        </w:tc>
        <w:tc>
          <w:tcPr>
            <w:tcW w:w="7920" w:type="dxa"/>
            <w:vAlign w:val="bottom"/>
            <w:gridSpan w:val="21"/>
          </w:tcPr>
          <w:p>
            <w:pPr>
              <w:spacing w:after="0"/>
              <w:rPr>
                <w:sz w:val="17"/>
                <w:szCs w:val="17"/>
                <w:color w:val="auto"/>
              </w:rPr>
            </w:pPr>
          </w:p>
        </w:tc>
        <w:tc>
          <w:tcPr>
            <w:tcW w:w="2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84</w:t>
              </w:r>
            </w:hyperlink>
          </w:p>
        </w:tc>
        <w:tc>
          <w:tcPr>
            <w:tcW w:w="0" w:type="dxa"/>
            <w:vAlign w:val="bottom"/>
          </w:tcPr>
          <w:p>
            <w:pPr>
              <w:spacing w:after="0"/>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Management</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99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Executive Compensation</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107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w w:val="87"/>
              </w:rPr>
            </w:pPr>
            <w:hyperlink w:anchor="page126">
              <w:r>
                <w:rPr>
                  <w:rFonts w:ascii="Arial" w:cs="Arial" w:eastAsia="Arial" w:hAnsi="Arial"/>
                  <w:sz w:val="18"/>
                  <w:szCs w:val="18"/>
                  <w:color w:val="0000EE"/>
                  <w:w w:val="87"/>
                </w:rPr>
                <w:t>Certain Relationships and Related Party Transactions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121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1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Principal and Selling Stockholders</w:t>
              </w:r>
            </w:hyperlink>
          </w:p>
        </w:tc>
        <w:tc>
          <w:tcPr>
            <w:tcW w:w="4800" w:type="dxa"/>
            <w:vAlign w:val="bottom"/>
            <w:gridSpan w:val="5"/>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124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gridSpan w:val="13"/>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Description of Capital Stock</w:t>
              </w:r>
            </w:hyperlink>
          </w:p>
        </w:tc>
        <w:tc>
          <w:tcPr>
            <w:tcW w:w="420" w:type="dxa"/>
            <w:vAlign w:val="bottom"/>
            <w:gridSpan w:val="2"/>
          </w:tcPr>
          <w:p>
            <w:pPr>
              <w:spacing w:after="0"/>
              <w:rPr>
                <w:sz w:val="17"/>
                <w:szCs w:val="17"/>
                <w:color w:val="auto"/>
              </w:rPr>
            </w:pPr>
          </w:p>
        </w:tc>
        <w:tc>
          <w:tcPr>
            <w:tcW w:w="6120" w:type="dxa"/>
            <w:vAlign w:val="bottom"/>
            <w:gridSpan w:val="9"/>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2">
              <w:r>
                <w:rPr>
                  <w:rFonts w:ascii="Arial" w:cs="Arial" w:eastAsia="Arial" w:hAnsi="Arial"/>
                  <w:sz w:val="18"/>
                  <w:szCs w:val="18"/>
                  <w:color w:val="0000EE"/>
                </w:rPr>
                <w:t>127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gridSpan w:val="14"/>
          </w:tcPr>
          <w:p>
            <w:pPr>
              <w:spacing w:after="0" w:line="196" w:lineRule="exact"/>
              <w:rPr>
                <w:rFonts w:ascii="Arial" w:cs="Arial" w:eastAsia="Arial" w:hAnsi="Arial"/>
                <w:sz w:val="18"/>
                <w:szCs w:val="18"/>
                <w:color w:val="0000EE"/>
                <w:w w:val="88"/>
              </w:rPr>
            </w:pPr>
            <w:hyperlink w:anchor="page138">
              <w:r>
                <w:rPr>
                  <w:rFonts w:ascii="Arial" w:cs="Arial" w:eastAsia="Arial" w:hAnsi="Arial"/>
                  <w:sz w:val="18"/>
                  <w:szCs w:val="18"/>
                  <w:color w:val="0000EE"/>
                  <w:w w:val="88"/>
                </w:rPr>
                <w:t>Shares Eligible for Future Sale</w:t>
              </w:r>
            </w:hyperlink>
          </w:p>
        </w:tc>
        <w:tc>
          <w:tcPr>
            <w:tcW w:w="638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38">
              <w:r>
                <w:rPr>
                  <w:rFonts w:ascii="Arial" w:cs="Arial" w:eastAsia="Arial" w:hAnsi="Arial"/>
                  <w:sz w:val="18"/>
                  <w:szCs w:val="18"/>
                  <w:color w:val="0000EE"/>
                </w:rPr>
                <w:t>133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Material U.S. Federal Income Tax Considerations for Non-U.S. Holders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136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10"/>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6"/>
          </w:tcPr>
          <w:p>
            <w:pPr>
              <w:spacing w:after="0" w:line="196" w:lineRule="exact"/>
              <w:rPr>
                <w:rFonts w:ascii="Arial" w:cs="Arial" w:eastAsia="Arial" w:hAnsi="Arial"/>
                <w:sz w:val="18"/>
                <w:szCs w:val="18"/>
                <w:color w:val="0000EE"/>
                <w:w w:val="93"/>
              </w:rPr>
            </w:pPr>
            <w:hyperlink w:anchor="page145">
              <w:r>
                <w:rPr>
                  <w:rFonts w:ascii="Arial" w:cs="Arial" w:eastAsia="Arial" w:hAnsi="Arial"/>
                  <w:sz w:val="18"/>
                  <w:szCs w:val="18"/>
                  <w:color w:val="0000EE"/>
                  <w:w w:val="93"/>
                </w:rPr>
                <w:t>Underwriting</w:t>
              </w:r>
            </w:hyperlink>
          </w:p>
        </w:tc>
        <w:tc>
          <w:tcPr>
            <w:tcW w:w="4100" w:type="dxa"/>
            <w:vAlign w:val="bottom"/>
            <w:gridSpan w:val="15"/>
          </w:tcPr>
          <w:p>
            <w:pPr>
              <w:spacing w:after="0"/>
              <w:rPr>
                <w:sz w:val="17"/>
                <w:szCs w:val="17"/>
                <w:color w:val="auto"/>
              </w:rPr>
            </w:pPr>
          </w:p>
        </w:tc>
        <w:tc>
          <w:tcPr>
            <w:tcW w:w="3500" w:type="dxa"/>
            <w:vAlign w:val="bottom"/>
            <w:gridSpan w:val="3"/>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140</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4"/>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gridSpan w:val="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Experts</w:t>
              </w:r>
            </w:hyperlink>
          </w:p>
        </w:tc>
        <w:tc>
          <w:tcPr>
            <w:tcW w:w="7580" w:type="dxa"/>
            <w:vAlign w:val="bottom"/>
            <w:gridSpan w:val="17"/>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147</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380" w:type="dxa"/>
            <w:vAlign w:val="bottom"/>
            <w:gridSpan w:val="6"/>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gridSpan w:val="18"/>
          </w:tcPr>
          <w:p>
            <w:pPr>
              <w:spacing w:after="0" w:line="196" w:lineRule="exact"/>
              <w:rPr>
                <w:rFonts w:ascii="Arial" w:cs="Arial" w:eastAsia="Arial" w:hAnsi="Arial"/>
                <w:sz w:val="18"/>
                <w:szCs w:val="18"/>
                <w:color w:val="0000EE"/>
                <w:w w:val="91"/>
              </w:rPr>
            </w:pPr>
            <w:hyperlink w:anchor="page152">
              <w:r>
                <w:rPr>
                  <w:rFonts w:ascii="Arial" w:cs="Arial" w:eastAsia="Arial" w:hAnsi="Arial"/>
                  <w:sz w:val="18"/>
                  <w:szCs w:val="18"/>
                  <w:color w:val="0000EE"/>
                  <w:w w:val="91"/>
                </w:rPr>
                <w:t>Where You Can Find Additional Information</w:t>
              </w:r>
            </w:hyperlink>
          </w:p>
        </w:tc>
        <w:tc>
          <w:tcPr>
            <w:tcW w:w="538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147</w:t>
              </w:r>
            </w:hyperlink>
          </w:p>
        </w:tc>
        <w:tc>
          <w:tcPr>
            <w:tcW w:w="0" w:type="dxa"/>
            <w:vAlign w:val="bottom"/>
          </w:tcPr>
          <w:p>
            <w:pPr>
              <w:spacing w:after="0"/>
              <w:rPr>
                <w:sz w:val="1"/>
                <w:szCs w:val="1"/>
                <w:color w:val="auto"/>
              </w:rPr>
            </w:pPr>
          </w:p>
        </w:tc>
      </w:tr>
      <w:tr>
        <w:trPr>
          <w:trHeight w:val="196"/>
        </w:trPr>
        <w:tc>
          <w:tcPr>
            <w:tcW w:w="3180" w:type="dxa"/>
            <w:vAlign w:val="bottom"/>
            <w:tcBorders>
              <w:top w:val="single" w:sz="8" w:color="0000EE"/>
            </w:tcBorders>
            <w:gridSpan w:val="18"/>
          </w:tcPr>
          <w:p>
            <w:pPr>
              <w:spacing w:after="0" w:line="196" w:lineRule="exact"/>
              <w:rPr>
                <w:rFonts w:ascii="Arial" w:cs="Arial" w:eastAsia="Arial" w:hAnsi="Arial"/>
                <w:sz w:val="18"/>
                <w:szCs w:val="18"/>
                <w:color w:val="0000EE"/>
                <w:w w:val="91"/>
              </w:rPr>
            </w:pPr>
            <w:hyperlink w:anchor="page153">
              <w:r>
                <w:rPr>
                  <w:rFonts w:ascii="Arial" w:cs="Arial" w:eastAsia="Arial" w:hAnsi="Arial"/>
                  <w:sz w:val="18"/>
                  <w:szCs w:val="18"/>
                  <w:color w:val="0000EE"/>
                  <w:w w:val="91"/>
                </w:rPr>
                <w:t>Index to Consolidated Financial Statements</w:t>
              </w:r>
            </w:hyperlink>
          </w:p>
        </w:tc>
        <w:tc>
          <w:tcPr>
            <w:tcW w:w="5380" w:type="dxa"/>
            <w:vAlign w:val="bottom"/>
            <w:gridSpan w:val="6"/>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1"/>
              </w:rPr>
            </w:pPr>
            <w:hyperlink w:anchor="page153">
              <w:r>
                <w:rPr>
                  <w:rFonts w:ascii="Arial" w:cs="Arial" w:eastAsia="Arial" w:hAnsi="Arial"/>
                  <w:sz w:val="18"/>
                  <w:szCs w:val="18"/>
                  <w:color w:val="0000EE"/>
                  <w:w w:val="81"/>
                </w:rPr>
                <w:t>F-1</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1" w:lineRule="auto"/>
        <w:rPr>
          <w:sz w:val="20"/>
          <w:szCs w:val="20"/>
          <w:color w:val="auto"/>
        </w:rPr>
      </w:pPr>
      <w:r>
        <w:rPr>
          <w:rFonts w:ascii="Arial" w:cs="Arial" w:eastAsia="Arial" w:hAnsi="Arial"/>
          <w:sz w:val="16"/>
          <w:szCs w:val="16"/>
          <w:color w:val="auto"/>
        </w:rPr>
        <w:t>You should rely only on the information contained in this document and any free writing prospectus we may authorize to be delivered or made available to you. We, the selling stockholders and the underwriters have not authorized anyone to provide any information or to make any representations other than those contained in this prospectus or in any free writing prospectus prepared by us or on our behalf.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 regardless of the time of delivery of this prospectus or any sale of shares of our Class A common stock.</w:t>
      </w:r>
    </w:p>
    <w:p>
      <w:pPr>
        <w:spacing w:after="0" w:line="168" w:lineRule="exact"/>
        <w:rPr>
          <w:sz w:val="20"/>
          <w:szCs w:val="20"/>
          <w:color w:val="auto"/>
        </w:rPr>
      </w:pPr>
    </w:p>
    <w:p>
      <w:pPr>
        <w:jc w:val="both"/>
        <w:ind w:right="60" w:firstLine="351"/>
        <w:spacing w:after="0" w:line="310" w:lineRule="auto"/>
        <w:rPr>
          <w:sz w:val="20"/>
          <w:szCs w:val="20"/>
          <w:color w:val="auto"/>
        </w:rPr>
      </w:pPr>
      <w:r>
        <w:rPr>
          <w:rFonts w:ascii="Arial" w:cs="Arial" w:eastAsia="Arial" w:hAnsi="Arial"/>
          <w:sz w:val="16"/>
          <w:szCs w:val="16"/>
          <w:b w:val="1"/>
          <w:bCs w:val="1"/>
          <w:color w:val="auto"/>
        </w:rPr>
        <w:t>Through and including , 2017 (25 days after the date of this prospectus), all dealers that effect transactions in our Class A common stock, whether or not participating in this offering, may be required to deliver a prospectus. This delivery requirement is in addition to the dealer's obligation to deliver a prospectus when acting as an underwriter and with respect to unsold allotments or subscriptions.</w:t>
      </w:r>
    </w:p>
    <w:p>
      <w:pPr>
        <w:spacing w:after="0" w:line="15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For investors outside the United States: We, the selling stockholders and the underwriters have not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47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31" w:lineRule="exact"/>
        <w:rPr>
          <w:sz w:val="20"/>
          <w:szCs w:val="20"/>
          <w:color w:val="auto"/>
        </w:rPr>
      </w:pPr>
    </w:p>
    <w:p>
      <w:pPr>
        <w:ind w:left="240" w:right="180" w:firstLine="351"/>
        <w:spacing w:after="0" w:line="291"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does not contain all of the information that you should consider in making your investment decision. Before investing in our Class A common stock, you should carefully read this entire prospectus, including our consolidated financial statements and the related notes included elsewhere in this prospectus and the information set forth under the sections titled "Risk Factors," "Special Note Regarding Forward-Looking Statements," and "Management's Discussion and Analysis of Financial Condition and Results of Operations." Unless the context otherwise requires, we use the terms "MongoDB," "company," "our," "us," and "we" in this prospectus to refer to MongoDB, Inc. and, where appropriate, our consolidated subsidiaries. Our fiscal year ends January 31.</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20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left="240" w:right="240" w:firstLine="342"/>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left="240" w:firstLine="351"/>
        <w:spacing w:after="0" w:line="287"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77" w:lineRule="exact"/>
        <w:rPr>
          <w:sz w:val="20"/>
          <w:szCs w:val="20"/>
          <w:color w:val="auto"/>
        </w:rPr>
      </w:pPr>
    </w:p>
    <w:p>
      <w:pPr>
        <w:ind w:left="240" w:right="300" w:firstLine="351"/>
        <w:spacing w:after="0" w:line="268" w:lineRule="auto"/>
        <w:rPr>
          <w:sz w:val="20"/>
          <w:szCs w:val="20"/>
          <w:color w:val="auto"/>
        </w:rPr>
      </w:pPr>
      <w:r>
        <w:rPr>
          <w:rFonts w:ascii="Arial" w:cs="Arial" w:eastAsia="Arial" w:hAnsi="Arial"/>
          <w:sz w:val="18"/>
          <w:szCs w:val="18"/>
          <w:color w:val="auto"/>
        </w:rPr>
        <w:t>Our unique platform architecture combines the best of both relational and non-relational databases. We believe our core platform differentiation is driven by our ability to address the needs of</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0674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6" w:lineRule="auto"/>
        <w:rPr>
          <w:sz w:val="20"/>
          <w:szCs w:val="20"/>
          <w:color w:val="auto"/>
        </w:rPr>
      </w:pPr>
      <w:r>
        <w:rPr>
          <w:rFonts w:ascii="Arial" w:cs="Arial" w:eastAsia="Arial" w:hAnsi="Arial"/>
          <w:sz w:val="18"/>
          <w:szCs w:val="18"/>
          <w:color w:val="auto"/>
        </w:rPr>
        <w:t>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97"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believe we have a highly differentiated business model. Our platform is offered under a software subscription business model, with subscription revenue accounting for 90% of our total revenue in both fiscal year 2017 and the three months ended April 30, 2017.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 10 million times in the last 12 months alone. We provide our platform under a licensing model that protects our intellectual property and supports our software subscription business model.</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countries, compared to over 1,700 and 3,200 customers as of January 31, 2016 and 2017, respectively. Our customers include half of the Global Fortune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100 companies. As of April 30, 2017, we had over 1,300 customers that were sold through our direct sales force and channel partners, as compared to over</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900 and over 1,200 such customers as of January 31, 2016 and 2017, respectively. These customers accounted for 97%, 95% and 93% of our subscription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revenue for the fiscal years ended January 31, 2016 and 2017 and the three months ended April 30, 2017, respectively. For the fiscal years ended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January 31, 2015, 2016 and 2017, our total revenue was $40.8 million, $65.3 million and $101.4 million, respectively, representing year-over-year growth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of 60% for fiscal year 2016 and 55% for fiscal year 2017. For the three months ended April 30, 2017, our total revenue was $32.4 million, representing a</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51% increase over revenue for the three months ended April 30, 2016. We believe our net annual recurring revenue, or ARR, expansion rate, which has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been over 120% for each of the last nine fiscal quarters, demonstrates the attractiveness of our platform to our customers. See the section titled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"Management's Discussion and Analysis of Financial Condition and Results of Operations—Cohort Analysis" for a description of ARR and a discussion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ARR expansion rate. Our net loss was $76.7 million, $73.5 million, $86.7 million and $19.7 million, for fiscal years 2015, 2016 and 2017 and the three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months ended April 30, 2017, respectively. Our operating cash flow was $(62.0) million, $(47.0) million, $(38.1) million and $(11.7) million, for fiscal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years 2015, 2016 and 2017 and the three months ended April 30, 2017, respectively. Our free cash flow was $(64.7) million, $(47.4) million,</w:t>
      </w:r>
    </w:p>
    <w:p>
      <w:pPr>
        <w:spacing w:after="0" w:line="32" w:lineRule="exact"/>
        <w:rPr>
          <w:sz w:val="20"/>
          <w:szCs w:val="20"/>
          <w:color w:val="auto"/>
        </w:rPr>
      </w:pPr>
    </w:p>
    <w:p>
      <w:pPr>
        <w:jc w:val="both"/>
        <w:ind w:left="240" w:right="300"/>
        <w:spacing w:after="0" w:line="255" w:lineRule="auto"/>
        <w:rPr>
          <w:sz w:val="20"/>
          <w:szCs w:val="20"/>
          <w:color w:val="auto"/>
        </w:rPr>
      </w:pPr>
      <w:r>
        <w:rPr>
          <w:rFonts w:ascii="Arial" w:cs="Arial" w:eastAsia="Arial" w:hAnsi="Arial"/>
          <w:sz w:val="18"/>
          <w:szCs w:val="18"/>
          <w:color w:val="auto"/>
        </w:rPr>
        <w:t>$(39.8) million and $(12.4) million, for fiscal years 2015, 2016 and 2017 and the three months ended April 30, 2017, respectively. See the section titled "Management's Discussion and Analysis of Financial Condition and Results of Operations—Liquidity and Capital Resources—Non-GAAP Free Cash Flow."</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left="240" w:right="18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left="240" w:right="60" w:firstLine="351"/>
        <w:spacing w:after="0" w:line="259"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such as entertainment, financial services, healthcare, hospitality, lodging, retail and transportation. At the same time, more traditional companies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160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660"/>
        <w:spacing w:after="0" w:line="332" w:lineRule="auto"/>
        <w:rPr>
          <w:sz w:val="20"/>
          <w:szCs w:val="20"/>
          <w:color w:val="auto"/>
        </w:rPr>
      </w:pPr>
      <w:r>
        <w:rPr>
          <w:rFonts w:ascii="Arial" w:cs="Arial" w:eastAsia="Arial" w:hAnsi="Arial"/>
          <w:sz w:val="16"/>
          <w:szCs w:val="16"/>
          <w:color w:val="auto"/>
        </w:rPr>
        <w:t>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left="240" w:right="120" w:firstLine="342"/>
        <w:spacing w:after="0" w:line="306" w:lineRule="auto"/>
        <w:rPr>
          <w:sz w:val="20"/>
          <w:szCs w:val="20"/>
          <w:color w:val="auto"/>
        </w:rPr>
      </w:pPr>
      <w:r>
        <w:rPr>
          <w:rFonts w:ascii="Arial" w:cs="Arial" w:eastAsia="Arial" w:hAnsi="Arial"/>
          <w:sz w:val="16"/>
          <w:szCs w:val="16"/>
          <w:color w:val="auto"/>
        </w:rPr>
        <w:t>As software applications have become essential to all businesses,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61" w:lineRule="exact"/>
        <w:rPr>
          <w:sz w:val="20"/>
          <w:szCs w:val="20"/>
          <w:color w:val="auto"/>
        </w:rPr>
      </w:pPr>
    </w:p>
    <w:p>
      <w:pPr>
        <w:ind w:left="240" w:right="540" w:firstLine="351"/>
        <w:spacing w:after="0" w:line="332" w:lineRule="auto"/>
        <w:rPr>
          <w:sz w:val="20"/>
          <w:szCs w:val="20"/>
          <w:color w:val="auto"/>
        </w:rPr>
      </w:pPr>
      <w:r>
        <w:rPr>
          <w:rFonts w:ascii="Arial" w:cs="Arial" w:eastAsia="Arial" w:hAnsi="Arial"/>
          <w:sz w:val="16"/>
          <w:szCs w:val="16"/>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Large organizations can have tens of thousands of applications and associated databases.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left="240" w:right="60" w:firstLine="348"/>
        <w:spacing w:after="0" w:line="290"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jc w:val="both"/>
        <w:ind w:left="240" w:right="20" w:firstLine="351"/>
        <w:spacing w:after="0" w:line="298" w:lineRule="auto"/>
        <w:rPr>
          <w:sz w:val="20"/>
          <w:szCs w:val="20"/>
          <w:color w:val="auto"/>
        </w:rPr>
      </w:pPr>
      <w:r>
        <w:rPr>
          <w:rFonts w:ascii="Arial" w:cs="Arial" w:eastAsia="Arial" w:hAnsi="Arial"/>
          <w:sz w:val="16"/>
          <w:szCs w:val="16"/>
          <w:color w:val="auto"/>
        </w:rPr>
        <w:t>Organizations worldwide are undergoing a fundamental modernization of legacy IT infrastructure and rapidly adopting cloud or hybrid architectures.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ind w:left="240" w:right="120" w:firstLine="351"/>
        <w:spacing w:after="0" w:line="259"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 efficient access to data, guarantees of data integrity and valuable enterprise-oriented features, including management tools and integrations. These core capabilities remain important today.</w:t>
      </w:r>
    </w:p>
    <w:p>
      <w:pPr>
        <w:spacing w:after="0" w:line="194" w:lineRule="exact"/>
        <w:rPr>
          <w:sz w:val="20"/>
          <w:szCs w:val="20"/>
          <w:color w:val="auto"/>
        </w:rPr>
      </w:pPr>
    </w:p>
    <w:p>
      <w:pPr>
        <w:ind w:left="240" w:right="620" w:firstLine="348"/>
        <w:spacing w:after="0" w:line="268" w:lineRule="auto"/>
        <w:rPr>
          <w:sz w:val="20"/>
          <w:szCs w:val="20"/>
          <w:color w:val="auto"/>
        </w:rPr>
      </w:pPr>
      <w:r>
        <w:rPr>
          <w:rFonts w:ascii="Arial" w:cs="Arial" w:eastAsia="Arial" w:hAnsi="Arial"/>
          <w:sz w:val="18"/>
          <w:szCs w:val="18"/>
          <w:color w:val="auto"/>
        </w:rPr>
        <w:t>The underlying architecture of relational databases, however, remains largely unchanged even though the nature of applications, how they are deployed and their role in business have evolved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160"/>
        <w:spacing w:after="0" w:line="291" w:lineRule="auto"/>
        <w:rPr>
          <w:sz w:val="20"/>
          <w:szCs w:val="20"/>
          <w:color w:val="auto"/>
        </w:rPr>
      </w:pPr>
      <w:r>
        <w:rPr>
          <w:rFonts w:ascii="Arial" w:cs="Arial" w:eastAsia="Arial" w:hAnsi="Arial"/>
          <w:sz w:val="16"/>
          <w:szCs w:val="16"/>
          <w:color w:val="auto"/>
        </w:rPr>
        <w:t>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4" w:lineRule="exact"/>
        <w:rPr>
          <w:sz w:val="20"/>
          <w:szCs w:val="20"/>
          <w:color w:val="auto"/>
        </w:rPr>
      </w:pPr>
    </w:p>
    <w:p>
      <w:pPr>
        <w:ind w:left="240" w:right="20" w:firstLine="342"/>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jc w:val="both"/>
        <w:ind w:left="240" w:right="200" w:firstLine="348"/>
        <w:spacing w:after="0" w:line="298" w:lineRule="auto"/>
        <w:rPr>
          <w:sz w:val="20"/>
          <w:szCs w:val="20"/>
          <w:color w:val="auto"/>
        </w:rPr>
      </w:pPr>
      <w:r>
        <w:rPr>
          <w:rFonts w:ascii="Arial" w:cs="Arial" w:eastAsia="Arial" w:hAnsi="Arial"/>
          <w:sz w:val="16"/>
          <w:szCs w:val="16"/>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 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4" w:lineRule="exact"/>
        <w:rPr>
          <w:sz w:val="20"/>
          <w:szCs w:val="20"/>
          <w:color w:val="auto"/>
        </w:rPr>
      </w:pPr>
    </w:p>
    <w:p>
      <w:pPr>
        <w:ind w:left="240" w:right="20" w:firstLine="351"/>
        <w:spacing w:after="0" w:line="288"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benefits of 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 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of our total revenue in both fiscal year 2017 and the three months ended April 30, 2017. The economic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color w:val="auto"/>
        </w:rPr>
        <w:t>attractiveness of our subscription-based model is driven by customer renewals and increasing existing customer subscriptions over time, referred to as land-and-expand.</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left="240"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201" w:lineRule="exact"/>
        <w:rPr>
          <w:sz w:val="20"/>
          <w:szCs w:val="20"/>
          <w:color w:val="auto"/>
        </w:rPr>
      </w:pPr>
    </w:p>
    <w:p>
      <w:pPr>
        <w:ind w:left="1320" w:right="120" w:hanging="538"/>
        <w:spacing w:after="0" w:line="256"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860" w:right="32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Performance. </w:t>
      </w:r>
      <w:r>
        <w:rPr>
          <w:rFonts w:ascii="Arial" w:cs="Arial" w:eastAsia="Arial" w:hAnsi="Arial"/>
          <w:sz w:val="18"/>
          <w:szCs w:val="18"/>
          <w:color w:val="auto"/>
        </w:rPr>
        <w:t>We deliver the extreme throughput and predictable low-latency required by the most demanding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leverage modern server architectures, delivering millions of operations per second.</w:t>
      </w:r>
    </w:p>
    <w:p>
      <w:pPr>
        <w:spacing w:after="0" w:line="199" w:lineRule="exact"/>
        <w:rPr>
          <w:rFonts w:ascii="Arial" w:cs="Arial" w:eastAsia="Arial" w:hAnsi="Arial"/>
          <w:sz w:val="18"/>
          <w:szCs w:val="18"/>
          <w:color w:val="auto"/>
        </w:rPr>
      </w:pPr>
    </w:p>
    <w:p>
      <w:pPr>
        <w:ind w:left="1860" w:right="10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architecture scales horizontally across thousands of servers, supporting petabytes of data and millions of users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globally distributed environment.</w:t>
      </w:r>
    </w:p>
    <w:p>
      <w:pPr>
        <w:spacing w:after="0" w:line="212" w:lineRule="exact"/>
        <w:rPr>
          <w:rFonts w:ascii="Arial" w:cs="Arial" w:eastAsia="Arial" w:hAnsi="Arial"/>
          <w:sz w:val="18"/>
          <w:szCs w:val="18"/>
          <w:color w:val="auto"/>
        </w:rPr>
      </w:pPr>
    </w:p>
    <w:p>
      <w:pPr>
        <w:ind w:left="1860" w:hanging="538"/>
        <w:spacing w:after="0"/>
        <w:tabs>
          <w:tab w:leader="none" w:pos="18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Flexibility. </w:t>
      </w:r>
      <w:r>
        <w:rPr>
          <w:rFonts w:ascii="Arial" w:cs="Arial" w:eastAsia="Arial" w:hAnsi="Arial"/>
          <w:sz w:val="16"/>
          <w:szCs w:val="16"/>
          <w:color w:val="auto"/>
        </w:rPr>
        <w:t>Our document-based architecture easily accommodates the variety of data required by modern applications.</w:t>
      </w:r>
    </w:p>
    <w:p>
      <w:pPr>
        <w:spacing w:after="0" w:line="261" w:lineRule="exact"/>
        <w:rPr>
          <w:rFonts w:ascii="Arial" w:cs="Arial" w:eastAsia="Arial" w:hAnsi="Arial"/>
          <w:sz w:val="16"/>
          <w:szCs w:val="16"/>
          <w:color w:val="auto"/>
        </w:rPr>
      </w:pPr>
    </w:p>
    <w:p>
      <w:pPr>
        <w:ind w:left="1860" w:right="40" w:hanging="538"/>
        <w:spacing w:after="0" w:line="268" w:lineRule="auto"/>
        <w:tabs>
          <w:tab w:leader="none" w:pos="1860" w:val="left"/>
        </w:tabs>
        <w:numPr>
          <w:ilvl w:val="1"/>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320" w:right="160" w:hanging="538"/>
        <w:spacing w:after="0" w:line="290"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functionality 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 productivity.</w:t>
      </w:r>
    </w:p>
    <w:p>
      <w:pPr>
        <w:spacing w:after="0" w:line="199" w:lineRule="exact"/>
        <w:rPr>
          <w:rFonts w:ascii="Arial" w:cs="Arial" w:eastAsia="Arial" w:hAnsi="Arial"/>
          <w:sz w:val="16"/>
          <w:szCs w:val="16"/>
          <w:color w:val="auto"/>
        </w:rPr>
      </w:pPr>
    </w:p>
    <w:p>
      <w:pPr>
        <w:ind w:left="1320" w:right="140" w:hanging="538"/>
        <w:spacing w:after="0" w:line="294" w:lineRule="auto"/>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55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655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52" w:lineRule="exact"/>
        <w:rPr>
          <w:sz w:val="20"/>
          <w:szCs w:val="20"/>
          <w:color w:val="auto"/>
        </w:rPr>
      </w:pPr>
    </w:p>
    <w:p>
      <w:pPr>
        <w:ind w:left="1320" w:right="18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to 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320" w:right="2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 Developer Productivity. </w:t>
      </w:r>
      <w:r>
        <w:rPr>
          <w:rFonts w:ascii="Arial" w:cs="Arial" w:eastAsia="Arial" w:hAnsi="Arial"/>
          <w:sz w:val="18"/>
          <w:szCs w:val="18"/>
          <w:color w:val="auto"/>
        </w:rPr>
        <w:t>By empowering developers to build or modernize applications quickly and cost-efficiently, we enable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developers' agility, accelerating the time-to-revenue for new products.</w:t>
      </w:r>
    </w:p>
    <w:p>
      <w:pPr>
        <w:spacing w:after="0" w:line="199" w:lineRule="exact"/>
        <w:rPr>
          <w:rFonts w:ascii="Arial" w:cs="Arial" w:eastAsia="Arial" w:hAnsi="Arial"/>
          <w:sz w:val="18"/>
          <w:szCs w:val="18"/>
          <w:color w:val="auto"/>
        </w:rPr>
      </w:pPr>
    </w:p>
    <w:p>
      <w:pPr>
        <w:ind w:left="1320" w:right="340" w:hanging="538"/>
        <w:spacing w:after="0" w:line="332"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Deliver High Reliability for Mission-Critical Deployments. </w:t>
      </w:r>
      <w:r>
        <w:rPr>
          <w:rFonts w:ascii="Arial" w:cs="Arial" w:eastAsia="Arial" w:hAnsi="Arial"/>
          <w:sz w:val="16"/>
          <w:szCs w:val="16"/>
          <w:color w:val="auto"/>
        </w:rPr>
        <w:t>Our platform is designed to support mission-critical applications by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fault-tolerant and always on, reducing downtime for our customers and minimizing the risk of lost revenue.</w:t>
      </w:r>
    </w:p>
    <w:p>
      <w:pPr>
        <w:spacing w:after="0" w:line="166" w:lineRule="exact"/>
        <w:rPr>
          <w:rFonts w:ascii="Arial" w:cs="Arial" w:eastAsia="Arial" w:hAnsi="Arial"/>
          <w:sz w:val="16"/>
          <w:szCs w:val="16"/>
          <w:color w:val="auto"/>
        </w:rPr>
      </w:pPr>
    </w:p>
    <w:p>
      <w:pPr>
        <w:ind w:left="1320" w:hanging="538"/>
        <w:spacing w:after="0" w:line="298" w:lineRule="auto"/>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 resources required for application maintenance, can result in a dramatic reduction in the total cost of ownership for organizations. In addition, our platform runs on commodity hardware, requires less oversight and management from operations personnel and can operate in the cloud or other low-cost environments, leading to reduced application-related costs for our customers.</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320" w:right="180" w:hanging="538"/>
        <w:spacing w:after="0" w:line="291"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there is a substantial opportunity to continue to grow our customer base. We benefit from word-of-mouth awareness and frictionless usage and 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w:t>
      </w:r>
    </w:p>
    <w:p>
      <w:pPr>
        <w:spacing w:after="0" w:line="187" w:lineRule="exact"/>
        <w:rPr>
          <w:rFonts w:ascii="Arial" w:cs="Arial" w:eastAsia="Arial" w:hAnsi="Arial"/>
          <w:sz w:val="16"/>
          <w:szCs w:val="16"/>
          <w:color w:val="auto"/>
        </w:rPr>
      </w:pPr>
    </w:p>
    <w:p>
      <w:pPr>
        <w:ind w:left="1320" w:right="100" w:hanging="538"/>
        <w:spacing w:after="0" w:line="298"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important 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w:t>
      </w:r>
    </w:p>
    <w:p>
      <w:pPr>
        <w:spacing w:after="0" w:line="193" w:lineRule="exact"/>
        <w:rPr>
          <w:rFonts w:ascii="Arial" w:cs="Arial" w:eastAsia="Arial" w:hAnsi="Arial"/>
          <w:sz w:val="16"/>
          <w:szCs w:val="16"/>
          <w:color w:val="auto"/>
        </w:rPr>
      </w:pPr>
    </w:p>
    <w:p>
      <w:pPr>
        <w:ind w:left="1320" w:hanging="538"/>
        <w:spacing w:after="0" w:line="290"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requires 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net ARR expansion rate, which has been over 120% for each of the last nine fiscal quarters, demonstrates our ability to expand within existing customers.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5939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7593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6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Extend Product Leadership and Introduce New Products. </w:t>
      </w:r>
      <w:r>
        <w:rPr>
          <w:rFonts w:ascii="Arial" w:cs="Arial" w:eastAsia="Arial" w:hAnsi="Arial"/>
          <w:sz w:val="18"/>
          <w:szCs w:val="18"/>
          <w:color w:val="auto"/>
        </w:rPr>
        <w:t>We intend to continue to invest in our product offerings with the goal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becoming the most widely deployed database in the world. We direct our product innovation toward initiatives intended to drive customer adoption and expansion and increase developer productivity.</w:t>
      </w:r>
    </w:p>
    <w:p>
      <w:pPr>
        <w:spacing w:after="0" w:line="207" w:lineRule="exact"/>
        <w:rPr>
          <w:rFonts w:ascii="Arial" w:cs="Arial" w:eastAsia="Arial" w:hAnsi="Arial"/>
          <w:sz w:val="18"/>
          <w:szCs w:val="18"/>
          <w:color w:val="auto"/>
        </w:rPr>
      </w:pPr>
    </w:p>
    <w:p>
      <w:pPr>
        <w:ind w:left="1320" w:right="100" w:hanging="538"/>
        <w:spacing w:after="0" w:line="294"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We intend to continue to invest in the MongoDB developer community.</w:t>
      </w:r>
    </w:p>
    <w:p>
      <w:pPr>
        <w:spacing w:after="0" w:line="183" w:lineRule="exact"/>
        <w:rPr>
          <w:rFonts w:ascii="Arial" w:cs="Arial" w:eastAsia="Arial" w:hAnsi="Arial"/>
          <w:sz w:val="16"/>
          <w:szCs w:val="16"/>
          <w:color w:val="auto"/>
        </w:rPr>
      </w:pPr>
    </w:p>
    <w:p>
      <w:pPr>
        <w:ind w:left="1320" w:right="20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and Cultivate Our Partner Ecosystem. </w:t>
      </w:r>
      <w:r>
        <w:rPr>
          <w:rFonts w:ascii="Arial" w:cs="Arial" w:eastAsia="Arial" w:hAnsi="Arial"/>
          <w:sz w:val="18"/>
          <w:szCs w:val="18"/>
          <w:color w:val="auto"/>
        </w:rPr>
        <w:t>We have built a partner ecosystem of over 1,000 independent software vendors, systems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integrators, value added resellers and technology partners. We intend to continue to expand and enhance our partner relationships to grow our market presence and drive greater sales efficiency.</w:t>
      </w:r>
    </w:p>
    <w:p>
      <w:pPr>
        <w:spacing w:after="0" w:line="221" w:lineRule="exact"/>
        <w:rPr>
          <w:rFonts w:ascii="Arial" w:cs="Arial" w:eastAsia="Arial" w:hAnsi="Arial"/>
          <w:sz w:val="18"/>
          <w:szCs w:val="18"/>
          <w:color w:val="auto"/>
        </w:rPr>
      </w:pPr>
    </w:p>
    <w:p>
      <w:pPr>
        <w:ind w:left="1320" w:hanging="538"/>
        <w:spacing w:after="0" w:line="335" w:lineRule="auto"/>
        <w:tabs>
          <w:tab w:leader="none" w:pos="132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Expand Internationally. </w:t>
      </w:r>
      <w:r>
        <w:rPr>
          <w:rFonts w:ascii="Arial" w:cs="Arial" w:eastAsia="Arial" w:hAnsi="Arial"/>
          <w:sz w:val="15"/>
          <w:szCs w:val="15"/>
          <w:color w:val="auto"/>
        </w:rPr>
        <w:t>We believe there is significant opportunity to continue to expand the use of our platform outside the United States.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fiscal year ended January 31, 2017 and the three months ended April 30, 2017, total revenue generated outside of the United States was 35% and 34%, respectively, of our total revenue. We intend to continue to expand our sales and drive adoption of our platform globally.</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Selected Risks Affecting Our Business</w:t>
      </w:r>
    </w:p>
    <w:p>
      <w:pPr>
        <w:spacing w:after="0" w:line="231" w:lineRule="exact"/>
        <w:rPr>
          <w:sz w:val="20"/>
          <w:szCs w:val="20"/>
          <w:color w:val="auto"/>
        </w:rPr>
      </w:pPr>
    </w:p>
    <w:p>
      <w:pPr>
        <w:ind w:left="240" w:right="140" w:firstLine="351"/>
        <w:spacing w:after="0" w:line="259" w:lineRule="auto"/>
        <w:rPr>
          <w:sz w:val="20"/>
          <w:szCs w:val="20"/>
          <w:color w:val="auto"/>
        </w:rPr>
      </w:pPr>
      <w:r>
        <w:rPr>
          <w:rFonts w:ascii="Arial" w:cs="Arial" w:eastAsia="Arial" w:hAnsi="Arial"/>
          <w:sz w:val="18"/>
          <w:szCs w:val="18"/>
          <w:color w:val="auto"/>
        </w:rPr>
        <w:t>Investing in our Class A common stock involves risk. You should carefully consider all the information in this prospectus prior to investing in our Class A common stock. These risks are discussed more fully in the section entitled "Risk Factors" immediately following this prospectus summary. These risks and uncertainties include, but are not limited to, the following:</w:t>
      </w:r>
    </w:p>
    <w:p>
      <w:pPr>
        <w:spacing w:after="0" w:line="208"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predict our future results of operations.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a history of losses, and as our costs increase, we may not be able to generate sufficient revenue to achieve or sustain profitability.</w:t>
      </w:r>
    </w:p>
    <w:p>
      <w:pPr>
        <w:spacing w:after="0" w:line="286" w:lineRule="exact"/>
        <w:rPr>
          <w:rFonts w:ascii="Arial" w:cs="Arial" w:eastAsia="Arial" w:hAnsi="Arial"/>
          <w:sz w:val="15"/>
          <w:szCs w:val="15"/>
          <w:color w:val="auto"/>
        </w:rPr>
      </w:pPr>
    </w:p>
    <w:p>
      <w:pPr>
        <w:ind w:left="1320" w:right="1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currently face significant competition.</w:t>
      </w:r>
    </w:p>
    <w:p>
      <w:pPr>
        <w:spacing w:after="0" w:line="238" w:lineRule="exact"/>
        <w:rPr>
          <w:rFonts w:ascii="Arial" w:cs="Arial" w:eastAsia="Arial" w:hAnsi="Arial"/>
          <w:sz w:val="18"/>
          <w:szCs w:val="18"/>
          <w:color w:val="auto"/>
        </w:rPr>
      </w:pPr>
    </w:p>
    <w:p>
      <w:pPr>
        <w:ind w:left="1320" w:right="4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do not effectively expand our sales and marketing organization, we may be unable to add new customers or increase sales to our existing customers.</w:t>
      </w:r>
    </w:p>
    <w:p>
      <w:pPr>
        <w:spacing w:after="0" w:line="212" w:lineRule="exact"/>
        <w:rPr>
          <w:rFonts w:ascii="Arial" w:cs="Arial" w:eastAsia="Arial" w:hAnsi="Arial"/>
          <w:sz w:val="18"/>
          <w:szCs w:val="18"/>
          <w:color w:val="auto"/>
        </w:rPr>
      </w:pPr>
    </w:p>
    <w:p>
      <w:pPr>
        <w:ind w:left="1320" w:right="14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adoption strategies include offering Community Server and a free tier MongoDB Atlas, and we may not be able to realize the benefits of these strategies.</w:t>
      </w:r>
    </w:p>
    <w:p>
      <w:pPr>
        <w:spacing w:after="0" w:line="199" w:lineRule="exact"/>
        <w:rPr>
          <w:rFonts w:ascii="Arial" w:cs="Arial" w:eastAsia="Arial" w:hAnsi="Arial"/>
          <w:sz w:val="18"/>
          <w:szCs w:val="18"/>
          <w:color w:val="auto"/>
        </w:rPr>
      </w:pPr>
    </w:p>
    <w:p>
      <w:pPr>
        <w:ind w:left="1320" w:right="1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invested significantly in our MongoDB Atlas offering and if it fails to achieve market adoption our business, results of operations and financial condition could be harmed.</w:t>
      </w:r>
    </w:p>
    <w:p>
      <w:pPr>
        <w:spacing w:after="0" w:line="199" w:lineRule="exact"/>
        <w:rPr>
          <w:rFonts w:ascii="Arial" w:cs="Arial" w:eastAsia="Arial" w:hAnsi="Arial"/>
          <w:sz w:val="18"/>
          <w:szCs w:val="18"/>
          <w:color w:val="auto"/>
        </w:rPr>
      </w:pPr>
    </w:p>
    <w:p>
      <w:pPr>
        <w:ind w:left="1320" w:right="10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could be negatively impacted if the GNU Affero General Public License version 3 and other open source licenses under which some of our software is licensed are not enforceable.</w:t>
      </w:r>
    </w:p>
    <w:p>
      <w:pPr>
        <w:spacing w:after="0" w:line="212"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offer Community Server under an open source license, which could negatively affect our ability to monetize and protect our intellectual property rights.</w:t>
      </w:r>
    </w:p>
    <w:p>
      <w:pPr>
        <w:spacing w:after="0" w:line="199"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not able to introduce new features or services successfully and to make enhancements to our software or services, our business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67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6967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160" w:hanging="538"/>
        <w:spacing w:after="0" w:line="332"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52" w:lineRule="exact"/>
        <w:rPr>
          <w:rFonts w:ascii="Arial" w:cs="Arial" w:eastAsia="Arial" w:hAnsi="Arial"/>
          <w:sz w:val="16"/>
          <w:szCs w:val="16"/>
          <w:color w:val="auto"/>
        </w:rPr>
      </w:pPr>
    </w:p>
    <w:p>
      <w:pPr>
        <w:ind w:left="1320" w:right="100" w:hanging="538"/>
        <w:spacing w:after="0" w:line="284" w:lineRule="auto"/>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of control. Specifically, outstanding shares of Class B</w:t>
      </w:r>
    </w:p>
    <w:p>
      <w:pPr>
        <w:sectPr>
          <w:pgSz w:w="11900" w:h="16838" w:orient="portrait"/>
          <w:cols w:equalWidth="0" w:num="1">
            <w:col w:w="11180"/>
          </w:cols>
          <w:pgMar w:left="240" w:top="131" w:right="479" w:bottom="1440" w:gutter="0" w:footer="0" w:header="0"/>
        </w:sectPr>
      </w:pPr>
    </w:p>
    <w:p>
      <w:pPr>
        <w:spacing w:after="0" w:line="1" w:lineRule="exact"/>
        <w:rPr>
          <w:sz w:val="20"/>
          <w:szCs w:val="20"/>
          <w:color w:val="auto"/>
        </w:rPr>
      </w:pPr>
    </w:p>
    <w:p>
      <w:pPr>
        <w:ind w:left="1320" w:right="120"/>
        <w:spacing w:after="0" w:line="255" w:lineRule="auto"/>
        <w:rPr>
          <w:sz w:val="20"/>
          <w:szCs w:val="20"/>
          <w:color w:val="auto"/>
        </w:rPr>
      </w:pPr>
      <w:r>
        <w:rPr>
          <w:rFonts w:ascii="Arial" w:cs="Arial" w:eastAsia="Arial" w:hAnsi="Arial"/>
          <w:sz w:val="18"/>
          <w:szCs w:val="18"/>
          <w:color w:val="auto"/>
        </w:rPr>
        <w:t>common stock will represent approximately % of the voting power of our outstanding capital stock immediately following the closing of this offering, with our directors and executive officers and their affiliates holding approximately %, assuming in each case no exercise of the underwriters' over-allotment option.</w:t>
      </w:r>
    </w:p>
    <w:p>
      <w:pPr>
        <w:sectPr>
          <w:pgSz w:w="11900" w:h="16838" w:orient="portrait"/>
          <w:cols w:equalWidth="0" w:num="1">
            <w:col w:w="11180"/>
          </w:cols>
          <w:pgMar w:left="240" w:top="131" w:right="479" w:bottom="1440" w:gutter="0" w:footer="0" w:header="0"/>
          <w:type w:val="continuous"/>
        </w:sectPr>
      </w:pP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jc w:val="both"/>
        <w:ind w:left="240" w:right="200" w:firstLine="351"/>
        <w:spacing w:after="0" w:line="294" w:lineRule="auto"/>
        <w:rPr>
          <w:sz w:val="20"/>
          <w:szCs w:val="20"/>
          <w:color w:val="auto"/>
        </w:rPr>
      </w:pPr>
      <w:r>
        <w:rPr>
          <w:rFonts w:ascii="Arial" w:cs="Arial" w:eastAsia="Arial" w:hAnsi="Arial"/>
          <w:sz w:val="16"/>
          <w:szCs w:val="16"/>
          <w:color w:val="auto"/>
        </w:rPr>
        <w:t>MongoDB, Inc. was incorporated under the laws of the State of Delaware in November 2007, under the name 10Gen, Inc. We changed our name to MongoDB, Inc. on August 27, 2013. Our principal executive offices are located at MongoDB, Inc., 229 W 43rd Street, 5th Floor, New York, NY 10036. Our telephone number is 646-727-4092. Our website address is www.mongodb.com.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our Class A common stock.</w:t>
      </w:r>
    </w:p>
    <w:p>
      <w:pPr>
        <w:spacing w:after="0" w:line="170" w:lineRule="exact"/>
        <w:rPr>
          <w:sz w:val="20"/>
          <w:szCs w:val="20"/>
          <w:color w:val="auto"/>
        </w:rPr>
      </w:pPr>
    </w:p>
    <w:p>
      <w:pPr>
        <w:ind w:left="240" w:firstLine="351"/>
        <w:spacing w:after="0" w:line="306" w:lineRule="auto"/>
        <w:rPr>
          <w:sz w:val="20"/>
          <w:szCs w:val="20"/>
          <w:color w:val="auto"/>
        </w:rPr>
      </w:pPr>
      <w:r>
        <w:rPr>
          <w:rFonts w:ascii="Arial" w:cs="Arial" w:eastAsia="Arial" w:hAnsi="Arial"/>
          <w:sz w:val="16"/>
          <w:szCs w:val="16"/>
          <w:color w:val="auto"/>
        </w:rPr>
        <w:t>"MongoDB" and the MongoDB leaf logo, and other trademarks or service marks of MongoDB, Inc. appearing in this prospectus are the property of MongoDB, Inc. This prospectus contains additional trade names, trademarks and service marks of others, which are the property of their respective owners. Solely for convenience, trademarks and trade names referred to in this prospectus may appear without the ® or ™ symbols.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240" w:right="140" w:firstLine="348"/>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specified reduced reporting and other burdens that are otherwise applicable generally to public companies. These provisions include:</w:t>
      </w:r>
    </w:p>
    <w:p>
      <w:pPr>
        <w:spacing w:after="0" w:line="208" w:lineRule="exact"/>
        <w:rPr>
          <w:sz w:val="20"/>
          <w:szCs w:val="20"/>
          <w:color w:val="auto"/>
        </w:rPr>
      </w:pPr>
    </w:p>
    <w:p>
      <w:pPr>
        <w:ind w:left="1320" w:right="4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and only two years of related selected financial data and management's discussion and analysis of financial condition and results of operations disclosure;</w:t>
      </w:r>
    </w:p>
    <w:p>
      <w:pPr>
        <w:spacing w:after="0" w:line="212" w:lineRule="exact"/>
        <w:rPr>
          <w:rFonts w:ascii="Arial" w:cs="Arial" w:eastAsia="Arial" w:hAnsi="Arial"/>
          <w:sz w:val="18"/>
          <w:szCs w:val="18"/>
          <w:color w:val="auto"/>
        </w:rPr>
      </w:pPr>
    </w:p>
    <w:p>
      <w:pPr>
        <w:ind w:left="1320" w:right="420" w:hanging="538"/>
        <w:spacing w:after="0" w:line="268"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99" w:lineRule="exact"/>
        <w:rPr>
          <w:rFonts w:ascii="Arial" w:cs="Arial" w:eastAsia="Arial" w:hAnsi="Arial"/>
          <w:sz w:val="18"/>
          <w:szCs w:val="18"/>
          <w:color w:val="auto"/>
        </w:rPr>
      </w:pPr>
    </w:p>
    <w:p>
      <w:pPr>
        <w:ind w:left="1320" w:right="100" w:hanging="538"/>
        <w:spacing w:after="0" w:line="259"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implementation of new or revised financial accounting standards until they would apply to private companies and from compliance with any new requirements adopted by the Public Company Accounting Oversight Board requiring mandatory audit firm rotation;</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arrangements; and</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requirement to seek nonbinding advisory votes on executive compensation or golden parachute arrangements.</w:t>
      </w:r>
    </w:p>
    <w:p>
      <w:pPr>
        <w:spacing w:after="0" w:line="225" w:lineRule="exact"/>
        <w:rPr>
          <w:sz w:val="20"/>
          <w:szCs w:val="20"/>
          <w:color w:val="auto"/>
        </w:rPr>
      </w:pPr>
    </w:p>
    <w:p>
      <w:pPr>
        <w:jc w:val="both"/>
        <w:ind w:left="240" w:right="320" w:firstLine="348"/>
        <w:spacing w:after="0" w:line="256" w:lineRule="auto"/>
        <w:rPr>
          <w:sz w:val="20"/>
          <w:szCs w:val="20"/>
          <w:color w:val="auto"/>
        </w:rPr>
      </w:pPr>
      <w:r>
        <w:rPr>
          <w:rFonts w:ascii="Arial" w:cs="Arial" w:eastAsia="Arial" w:hAnsi="Arial"/>
          <w:sz w:val="18"/>
          <w:szCs w:val="18"/>
          <w:color w:val="auto"/>
        </w:rPr>
        <w:t>We may take advantage of some or all these provisions until we are no longer an emerging growth company. We will remain an emerging growth company until the earlier to occur of (1) the last day of the fiscal year (a) following the fifth anniversary of the closing of this offering, (b) in which our annual gross revenue is $1.07 billion or more, or (c) in which we are deemed to be a "large accelerated filer," under the rules of the U.S. Securities and Exchange Commission, or SEC, which means the market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950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195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color w:val="auto"/>
        </w:rPr>
        <w:t>value of our equity securities that is held by non-affiliates exceeds $700 million as of the prior July 31st, and (2) the date on which we have issued more than $1.0 billion in non-convertible debt during the prior three-year period.</w:t>
      </w:r>
    </w:p>
    <w:p>
      <w:pPr>
        <w:spacing w:after="0" w:line="186" w:lineRule="exact"/>
        <w:rPr>
          <w:sz w:val="20"/>
          <w:szCs w:val="20"/>
          <w:color w:val="auto"/>
        </w:rPr>
      </w:pPr>
    </w:p>
    <w:p>
      <w:pPr>
        <w:ind w:left="240" w:firstLine="348"/>
        <w:spacing w:after="0" w:line="290" w:lineRule="auto"/>
        <w:rPr>
          <w:sz w:val="20"/>
          <w:szCs w:val="20"/>
          <w:color w:val="auto"/>
        </w:rPr>
      </w:pPr>
      <w:r>
        <w:rPr>
          <w:rFonts w:ascii="Arial" w:cs="Arial" w:eastAsia="Arial" w:hAnsi="Arial"/>
          <w:sz w:val="16"/>
          <w:szCs w:val="16"/>
          <w:color w:val="auto"/>
        </w:rPr>
        <w:t>We have elected to take advantage of the extended transition period to comply with new or revised accounting standards and to adopt certain of the reduced disclosure requirements available to emerging growth companies. As a result of the accounting standards election, we will not be subject to the same implementation timing for new or revised accounting standards as other public companies that are not emerging growth companies, which may make comparison of our financials to those of other public companies more difficult. In addition, the information that we provide in this prospectus may be different than the information you may receive from other public companies in which you hold equity interests. Further, it is possible that some investors will find our Class A common stock less attractive as a result of these elections, which may result in a less active trading market for our Class A common stock and higher volatility in our stock price.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890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689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38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219"/>
          </w:cols>
          <w:pgMar w:left="240" w:top="131" w:right="1440" w:bottom="1440" w:gutter="0" w:footer="0" w:header="0"/>
        </w:sectPr>
      </w:pPr>
    </w:p>
    <w:p>
      <w:pPr>
        <w:spacing w:after="0" w:line="23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Class A common stock offered by us</w:t>
      </w:r>
    </w:p>
    <w:p>
      <w:pPr>
        <w:spacing w:after="0" w:line="225" w:lineRule="exact"/>
        <w:rPr>
          <w:sz w:val="20"/>
          <w:szCs w:val="20"/>
          <w:color w:val="auto"/>
        </w:rPr>
      </w:pPr>
    </w:p>
    <w:p>
      <w:pPr>
        <w:ind w:left="1340" w:right="100"/>
        <w:spacing w:after="0" w:line="501" w:lineRule="auto"/>
        <w:rPr>
          <w:sz w:val="20"/>
          <w:szCs w:val="20"/>
          <w:color w:val="auto"/>
        </w:rPr>
      </w:pPr>
      <w:r>
        <w:rPr>
          <w:rFonts w:ascii="Arial" w:cs="Arial" w:eastAsia="Arial" w:hAnsi="Arial"/>
          <w:sz w:val="18"/>
          <w:szCs w:val="18"/>
          <w:color w:val="auto"/>
        </w:rPr>
        <w:t>Class A common stock offered by the selling stockholders Total Class A common stock offered</w:t>
      </w:r>
    </w:p>
    <w:p>
      <w:pPr>
        <w:ind w:left="1340" w:right="40"/>
        <w:spacing w:after="0" w:line="563" w:lineRule="auto"/>
        <w:rPr>
          <w:sz w:val="20"/>
          <w:szCs w:val="20"/>
          <w:color w:val="auto"/>
        </w:rPr>
      </w:pPr>
      <w:r>
        <w:rPr>
          <w:rFonts w:ascii="Arial" w:cs="Arial" w:eastAsia="Arial" w:hAnsi="Arial"/>
          <w:sz w:val="16"/>
          <w:szCs w:val="16"/>
          <w:color w:val="auto"/>
        </w:rPr>
        <w:t>Class A common stock to be outstanding after this offering Class B common stock to be outstanding after this offering</w:t>
      </w:r>
    </w:p>
    <w:p>
      <w:pPr>
        <w:spacing w:after="0" w:line="1" w:lineRule="exact"/>
        <w:rPr>
          <w:sz w:val="20"/>
          <w:szCs w:val="20"/>
          <w:color w:val="auto"/>
        </w:rPr>
      </w:pPr>
    </w:p>
    <w:p>
      <w:pPr>
        <w:ind w:left="1520" w:right="20" w:hanging="179"/>
        <w:spacing w:after="0" w:line="268" w:lineRule="auto"/>
        <w:rPr>
          <w:sz w:val="20"/>
          <w:szCs w:val="20"/>
          <w:color w:val="auto"/>
        </w:rPr>
      </w:pPr>
      <w:r>
        <w:rPr>
          <w:rFonts w:ascii="Arial" w:cs="Arial" w:eastAsia="Arial" w:hAnsi="Arial"/>
          <w:sz w:val="18"/>
          <w:szCs w:val="18"/>
          <w:color w:val="auto"/>
        </w:rPr>
        <w:t>Total Class A common stock and Class B common stock to be outstanding after this offering</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us</w:t>
      </w:r>
    </w:p>
    <w:p>
      <w:pPr>
        <w:spacing w:after="0" w:line="186"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Over-allotment option of Class A common stock offered by the selling stockholders</w:t>
      </w:r>
    </w:p>
    <w:p>
      <w:pPr>
        <w:spacing w:after="0" w:line="186" w:lineRule="exact"/>
        <w:rPr>
          <w:sz w:val="20"/>
          <w:szCs w:val="20"/>
          <w:color w:val="auto"/>
        </w:rPr>
      </w:pPr>
    </w:p>
    <w:p>
      <w:pPr>
        <w:ind w:left="1520" w:right="400" w:hanging="179"/>
        <w:spacing w:after="0" w:line="268" w:lineRule="auto"/>
        <w:rPr>
          <w:sz w:val="20"/>
          <w:szCs w:val="20"/>
          <w:color w:val="auto"/>
        </w:rPr>
      </w:pPr>
      <w:r>
        <w:rPr>
          <w:rFonts w:ascii="Arial" w:cs="Arial" w:eastAsia="Arial" w:hAnsi="Arial"/>
          <w:sz w:val="18"/>
          <w:szCs w:val="18"/>
          <w:color w:val="auto"/>
        </w:rPr>
        <w:t>Total over-allotment option of Class A common stock offered</w:t>
      </w:r>
    </w:p>
    <w:p>
      <w:pPr>
        <w:spacing w:after="0" w:line="18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Voting rights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shares</w:t>
      </w:r>
    </w:p>
    <w:p>
      <w:pPr>
        <w:spacing w:after="0" w:line="225" w:lineRule="exact"/>
        <w:rPr>
          <w:sz w:val="20"/>
          <w:szCs w:val="20"/>
          <w:color w:val="auto"/>
        </w:rPr>
      </w:pPr>
    </w:p>
    <w:p>
      <w:pPr>
        <w:ind w:right="139"/>
        <w:spacing w:after="0" w:line="284" w:lineRule="auto"/>
        <w:rPr>
          <w:sz w:val="20"/>
          <w:szCs w:val="20"/>
          <w:color w:val="auto"/>
        </w:rPr>
      </w:pPr>
      <w:r>
        <w:rPr>
          <w:rFonts w:ascii="Arial" w:cs="Arial" w:eastAsia="Arial" w:hAnsi="Arial"/>
          <w:sz w:val="16"/>
          <w:szCs w:val="16"/>
          <w:color w:val="auto"/>
        </w:rPr>
        <w:t>We have two classes of authorized common stock: Class A common stock and Class B common stock. The rights of the holders of Class A common stock and Class B common stock are identical, except with respect to voting and conversion. The holders of Class A common stock are entitled to one vote per share, and the holders of Class B common stock are entitled to ten votes per share, on all matters that are subject to stockholder vote. The holders of Class B common stock also have approval rights for certain corporate actions. Each share of Class B common stock may be converted into one share of Class A common stock at any time at the option of its holder and will be automatically converted into one share of Class A common stock upon transfer thereof, subject to certain exceptions. In addition, upon the date on which the outstanding shares of Class B common stock represent less than 10% of the aggregate voting power of our capital stock, all outstanding shares of Class B common stock shall convert automatically into Class A common stock. See the section titled "Description of Capital Stock" for additional information.</w:t>
      </w:r>
    </w:p>
    <w:p>
      <w:pPr>
        <w:spacing w:after="0" w:line="200" w:lineRule="exact"/>
        <w:rPr>
          <w:sz w:val="20"/>
          <w:szCs w:val="20"/>
          <w:color w:val="auto"/>
        </w:rPr>
      </w:pPr>
    </w:p>
    <w:p>
      <w:pPr>
        <w:sectPr>
          <w:pgSz w:w="11900" w:h="16838" w:orient="portrait"/>
          <w:cols w:equalWidth="0" w:num="2">
            <w:col w:w="5520" w:space="360"/>
            <w:col w:w="4339"/>
          </w:cols>
          <w:pgMar w:left="240" w:top="131"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173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717359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Holders of our Class A common stock and Class B</w:t>
      </w:r>
    </w:p>
    <w:p>
      <w:pPr>
        <w:spacing w:after="0" w:line="15"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common stock will generally vote together as a single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class, unless otherwise required by law or our amended and</w:t>
      </w:r>
    </w:p>
    <w:p>
      <w:pPr>
        <w:spacing w:after="0" w:line="44"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restated certificate of incorporation. Immediately following</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the closing of this offering, our directors and executive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officers and their affiliates will beneficially own</w:t>
      </w:r>
    </w:p>
    <w:p>
      <w:pPr>
        <w:spacing w:after="0" w:line="9" w:lineRule="exact"/>
        <w:rPr>
          <w:sz w:val="20"/>
          <w:szCs w:val="20"/>
          <w:color w:val="auto"/>
        </w:rPr>
      </w:pPr>
    </w:p>
    <w:p>
      <w:pPr>
        <w:ind w:left="5880"/>
        <w:spacing w:after="0"/>
        <w:tabs>
          <w:tab w:leader="none" w:pos="742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 of the voting power of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outstanding capital stock (assuming in each case no</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exercise of the underwriters' over-allotment option) and</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will have the ability to control the outcome of matters</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submitted to our stockholders for approval, including the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election of our directors. See "Principal and Selling</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Stockholders" and "Description of Capital Stock."</w:t>
      </w:r>
    </w:p>
    <w:p>
      <w:pPr>
        <w:sectPr>
          <w:pgSz w:w="11900" w:h="16838" w:orient="portrait"/>
          <w:cols w:equalWidth="0" w:num="1">
            <w:col w:w="11080"/>
          </w:cols>
          <w:pgMar w:left="240" w:top="131" w:right="579" w:bottom="1440" w:gutter="0" w:footer="0" w:header="0"/>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we will receive net proceeds of</w:t>
      </w:r>
    </w:p>
    <w:p>
      <w:pPr>
        <w:spacing w:after="0" w:line="15"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(or approximately</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million if the underwriters exercise their over-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allotment option in full), assuming an initial public offering</w:t>
      </w:r>
    </w:p>
    <w:p>
      <w:pPr>
        <w:spacing w:after="0" w:line="3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price of $</w:t>
      </w:r>
      <w:r>
        <w:rPr>
          <w:sz w:val="20"/>
          <w:szCs w:val="20"/>
          <w:color w:val="auto"/>
        </w:rPr>
        <w:tab/>
      </w:r>
      <w:r>
        <w:rPr>
          <w:rFonts w:ascii="Arial" w:cs="Arial" w:eastAsia="Arial" w:hAnsi="Arial"/>
          <w:sz w:val="15"/>
          <w:szCs w:val="15"/>
          <w:color w:val="auto"/>
        </w:rPr>
        <w:t>per share, the midpoint of the price range</w:t>
      </w:r>
    </w:p>
    <w:p>
      <w:pPr>
        <w:spacing w:after="0" w:line="9"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ind w:left="5880"/>
        <w:spacing w:after="0"/>
        <w:rPr>
          <w:sz w:val="20"/>
          <w:szCs w:val="20"/>
          <w:color w:val="auto"/>
        </w:rPr>
      </w:pPr>
      <w:r>
        <w:rPr>
          <w:rFonts w:ascii="Arial" w:cs="Arial" w:eastAsia="Arial" w:hAnsi="Arial"/>
          <w:sz w:val="18"/>
          <w:szCs w:val="18"/>
          <w:color w:val="auto"/>
        </w:rPr>
        <w:t>set forth on the cover page of this prospectus, after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deducting estimated underwriter discounts and</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commissions and estimated offering expenses payable by</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us. The principal purposes of this offering are to increase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our financial flexibility, create a public market for our</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Class A common stock, and facilitate our future access to</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the capital markets.</w:t>
      </w:r>
    </w:p>
    <w:p>
      <w:pPr>
        <w:spacing w:after="0" w:line="21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currently intend to use the net proceeds of this offering</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for working capital and other general corporate purposes.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We may use a portion of the proceeds from this offering for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acquisitions or strategic investments in businesses or</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technologies, although we do not currently have any plans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any such acquisitions or investments. We will not</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receive any of the proceeds from the sale of shares to be</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offered by the selling stockholders. See "Use of Proceeds"</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for additional information.</w:t>
      </w:r>
    </w:p>
    <w:p>
      <w:pPr>
        <w:sectPr>
          <w:pgSz w:w="11900" w:h="16838" w:orient="portrait"/>
          <w:cols w:equalWidth="0" w:num="1">
            <w:col w:w="11080"/>
          </w:cols>
          <w:pgMar w:left="240" w:top="131" w:right="579" w:bottom="1440" w:gutter="0" w:footer="0" w:header="0"/>
          <w:type w:val="continuous"/>
        </w:sectPr>
      </w:pP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"Risk Factors" and the other information included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prospectus for a discussion of factors you should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carefully consider before deciding to invest in our Class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0" w:lineRule="exact"/>
        <w:rPr>
          <w:sz w:val="20"/>
          <w:szCs w:val="20"/>
          <w:color w:val="auto"/>
        </w:rPr>
      </w:pPr>
    </w:p>
    <w:p>
      <w:pPr>
        <w:sectPr>
          <w:pgSz w:w="11900" w:h="16838" w:orient="portrait"/>
          <w:cols w:equalWidth="0" w:num="2">
            <w:col w:w="5160" w:space="720"/>
            <w:col w:w="5200"/>
          </w:cols>
          <w:pgMar w:left="240" w:top="131" w:right="579" w:bottom="1440" w:gutter="0" w:footer="0" w:header="0"/>
          <w:type w:val="continuous"/>
        </w:sectPr>
      </w:pPr>
    </w:p>
    <w:p>
      <w:pPr>
        <w:spacing w:after="0" w:line="19"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Proposed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"MDB"</w:t>
      </w:r>
    </w:p>
    <w:p>
      <w:pPr>
        <w:spacing w:after="0" w:line="200" w:lineRule="exact"/>
        <w:rPr>
          <w:sz w:val="20"/>
          <w:szCs w:val="20"/>
          <w:color w:val="auto"/>
        </w:rPr>
      </w:pPr>
    </w:p>
    <w:p>
      <w:pPr>
        <w:sectPr>
          <w:pgSz w:w="11900" w:h="16838" w:orient="portrait"/>
          <w:cols w:equalWidth="0" w:num="3">
            <w:col w:w="2000" w:space="340"/>
            <w:col w:w="2820" w:space="720"/>
            <w:col w:w="5200"/>
          </w:cols>
          <w:pgMar w:left="240" w:top="131" w:right="579" w:bottom="1440" w:gutter="0" w:footer="0" w:header="0"/>
          <w:type w:val="continuous"/>
        </w:sectPr>
      </w:pPr>
    </w:p>
    <w:p>
      <w:pPr>
        <w:spacing w:after="0" w:line="25" w:lineRule="exact"/>
        <w:rPr>
          <w:sz w:val="20"/>
          <w:szCs w:val="20"/>
          <w:color w:val="auto"/>
        </w:rPr>
      </w:pPr>
    </w:p>
    <w:p>
      <w:pPr>
        <w:ind w:left="240" w:firstLine="348"/>
        <w:spacing w:after="0" w:line="332" w:lineRule="auto"/>
        <w:rPr>
          <w:sz w:val="20"/>
          <w:szCs w:val="20"/>
          <w:color w:val="auto"/>
        </w:rPr>
      </w:pPr>
      <w:r>
        <w:rPr>
          <w:rFonts w:ascii="Arial" w:cs="Arial" w:eastAsia="Arial" w:hAnsi="Arial"/>
          <w:sz w:val="16"/>
          <w:szCs w:val="16"/>
          <w:color w:val="auto"/>
        </w:rPr>
        <w:t>The number of shares of our Class A common stock and Class B common stock that will be outstanding after this offering is based on 109,575 shares of Class A common stock and 81,327,501 shares of Class B common stock outstanding as of April 30, 2017, and excludes:</w:t>
      </w:r>
    </w:p>
    <w:p>
      <w:pPr>
        <w:spacing w:after="0" w:line="166" w:lineRule="exact"/>
        <w:rPr>
          <w:sz w:val="20"/>
          <w:szCs w:val="20"/>
          <w:color w:val="auto"/>
        </w:rPr>
      </w:pPr>
    </w:p>
    <w:p>
      <w:pPr>
        <w:ind w:left="1320" w:right="200" w:hanging="538"/>
        <w:spacing w:after="0" w:line="332" w:lineRule="auto"/>
        <w:tabs>
          <w:tab w:leader="none" w:pos="1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200" w:lineRule="exact"/>
        <w:rPr>
          <w:sz w:val="20"/>
          <w:szCs w:val="20"/>
          <w:color w:val="auto"/>
        </w:rPr>
      </w:pPr>
    </w:p>
    <w:p>
      <w:pPr>
        <w:spacing w:after="0" w:line="38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683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683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300" w:hanging="538"/>
        <w:spacing w:after="0" w:line="268" w:lineRule="auto"/>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32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320" w:right="280" w:hanging="538"/>
        <w:spacing w:after="0" w:line="268" w:lineRule="auto"/>
        <w:tabs>
          <w:tab w:leader="none" w:pos="18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252" w:lineRule="exact"/>
        <w:rPr>
          <w:sz w:val="20"/>
          <w:szCs w:val="20"/>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one-for-</w:t>
      </w:r>
      <w:r>
        <w:rPr>
          <w:rFonts w:ascii="Arial" w:cs="Arial" w:eastAsia="Arial" w:hAnsi="Arial"/>
          <w:sz w:val="16"/>
          <w:szCs w:val="16"/>
          <w:color w:val="auto"/>
        </w:rPr>
        <w:t>stock split of our common stock to be effected prior to the closing of this offering;</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redeemable convertible preferred stock into an aggregate of 53,799,704 shares of our Class B common stock immediately prior to the closing of this offering;</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outstanding options or warrants after April 30, 2017;</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exercise by the underwriters of their over-allotment option to purchase additional shares of our Class A common stock; and</w:t>
      </w:r>
    </w:p>
    <w:p>
      <w:pPr>
        <w:spacing w:after="0" w:line="261" w:lineRule="exact"/>
        <w:rPr>
          <w:rFonts w:ascii="Arial" w:cs="Arial" w:eastAsia="Arial" w:hAnsi="Arial"/>
          <w:sz w:val="16"/>
          <w:szCs w:val="16"/>
          <w:color w:val="auto"/>
        </w:rPr>
      </w:pPr>
    </w:p>
    <w:p>
      <w:pPr>
        <w:ind w:left="1320" w:right="460" w:hanging="538"/>
        <w:spacing w:after="0" w:line="268" w:lineRule="auto"/>
        <w:tabs>
          <w:tab w:leader="none" w:pos="1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ind w:left="240"/>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361315</wp:posOffset>
            </wp:positionV>
            <wp:extent cx="7250430" cy="73018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7301865"/>
                    </a:xfrm>
                    <a:prstGeom prst="rect">
                      <a:avLst/>
                    </a:prstGeom>
                    <a:noFill/>
                  </pic:spPr>
                </pic:pic>
              </a:graphicData>
            </a:graphic>
          </wp:anchor>
        </w:drawing>
      </w: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31" w:lineRule="exact"/>
        <w:rPr>
          <w:sz w:val="20"/>
          <w:szCs w:val="20"/>
          <w:color w:val="auto"/>
        </w:rPr>
      </w:pPr>
    </w:p>
    <w:p>
      <w:pPr>
        <w:ind w:left="240" w:right="360" w:firstLine="348"/>
        <w:spacing w:after="0" w:line="289" w:lineRule="auto"/>
        <w:rPr>
          <w:sz w:val="20"/>
          <w:szCs w:val="20"/>
          <w:color w:val="auto"/>
        </w:rPr>
      </w:pPr>
      <w:r>
        <w:rPr>
          <w:rFonts w:ascii="Arial" w:cs="Arial" w:eastAsia="Arial" w:hAnsi="Arial"/>
          <w:sz w:val="16"/>
          <w:szCs w:val="16"/>
          <w:color w:val="auto"/>
        </w:rPr>
        <w:t>We derived the summary consolidated statements of operations data for the fiscal years ended January 31, 2016 and 2017 and the summary consolidated balance sheet data as of January 31, 2017 from our audited consolidated financial statements included elsewhere in this prospectus. We derived the summary consolidated statements of operations data for the three months ended April 30, 2016 and 2017 and the summary consolidated balance sheet data as of April 30,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summary consolidated statement of operations data for the fiscal year ended January 31, 2015 from our audited consolidated financial statements not included in this prospectus. Our fiscal year ends January 31.</w:t>
      </w:r>
    </w:p>
    <w:p>
      <w:pPr>
        <w:spacing w:after="0" w:line="172" w:lineRule="exact"/>
        <w:rPr>
          <w:sz w:val="20"/>
          <w:szCs w:val="20"/>
          <w:color w:val="auto"/>
        </w:rPr>
      </w:pPr>
    </w:p>
    <w:p>
      <w:pPr>
        <w:ind w:left="240" w:right="460" w:firstLine="351"/>
        <w:spacing w:after="0" w:line="255"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and the results for the three months ended April 30, 2017 are not necessarily indicative of the results to be expected for the full year or any other period. When you read this summary consolidated financial data, it is important that you read it together with the historical consolidated financial statements and the related notes included elsewhere in this prospectus, as well as the sections of this prospectus titled "Selected Consolidated Financial Data" and "Management's Discussion and Analysis of Financial Condition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ind w:left="740"/>
              <w:spacing w:after="0"/>
              <w:rPr>
                <w:sz w:val="20"/>
                <w:szCs w:val="20"/>
                <w:color w:val="auto"/>
              </w:rPr>
            </w:pPr>
            <w:r>
              <w:rPr>
                <w:rFonts w:ascii="Arial" w:cs="Arial" w:eastAsia="Arial" w:hAnsi="Arial"/>
                <w:sz w:val="14"/>
                <w:szCs w:val="14"/>
                <w:b w:val="1"/>
                <w:bCs w:val="1"/>
                <w:color w:val="auto"/>
                <w:w w:val="99"/>
              </w:rPr>
              <w:t>Year Ended January 31,</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5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April 30,</w:t>
            </w: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02"/>
        </w:trPr>
        <w:tc>
          <w:tcPr>
            <w:tcW w:w="134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Consolidated Statements of</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1340" w:type="dxa"/>
            <w:vAlign w:val="bottom"/>
          </w:tcPr>
          <w:p>
            <w:pPr>
              <w:spacing w:after="0"/>
              <w:rPr>
                <w:sz w:val="20"/>
                <w:szCs w:val="20"/>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Operations Data:</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34,109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91,235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19,050</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29,187</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2,459</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3,203</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65,271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101,358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21,509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32,390</w:t>
            </w: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Subscription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11,305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13,146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19,352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6,550</w:t>
            </w: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7,715</w:t>
            </w:r>
          </w:p>
        </w:tc>
        <w:tc>
          <w:tcPr>
            <w:tcW w:w="220" w:type="dxa"/>
            <w:vAlign w:val="bottom"/>
          </w:tcPr>
          <w:p>
            <w:pPr>
              <w:spacing w:after="0"/>
              <w:rPr>
                <w:sz w:val="18"/>
                <w:szCs w:val="18"/>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10,515</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2,639</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2,649</w:t>
            </w: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cost of revenue</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20,861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29,867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6,930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9,199</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44,410</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71,491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14,579</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52,072</w:t>
            </w: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56,613</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78,584</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17,296</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22,145</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33,316</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43,465</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51,772</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12,000</w:t>
            </w:r>
          </w:p>
        </w:tc>
        <w:tc>
          <w:tcPr>
            <w:tcW w:w="2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13,077</w:t>
            </w:r>
          </w:p>
        </w:tc>
        <w:tc>
          <w:tcPr>
            <w:tcW w:w="1360" w:type="dxa"/>
            <w:vAlign w:val="bottom"/>
          </w:tcPr>
          <w:p>
            <w:pPr>
              <w:spacing w:after="0"/>
              <w:rPr>
                <w:sz w:val="22"/>
                <w:szCs w:val="22"/>
                <w:color w:val="auto"/>
              </w:rPr>
            </w:pPr>
          </w:p>
        </w:tc>
      </w:tr>
      <w:tr>
        <w:trPr>
          <w:trHeight w:val="257"/>
        </w:trPr>
        <w:tc>
          <w:tcPr>
            <w:tcW w:w="1340" w:type="dxa"/>
            <w:vAlign w:val="bottom"/>
          </w:tcPr>
          <w:p>
            <w:pPr>
              <w:spacing w:after="0"/>
              <w:rPr>
                <w:sz w:val="22"/>
                <w:szCs w:val="22"/>
                <w:color w:val="auto"/>
              </w:rPr>
            </w:pPr>
          </w:p>
        </w:tc>
        <w:tc>
          <w:tcPr>
            <w:tcW w:w="2840" w:type="dxa"/>
            <w:vAlign w:val="bottom"/>
          </w:tcPr>
          <w:p>
            <w:pPr>
              <w:ind w:left="18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13,005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17,070</w:t>
            </w:r>
          </w:p>
        </w:tc>
        <w:tc>
          <w:tcPr>
            <w:tcW w:w="220" w:type="dxa"/>
            <w:vAlign w:val="bottom"/>
          </w:tcPr>
          <w:p>
            <w:pPr>
              <w:spacing w:after="0"/>
              <w:rPr>
                <w:sz w:val="22"/>
                <w:szCs w:val="22"/>
                <w:color w:val="auto"/>
              </w:rPr>
            </w:pPr>
          </w:p>
        </w:tc>
        <w:tc>
          <w:tcPr>
            <w:tcW w:w="940" w:type="dxa"/>
            <w:vAlign w:val="bottom"/>
            <w:gridSpan w:val="2"/>
          </w:tcPr>
          <w:p>
            <w:pPr>
              <w:jc w:val="right"/>
              <w:ind w:right="98"/>
              <w:spacing w:after="0"/>
              <w:rPr>
                <w:sz w:val="20"/>
                <w:szCs w:val="20"/>
                <w:color w:val="auto"/>
              </w:rPr>
            </w:pPr>
            <w:r>
              <w:rPr>
                <w:rFonts w:ascii="Arial" w:cs="Arial" w:eastAsia="Arial" w:hAnsi="Arial"/>
                <w:sz w:val="18"/>
                <w:szCs w:val="18"/>
                <w:color w:val="auto"/>
              </w:rPr>
              <w:t>27,082</w:t>
            </w: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7,303</w:t>
            </w:r>
          </w:p>
        </w:tc>
        <w:tc>
          <w:tcPr>
            <w:tcW w:w="240" w:type="dxa"/>
            <w:vAlign w:val="bottom"/>
          </w:tcPr>
          <w:p>
            <w:pPr>
              <w:spacing w:after="0"/>
              <w:rPr>
                <w:sz w:val="22"/>
                <w:szCs w:val="2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7,771</w:t>
            </w:r>
          </w:p>
        </w:tc>
        <w:tc>
          <w:tcPr>
            <w:tcW w:w="136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117,148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157,438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36,599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42,993</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(75,715)</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(72,738)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(85,947)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(22,020)</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(19,802)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360" w:type="dxa"/>
            <w:vAlign w:val="bottom"/>
          </w:tcPr>
          <w:p>
            <w:pPr>
              <w:spacing w:after="0"/>
              <w:rPr>
                <w:sz w:val="18"/>
                <w:szCs w:val="18"/>
                <w:color w:val="auto"/>
              </w:rPr>
            </w:pPr>
          </w:p>
        </w:tc>
      </w:tr>
      <w:tr>
        <w:trPr>
          <w:trHeight w:val="201"/>
        </w:trPr>
        <w:tc>
          <w:tcPr>
            <w:tcW w:w="134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Loss before provision for income</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23"/>
        </w:trPr>
        <w:tc>
          <w:tcPr>
            <w:tcW w:w="1340" w:type="dxa"/>
            <w:vAlign w:val="bottom"/>
          </w:tcPr>
          <w:p>
            <w:pPr>
              <w:spacing w:after="0"/>
              <w:rPr>
                <w:sz w:val="19"/>
                <w:szCs w:val="19"/>
                <w:color w:val="auto"/>
              </w:rPr>
            </w:pPr>
          </w:p>
        </w:tc>
        <w:tc>
          <w:tcPr>
            <w:tcW w:w="2840" w:type="dxa"/>
            <w:vAlign w:val="bottom"/>
          </w:tcPr>
          <w:p>
            <w:pPr>
              <w:ind w:left="180"/>
              <w:spacing w:after="0"/>
              <w:rPr>
                <w:sz w:val="20"/>
                <w:szCs w:val="20"/>
                <w:color w:val="auto"/>
              </w:rPr>
            </w:pPr>
            <w:r>
              <w:rPr>
                <w:rFonts w:ascii="Arial" w:cs="Arial" w:eastAsia="Arial" w:hAnsi="Arial"/>
                <w:sz w:val="18"/>
                <w:szCs w:val="18"/>
                <w:color w:val="auto"/>
              </w:rPr>
              <w:t>taxes</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(76,375)</w:t>
            </w: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(73,044)</w:t>
            </w:r>
          </w:p>
        </w:tc>
        <w:tc>
          <w:tcPr>
            <w:tcW w:w="220" w:type="dxa"/>
            <w:vAlign w:val="bottom"/>
          </w:tcPr>
          <w:p>
            <w:pPr>
              <w:spacing w:after="0"/>
              <w:rPr>
                <w:sz w:val="19"/>
                <w:szCs w:val="19"/>
                <w:color w:val="auto"/>
              </w:rPr>
            </w:pPr>
          </w:p>
        </w:tc>
        <w:tc>
          <w:tcPr>
            <w:tcW w:w="940" w:type="dxa"/>
            <w:vAlign w:val="bottom"/>
            <w:gridSpan w:val="2"/>
          </w:tcPr>
          <w:p>
            <w:pPr>
              <w:jc w:val="right"/>
              <w:ind w:right="38"/>
              <w:spacing w:after="0"/>
              <w:rPr>
                <w:sz w:val="20"/>
                <w:szCs w:val="20"/>
                <w:color w:val="auto"/>
              </w:rPr>
            </w:pPr>
            <w:r>
              <w:rPr>
                <w:rFonts w:ascii="Arial" w:cs="Arial" w:eastAsia="Arial" w:hAnsi="Arial"/>
                <w:sz w:val="18"/>
                <w:szCs w:val="18"/>
                <w:color w:val="auto"/>
              </w:rPr>
              <w:t>(85,962)</w:t>
            </w:r>
          </w:p>
        </w:tc>
        <w:tc>
          <w:tcPr>
            <w:tcW w:w="16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(21,465)</w:t>
            </w:r>
          </w:p>
        </w:tc>
        <w:tc>
          <w:tcPr>
            <w:tcW w:w="2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(19,461)</w:t>
            </w:r>
          </w:p>
        </w:tc>
        <w:tc>
          <w:tcPr>
            <w:tcW w:w="1360" w:type="dxa"/>
            <w:vAlign w:val="bottom"/>
          </w:tcPr>
          <w:p>
            <w:pPr>
              <w:spacing w:after="0"/>
              <w:rPr>
                <w:sz w:val="19"/>
                <w:szCs w:val="19"/>
                <w:color w:val="auto"/>
              </w:rPr>
            </w:pPr>
          </w:p>
        </w:tc>
      </w:tr>
      <w:tr>
        <w:trPr>
          <w:trHeight w:val="217"/>
        </w:trPr>
        <w:tc>
          <w:tcPr>
            <w:tcW w:w="134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719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w:t>
            </w:r>
          </w:p>
        </w:tc>
        <w:tc>
          <w:tcPr>
            <w:tcW w:w="1360" w:type="dxa"/>
            <w:vAlign w:val="bottom"/>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88"/>
        </w:trPr>
        <w:tc>
          <w:tcPr>
            <w:tcW w:w="1340" w:type="dxa"/>
            <w:vAlign w:val="bottom"/>
          </w:tcPr>
          <w:p>
            <w:pPr>
              <w:spacing w:after="0"/>
              <w:rPr>
                <w:sz w:val="16"/>
                <w:szCs w:val="16"/>
                <w:color w:val="auto"/>
              </w:rPr>
            </w:pPr>
          </w:p>
        </w:tc>
        <w:tc>
          <w:tcPr>
            <w:tcW w:w="28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224"/>
        </w:trPr>
        <w:tc>
          <w:tcPr>
            <w:tcW w:w="1340" w:type="dxa"/>
            <w:vAlign w:val="bottom"/>
          </w:tcPr>
          <w:p>
            <w:pPr>
              <w:spacing w:after="0"/>
              <w:rPr>
                <w:sz w:val="19"/>
                <w:szCs w:val="19"/>
                <w:color w:val="auto"/>
              </w:rPr>
            </w:pPr>
          </w:p>
        </w:tc>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136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23"/>
        </w:trPr>
        <w:tc>
          <w:tcPr>
            <w:tcW w:w="1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427"/>
        </w:trPr>
        <w:tc>
          <w:tcPr>
            <w:tcW w:w="13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474"/>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8"/>
        </w:trPr>
        <w:tc>
          <w:tcPr>
            <w:tcW w:w="134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9"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1890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418909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520" w:type="dxa"/>
            <w:vAlign w:val="bottom"/>
            <w:gridSpan w:val="5"/>
          </w:tcPr>
          <w:p>
            <w:pPr>
              <w:jc w:val="center"/>
              <w:ind w:left="766"/>
              <w:spacing w:after="0"/>
              <w:rPr>
                <w:sz w:val="20"/>
                <w:szCs w:val="20"/>
                <w:color w:val="auto"/>
              </w:rPr>
            </w:pPr>
            <w:r>
              <w:rPr>
                <w:rFonts w:ascii="Arial" w:cs="Arial" w:eastAsia="Arial" w:hAnsi="Arial"/>
                <w:sz w:val="14"/>
                <w:szCs w:val="14"/>
                <w:b w:val="1"/>
                <w:bCs w:val="1"/>
                <w:color w:val="auto"/>
                <w:w w:val="88"/>
              </w:rPr>
              <w:t>Year Ended January 31,</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April 30,</w:t>
            </w: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ind w:left="320"/>
              <w:spacing w:after="0"/>
              <w:rPr>
                <w:sz w:val="20"/>
                <w:szCs w:val="20"/>
                <w:color w:val="auto"/>
              </w:rPr>
            </w:pPr>
            <w:r>
              <w:rPr>
                <w:rFonts w:ascii="Arial" w:cs="Arial" w:eastAsia="Arial" w:hAnsi="Arial"/>
                <w:sz w:val="12"/>
                <w:szCs w:val="12"/>
                <w:b w:val="1"/>
                <w:bCs w:val="1"/>
                <w:color w:val="auto"/>
                <w:w w:val="80"/>
              </w:rPr>
              <w:t>(in thousands,</w:t>
            </w: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share data)</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net loss per share</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21,268,067</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22,481,535</w:t>
            </w: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24,423,623</w:t>
            </w:r>
          </w:p>
        </w:tc>
        <w:tc>
          <w:tcPr>
            <w:tcW w:w="1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23,193,171</w:t>
            </w: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26,329,373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vMerge w:val="continue"/>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40" w:type="dxa"/>
            <w:vAlign w:val="bottom"/>
            <w:gridSpan w:val="2"/>
          </w:tcPr>
          <w:p>
            <w:pPr>
              <w:ind w:left="180"/>
              <w:spacing w:after="0"/>
              <w:rPr>
                <w:sz w:val="20"/>
                <w:szCs w:val="20"/>
                <w:color w:val="auto"/>
              </w:rPr>
            </w:pPr>
            <w:r>
              <w:rPr>
                <w:rFonts w:ascii="Arial" w:cs="Arial" w:eastAsia="Arial" w:hAnsi="Arial"/>
                <w:sz w:val="18"/>
                <w:szCs w:val="18"/>
                <w:color w:val="auto"/>
              </w:rPr>
              <w:t>attributable to common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
              <w:spacing w:after="0"/>
              <w:rPr>
                <w:sz w:val="20"/>
                <w:szCs w:val="20"/>
                <w:color w:val="auto"/>
              </w:rPr>
            </w:pPr>
            <w:r>
              <w:rPr>
                <w:rFonts w:ascii="Arial" w:cs="Arial" w:eastAsia="Arial" w:hAnsi="Arial"/>
                <w:sz w:val="18"/>
                <w:szCs w:val="18"/>
                <w:color w:val="auto"/>
              </w:rPr>
              <w:t>(1.14)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Weighted-average shares used to</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compute pro forma net loss per</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attributable to common</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4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w w:val="97"/>
              </w:rPr>
              <w:t>stockholders, basic and diluted</w:t>
            </w:r>
            <w:r>
              <w:rPr>
                <w:rFonts w:ascii="Arial" w:cs="Arial" w:eastAsia="Arial" w:hAnsi="Arial"/>
                <w:sz w:val="29"/>
                <w:szCs w:val="29"/>
                <w:color w:val="auto"/>
                <w:w w:val="97"/>
                <w:vertAlign w:val="superscript"/>
              </w:rPr>
              <w:t>(2)</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w w:val="90"/>
              </w:rPr>
              <w:t>76,136,260</w:t>
            </w: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80,129,077</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640" w:type="dxa"/>
            <w:vAlign w:val="bottom"/>
            <w:tcBorders>
              <w:bottom w:val="single" w:sz="8" w:color="auto"/>
            </w:tcBorders>
          </w:tcPr>
          <w:p>
            <w:pPr>
              <w:spacing w:after="0"/>
              <w:rPr>
                <w:sz w:val="7"/>
                <w:szCs w:val="7"/>
                <w:color w:val="auto"/>
              </w:rPr>
            </w:pPr>
          </w:p>
        </w:tc>
        <w:tc>
          <w:tcPr>
            <w:tcW w:w="1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tabs>
          <w:tab w:leader="none" w:pos="1880" w:val="left"/>
        </w:tabs>
        <w:numPr>
          <w:ilvl w:val="0"/>
          <w:numId w:val="12"/>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4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January 31,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Ended April 30,</w:t>
            </w: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81"/>
              </w:rPr>
              <w:t>(in</w:t>
            </w: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6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74"/>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1,245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1,897</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1,771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8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13"/>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352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43522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ind w:left="40"/>
              <w:spacing w:after="0"/>
              <w:rPr>
                <w:sz w:val="20"/>
                <w:szCs w:val="20"/>
                <w:color w:val="auto"/>
              </w:rPr>
            </w:pPr>
            <w:r>
              <w:rPr>
                <w:rFonts w:ascii="Arial" w:cs="Arial" w:eastAsia="Arial" w:hAnsi="Arial"/>
                <w:sz w:val="14"/>
                <w:szCs w:val="14"/>
                <w:b w:val="1"/>
                <w:bCs w:val="1"/>
                <w:color w:val="auto"/>
              </w:rPr>
              <w:t>As of April 30, 2017</w:t>
            </w:r>
          </w:p>
        </w:tc>
      </w:tr>
      <w:tr>
        <w:trPr>
          <w:trHeight w:val="124"/>
        </w:trPr>
        <w:tc>
          <w:tcPr>
            <w:tcW w:w="230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ind w:left="140"/>
              <w:spacing w:after="0" w:line="125" w:lineRule="exact"/>
              <w:rPr>
                <w:sz w:val="20"/>
                <w:szCs w:val="20"/>
                <w:color w:val="auto"/>
              </w:rPr>
            </w:pPr>
            <w:r>
              <w:rPr>
                <w:rFonts w:ascii="Arial" w:cs="Arial" w:eastAsia="Arial" w:hAnsi="Arial"/>
                <w:sz w:val="14"/>
                <w:szCs w:val="14"/>
                <w:b w:val="1"/>
                <w:bCs w:val="1"/>
                <w:color w:val="auto"/>
                <w:w w:val="98"/>
              </w:rPr>
              <w:t>Pro forma as</w:t>
            </w:r>
          </w:p>
        </w:tc>
        <w:tc>
          <w:tcPr>
            <w:tcW w:w="160" w:type="dxa"/>
            <w:vAlign w:val="bottom"/>
          </w:tcPr>
          <w:p>
            <w:pPr>
              <w:spacing w:after="0"/>
              <w:rPr>
                <w:sz w:val="10"/>
                <w:szCs w:val="10"/>
                <w:color w:val="auto"/>
              </w:rPr>
            </w:pPr>
          </w:p>
        </w:tc>
      </w:tr>
      <w:tr>
        <w:trPr>
          <w:trHeight w:val="193"/>
        </w:trPr>
        <w:tc>
          <w:tcPr>
            <w:tcW w:w="23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Actual</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85"/>
              </w:rPr>
              <w:t>Pro forma</w:t>
            </w:r>
            <w:r>
              <w:rPr>
                <w:rFonts w:ascii="Arial" w:cs="Arial" w:eastAsia="Arial" w:hAnsi="Arial"/>
                <w:sz w:val="22"/>
                <w:szCs w:val="22"/>
                <w:b w:val="1"/>
                <w:bCs w:val="1"/>
                <w:color w:val="auto"/>
                <w:w w:val="85"/>
                <w:vertAlign w:val="superscript"/>
              </w:rPr>
              <w:t>(1)</w:t>
            </w:r>
          </w:p>
        </w:tc>
        <w:tc>
          <w:tcPr>
            <w:tcW w:w="1160" w:type="dxa"/>
            <w:vAlign w:val="bottom"/>
            <w:gridSpan w:val="2"/>
          </w:tcPr>
          <w:p>
            <w:pPr>
              <w:ind w:left="120"/>
              <w:spacing w:after="0" w:line="193" w:lineRule="exact"/>
              <w:rPr>
                <w:sz w:val="20"/>
                <w:szCs w:val="20"/>
                <w:color w:val="auto"/>
              </w:rPr>
            </w:pPr>
            <w:r>
              <w:rPr>
                <w:rFonts w:ascii="Arial" w:cs="Arial" w:eastAsia="Arial" w:hAnsi="Arial"/>
                <w:sz w:val="14"/>
                <w:szCs w:val="14"/>
                <w:b w:val="1"/>
                <w:bCs w:val="1"/>
                <w:color w:val="auto"/>
              </w:rPr>
              <w:t>adjusted</w:t>
            </w:r>
            <w:r>
              <w:rPr>
                <w:rFonts w:ascii="Arial" w:cs="Arial" w:eastAsia="Arial" w:hAnsi="Arial"/>
                <w:sz w:val="22"/>
                <w:szCs w:val="22"/>
                <w:b w:val="1"/>
                <w:bCs w:val="1"/>
                <w:color w:val="auto"/>
                <w:vertAlign w:val="superscript"/>
              </w:rPr>
              <w:t>(2)(3)</w:t>
            </w:r>
          </w:p>
        </w:tc>
      </w:tr>
      <w:tr>
        <w:trPr>
          <w:trHeight w:val="142"/>
        </w:trPr>
        <w:tc>
          <w:tcPr>
            <w:tcW w:w="23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  108,769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108,769</w:t>
            </w:r>
          </w:p>
        </w:tc>
        <w:tc>
          <w:tcPr>
            <w:tcW w:w="1000" w:type="dxa"/>
            <w:vAlign w:val="bottom"/>
          </w:tcPr>
          <w:p>
            <w:pPr>
              <w:jc w:val="right"/>
              <w:ind w:right="826"/>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r>
      <w:tr>
        <w:trPr>
          <w:trHeight w:val="257"/>
        </w:trPr>
        <w:tc>
          <w:tcPr>
            <w:tcW w:w="54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(4)</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46,995</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46,995</w:t>
            </w:r>
          </w:p>
        </w:tc>
        <w:tc>
          <w:tcPr>
            <w:tcW w:w="10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164,346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164,346</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96,224</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Long-term debt, current and non-current, net of debt issuance costs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345,257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(367,091)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(367,091)</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(298,422)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48,007</w:t>
            </w: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102"/>
        </w:trPr>
        <w:tc>
          <w:tcPr>
            <w:tcW w:w="230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192" w:lineRule="exact"/>
        <w:rPr>
          <w:sz w:val="20"/>
          <w:szCs w:val="20"/>
          <w:color w:val="auto"/>
        </w:rPr>
      </w:pPr>
    </w:p>
    <w:p>
      <w:pPr>
        <w:ind w:left="1880" w:right="80" w:hanging="544"/>
        <w:spacing w:after="0" w:line="278" w:lineRule="auto"/>
        <w:tabs>
          <w:tab w:leader="none" w:pos="1880" w:val="left"/>
        </w:tabs>
        <w:numPr>
          <w:ilvl w:val="0"/>
          <w:numId w:val="14"/>
        </w:numPr>
        <w:rPr>
          <w:rFonts w:ascii="Arial" w:cs="Arial" w:eastAsia="Arial" w:hAnsi="Arial"/>
          <w:sz w:val="10"/>
          <w:szCs w:val="10"/>
          <w:color w:val="auto"/>
        </w:rPr>
      </w:pPr>
      <w:r>
        <w:rPr>
          <w:rFonts w:ascii="Arial" w:cs="Arial" w:eastAsia="Arial" w:hAnsi="Arial"/>
          <w:sz w:val="12"/>
          <w:szCs w:val="12"/>
          <w:color w:val="auto"/>
        </w:rPr>
        <w:t>Pro forma consolidated balance sheet data reflects (a) the conversion of all outstanding shares of redeemable convertible preferred stock into Class B common stock as if such conversion had occurred on April 30, 2017; (b) the reclassification of our redeemable convertible preferred stock warrant liability to stockholders' (deficit) equity in connection with the expiration of our outstanding redeemable convertible preferred stock warrants; and (c) the filing of our amended and restated certificate of incorporation, each of which will occur immediately prior to the completion of this offering.</w:t>
      </w:r>
    </w:p>
    <w:p>
      <w:pPr>
        <w:spacing w:after="0" w:line="7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40" w:type="dxa"/>
            <w:vAlign w:val="bottom"/>
          </w:tcPr>
          <w:p>
            <w:pPr>
              <w:jc w:val="right"/>
              <w:ind w:right="164"/>
              <w:spacing w:after="0"/>
              <w:rPr>
                <w:sz w:val="20"/>
                <w:szCs w:val="20"/>
                <w:color w:val="auto"/>
              </w:rPr>
            </w:pPr>
            <w:r>
              <w:rPr>
                <w:rFonts w:ascii="Arial" w:cs="Arial" w:eastAsia="Arial" w:hAnsi="Arial"/>
                <w:sz w:val="11"/>
                <w:szCs w:val="11"/>
                <w:color w:val="auto"/>
                <w:w w:val="74"/>
              </w:rPr>
              <w:t>(2)</w:t>
            </w: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w w:val="88"/>
              </w:rPr>
              <w:t>Pro forma as adjusted consolidated balance sheet data reflects the pro forma items described immediately above and our sale of</w:t>
            </w:r>
          </w:p>
        </w:tc>
        <w:tc>
          <w:tcPr>
            <w:tcW w:w="2100" w:type="dxa"/>
            <w:vAlign w:val="bottom"/>
          </w:tcPr>
          <w:p>
            <w:pPr>
              <w:ind w:left="200"/>
              <w:spacing w:after="0"/>
              <w:rPr>
                <w:sz w:val="20"/>
                <w:szCs w:val="20"/>
                <w:color w:val="auto"/>
              </w:rPr>
            </w:pPr>
            <w:r>
              <w:rPr>
                <w:rFonts w:ascii="Arial" w:cs="Arial" w:eastAsia="Arial" w:hAnsi="Arial"/>
                <w:sz w:val="14"/>
                <w:szCs w:val="14"/>
                <w:color w:val="auto"/>
                <w:w w:val="85"/>
              </w:rPr>
              <w:t>shares of Class A common stock in</w:t>
            </w:r>
          </w:p>
        </w:tc>
      </w:tr>
      <w:tr>
        <w:trPr>
          <w:trHeight w:val="149"/>
        </w:trPr>
        <w:tc>
          <w:tcPr>
            <w:tcW w:w="340" w:type="dxa"/>
            <w:vAlign w:val="bottom"/>
          </w:tcPr>
          <w:p>
            <w:pPr>
              <w:spacing w:after="0"/>
              <w:rPr>
                <w:sz w:val="12"/>
                <w:szCs w:val="12"/>
                <w:color w:val="auto"/>
              </w:rPr>
            </w:pPr>
          </w:p>
        </w:tc>
        <w:tc>
          <w:tcPr>
            <w:tcW w:w="3580" w:type="dxa"/>
            <w:vAlign w:val="bottom"/>
          </w:tcPr>
          <w:p>
            <w:pPr>
              <w:ind w:left="200"/>
              <w:spacing w:after="0" w:line="149" w:lineRule="exact"/>
              <w:rPr>
                <w:sz w:val="20"/>
                <w:szCs w:val="20"/>
                <w:color w:val="auto"/>
              </w:rPr>
            </w:pPr>
            <w:r>
              <w:rPr>
                <w:rFonts w:ascii="Arial" w:cs="Arial" w:eastAsia="Arial" w:hAnsi="Arial"/>
                <w:sz w:val="14"/>
                <w:szCs w:val="14"/>
                <w:color w:val="auto"/>
                <w:w w:val="94"/>
              </w:rPr>
              <w:t>this offering at an assumed initial public offering price of $</w:t>
            </w:r>
          </w:p>
        </w:tc>
        <w:tc>
          <w:tcPr>
            <w:tcW w:w="58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6"/>
              </w:rPr>
              <w:t>per share, the midpoint of the price range set forth on the cover page of this prospectus, after deducting</w:t>
            </w:r>
          </w:p>
        </w:tc>
      </w:tr>
      <w:tr>
        <w:trPr>
          <w:trHeight w:val="172"/>
        </w:trPr>
        <w:tc>
          <w:tcPr>
            <w:tcW w:w="340" w:type="dxa"/>
            <w:vAlign w:val="bottom"/>
          </w:tcPr>
          <w:p>
            <w:pPr>
              <w:spacing w:after="0"/>
              <w:rPr>
                <w:sz w:val="14"/>
                <w:szCs w:val="14"/>
                <w:color w:val="auto"/>
              </w:rPr>
            </w:pPr>
          </w:p>
        </w:tc>
        <w:tc>
          <w:tcPr>
            <w:tcW w:w="7280" w:type="dxa"/>
            <w:vAlign w:val="bottom"/>
            <w:gridSpan w:val="2"/>
          </w:tcPr>
          <w:p>
            <w:pPr>
              <w:ind w:left="200"/>
              <w:spacing w:after="0"/>
              <w:rPr>
                <w:sz w:val="20"/>
                <w:szCs w:val="20"/>
                <w:color w:val="auto"/>
              </w:rPr>
            </w:pPr>
            <w:r>
              <w:rPr>
                <w:rFonts w:ascii="Arial" w:cs="Arial" w:eastAsia="Arial" w:hAnsi="Arial"/>
                <w:sz w:val="14"/>
                <w:szCs w:val="14"/>
                <w:color w:val="auto"/>
              </w:rPr>
              <w:t>estimated underwriting discounts and commissions and estimated offering expenses payable by us.</w:t>
            </w:r>
          </w:p>
        </w:tc>
        <w:tc>
          <w:tcPr>
            <w:tcW w:w="2100" w:type="dxa"/>
            <w:vAlign w:val="bottom"/>
          </w:tcPr>
          <w:p>
            <w:pPr>
              <w:spacing w:after="0"/>
              <w:rPr>
                <w:sz w:val="14"/>
                <w:szCs w:val="14"/>
                <w:color w:val="auto"/>
              </w:rPr>
            </w:pPr>
          </w:p>
        </w:tc>
      </w:tr>
    </w:tbl>
    <w:p>
      <w:pPr>
        <w:spacing w:after="0" w:line="111" w:lineRule="exact"/>
        <w:rPr>
          <w:sz w:val="20"/>
          <w:szCs w:val="20"/>
          <w:color w:val="auto"/>
        </w:rPr>
      </w:pPr>
    </w:p>
    <w:p>
      <w:pPr>
        <w:ind w:left="1880" w:hanging="544"/>
        <w:spacing w:after="0"/>
        <w:tabs>
          <w:tab w:leader="none" w:pos="1880" w:val="left"/>
        </w:tabs>
        <w:numPr>
          <w:ilvl w:val="0"/>
          <w:numId w:val="15"/>
        </w:numPr>
        <w:rPr>
          <w:rFonts w:ascii="Arial" w:cs="Arial" w:eastAsia="Arial" w:hAnsi="Arial"/>
          <w:sz w:val="10"/>
          <w:szCs w:val="10"/>
          <w:color w:val="auto"/>
        </w:rPr>
      </w:pPr>
      <w:r>
        <w:rPr>
          <w:rFonts w:ascii="Arial" w:cs="Arial" w:eastAsia="Arial" w:hAnsi="Arial"/>
          <w:sz w:val="12"/>
          <w:szCs w:val="12"/>
          <w:color w:val="auto"/>
        </w:rPr>
        <w:t>Pro forma as adjusted consolidated balance sheet data is illustrative only and will change based on the actual initial public offering price and other terms of this offering</w:t>
      </w:r>
    </w:p>
    <w:p>
      <w:pPr>
        <w:spacing w:after="0" w:line="23" w:lineRule="exact"/>
        <w:rPr>
          <w:sz w:val="20"/>
          <w:szCs w:val="20"/>
          <w:color w:val="auto"/>
        </w:rPr>
      </w:pPr>
    </w:p>
    <w:p>
      <w:pPr>
        <w:ind w:left="1880" w:right="120"/>
        <w:spacing w:after="0" w:line="258" w:lineRule="auto"/>
        <w:rPr>
          <w:sz w:val="20"/>
          <w:szCs w:val="20"/>
          <w:color w:val="auto"/>
        </w:rPr>
      </w:pPr>
      <w:r>
        <w:rPr>
          <w:rFonts w:ascii="Arial" w:cs="Arial" w:eastAsia="Arial" w:hAnsi="Arial"/>
          <w:sz w:val="12"/>
          <w:szCs w:val="12"/>
          <w:color w:val="auto"/>
        </w:rPr>
        <w:t>determined at pricing. Each $1.00 increase or decrease in the assumed initial public offering price of $ per share, the midpoint of the price range set forth on the cover page of this prospectus, would increase or decrease pro forma as adjusted cash, cash equivalents and short-term investments, working capital, total assets and total</w:t>
      </w:r>
    </w:p>
    <w:p>
      <w:pPr>
        <w:jc w:val="both"/>
        <w:ind w:left="1880" w:right="320"/>
        <w:spacing w:after="0" w:line="265" w:lineRule="auto"/>
        <w:rPr>
          <w:sz w:val="20"/>
          <w:szCs w:val="20"/>
          <w:color w:val="auto"/>
        </w:rPr>
      </w:pPr>
      <w:r>
        <w:rPr>
          <w:rFonts w:ascii="Arial" w:cs="Arial" w:eastAsia="Arial" w:hAnsi="Arial"/>
          <w:sz w:val="12"/>
          <w:szCs w:val="12"/>
          <w:color w:val="auto"/>
        </w:rPr>
        <w:t>stockholders' (deficit) equity by 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cash equivalents and short-term</w:t>
      </w:r>
    </w:p>
    <w:p>
      <w:pPr>
        <w:sectPr>
          <w:pgSz w:w="11900" w:h="16838" w:orient="portrait"/>
          <w:cols w:equalWidth="0" w:num="1">
            <w:col w:w="11100"/>
          </w:cols>
          <w:pgMar w:left="240" w:top="131" w:right="559" w:bottom="1440" w:gutter="0" w:footer="0" w:header="0"/>
        </w:sectPr>
      </w:pPr>
    </w:p>
    <w:p>
      <w:pPr>
        <w:ind w:left="1880" w:right="40"/>
        <w:spacing w:after="0" w:line="221" w:lineRule="auto"/>
        <w:rPr>
          <w:sz w:val="20"/>
          <w:szCs w:val="20"/>
          <w:color w:val="auto"/>
        </w:rPr>
      </w:pPr>
      <w:r>
        <w:rPr>
          <w:rFonts w:ascii="Arial" w:cs="Arial" w:eastAsia="Arial" w:hAnsi="Arial"/>
          <w:sz w:val="14"/>
          <w:szCs w:val="14"/>
          <w:color w:val="auto"/>
        </w:rPr>
        <w:t>investments, working capital, total assets and total stockholders' (deficit) equity by approximately $ million, assuming that the assumed initial offering price to the public remains the same, and after deducting estimated underwriting discounts and commissions.</w:t>
      </w:r>
    </w:p>
    <w:p>
      <w:pPr>
        <w:sectPr>
          <w:pgSz w:w="11900" w:h="16838" w:orient="portrait"/>
          <w:cols w:equalWidth="0" w:num="1">
            <w:col w:w="11100"/>
          </w:cols>
          <w:pgMar w:left="240" w:top="131" w:right="559" w:bottom="1440" w:gutter="0" w:footer="0" w:header="0"/>
          <w:type w:val="continuous"/>
        </w:sectPr>
      </w:pPr>
    </w:p>
    <w:p>
      <w:pPr>
        <w:spacing w:after="0" w:line="112" w:lineRule="exact"/>
        <w:rPr>
          <w:sz w:val="20"/>
          <w:szCs w:val="20"/>
          <w:color w:val="auto"/>
        </w:rPr>
      </w:pPr>
    </w:p>
    <w:p>
      <w:pPr>
        <w:ind w:left="1880" w:hanging="544"/>
        <w:spacing w:after="0" w:line="239" w:lineRule="auto"/>
        <w:tabs>
          <w:tab w:leader="none" w:pos="1880" w:val="left"/>
        </w:tabs>
        <w:numPr>
          <w:ilvl w:val="0"/>
          <w:numId w:val="16"/>
        </w:numPr>
        <w:rPr>
          <w:rFonts w:ascii="Arial" w:cs="Arial" w:eastAsia="Arial" w:hAnsi="Arial"/>
          <w:sz w:val="11"/>
          <w:szCs w:val="11"/>
          <w:color w:val="auto"/>
        </w:rPr>
      </w:pPr>
      <w:r>
        <w:rPr>
          <w:rFonts w:ascii="Arial" w:cs="Arial" w:eastAsia="Arial" w:hAnsi="Arial"/>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following risks, together with all of the other information contained in this prospectus, including our consolidated financial statements and the related notes included elsewhere in this prospectus, before making a decision to invest in our Class A common stock. Any of the following risks could have an adverse effect on our business, results of operations, financial condition and prospects, and could cause the trading price of our Class A common stock to decline, which would cause you to lose all or part of your investment. Our business, results of operations, financial condition, or prospects could also be harmed by risks and uncertainties not currently known to us or that we currently do not believe are material.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predict our future results of operations.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were incorporated in 2007 and introduced MongoDB Community Server in 2009, MongoDB Enterprise Advanced in 2013 and MongoDB Atlas in 2016. As a result of our limited operating history, our ability to forecast our future results of operations is limited and subject to a number of uncertainties, including our ability to accurately predict future growth. Our historical revenue growth has been inconsistent and should not be considered indicative of our future performance. Further, in future periods, our revenue growth could slow or our revenue could decline for a number of reasons, including slowing demand for our subscription offerings and related services, reduced conversion of our open source users to paying customers, increasing competition, changes to technology or our intellectual property or our failure, for any reason, to continue to capitalize on growth opportunities. We have also encountered and will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losses, and as our costs increase, we may not be able to generate sufficient revenue to achieve or sustain profitability.</w:t>
      </w:r>
    </w:p>
    <w:p>
      <w:pPr>
        <w:spacing w:after="0" w:line="248"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incurred net losses in each period since our inception, including net losses of $73.5 million, $86.7 million and $19.7 million for fiscal years 2016 and 2017 and the three months ended April 30, 2017, respectively. We had an accumulated deficit of $367.1 million as of April 30, 2017. We expect our operating expenses to increase significantly as we increase our sales and marketing efforts, continue to invest in research and development, and expand our operations and infrastructure, both domestically and internationally. In addition, we expect to incur significant additional legal, accounting, and other expenses related to being a public company. While our revenue has grown in recent years, if our revenue declines or fails to grow at a rate faster than these increases in our operating expenses, we will not be able to achieve and maintain profitability in future periods. As a result, we expect to continue to generate losses. We cannot assure you that we will achieve profitability in the future or that, if we do become profitable, we will be able to sustain profitability.</w:t>
      </w:r>
    </w:p>
    <w:p>
      <w:pPr>
        <w:spacing w:after="0" w:line="17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we derive substantially all of our revenue from our database platform, failure of this platform to satisfy customer demands could adversely affect our business, results of operations, financial condition and growth prospects.</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derive and expect to continue to derive substantially all of our revenue from our database platform. As such, market adoption of our database platform is critical to our continued success. Demand for our platform is affected by a number of factors beyond our control, including continued market acceptance by developers, the availability of our Community Server offering, the continued volume, variety and velocity that data is generated, timing of development and release of new offerings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by our competitors, technological change, and the rate of growth in our market. If we are unable to continue to meet the demands of our customers and the developer community, our business operations, financial results and growth prospects will be materially and adversely affected.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face significant competition.</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database software market, for both relational and non-relational database products, is highly competitive, rapidly evolving and others may put out competing databases or sell services in connection with existing open source databases, including ours. The principal competitive factors in our market include: mindshare with software developers and IT executives; product capabilities, including flexibility, scalability, performance, security and reliability; flexible deployment model, including in the cloud, on-premise or in a hybrid environment; ease of deployment; breadth of use cases supported; ease of integration with existing IT infrastructure; robustness of professional services and customer support; price and total cost of ownership; adherence to industry standards and certifications; size of customer base and level of user adoption; strength of sales and marketing efforts; and brand awareness and reputation. If we fail to compete effectively with respect to any of these competitive factors, we may fail to attract new customers or lose or fail to renew existing customers, which would cause our operating results to suffer.</w:t>
      </w:r>
    </w:p>
    <w:p>
      <w:pPr>
        <w:spacing w:after="0" w:line="172"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We primarily compete with legacy relational database software providers such as IBM, Microsoft, Oracle and other similar companies. We also compete with non-relational database software providers and certain cloud providers such as Amazon Web Services, Inc., or AWS, Google Cloud Platform, or GCP, and Microsoft Azure. In addition, other large software and internet companies may seek to enter our market.</w:t>
      </w:r>
    </w:p>
    <w:p>
      <w:pPr>
        <w:spacing w:after="0" w:line="161"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With the introduction of new technologies and new market entrants, we expect competition to intensify in the future. In addition, some of our larger competitors have substantially broader offerings and can bundle competing products with hardware or other software offerings, including their cloud computing and customer relationship management platforms. As a result, customers may choose a bundled offering from our competitors, even if individual products have more limited functionality compared to our software. These larger competitors are also often in a better position to withstand any significant reduction in technology spending, and will therefore not be as susceptible to competition or economic downturns. In addition, some competitors may offer products or services that address one or a limited number of functions at lower prices, with greater depth than our products or in geographies where we do not operate.</w:t>
      </w:r>
    </w:p>
    <w:p>
      <w:pPr>
        <w:spacing w:after="0" w:line="18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Furthermore, our actual and potential competitors may establish cooperative relationships among themselves or with third parties that may further enhance their resources and offerings in the markets we address. In addition, third parties with greater available resources may acquire current or potential competitors. As a result of such relationships and acquisitions, our actual or potential competitors might be able to adapt more quickly to new technologies and customer needs, devote greater resources to the promotion or sale of their products, initiate or withstand substantial price competition, take advantage of other opportunities more readily or develop and expand their offerings more quickly than we do. For all of these reasons, we may not be able to compete successfully against our current or future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do not effectively expand our sales and marketing organization, we may be unable to add new customers or increase sales to our existing customers.</w:t>
      </w:r>
    </w:p>
    <w:p>
      <w:pPr>
        <w:spacing w:after="0" w:line="260"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Increasing our customer base and achieving broader market acceptance of our subscription offerings and related services will depend, to a significant extent, on our ability to effectively expand our sales and marketing operations and activities. We are substantially dependent on our direct sales force and our marketing efforts to obtain new customers. We plan to continue to expand our sales and marketing organization both domestically and internationally. We believe that there is significant competition for experienced sales professionals with the sales skills and technical knowledge that we require, particularly as we continue to target larger enterprises. Our ability to achieve significant revenue growth in the future will depend, in part, on our success in recruiting, training and retaining a sufficient number of experienced sales professionals, especially in large markets like New York, the San Francisco Bay Area and London, England. New hires require significant training and time before they achieve full productivity, particularly in new or developing sales territories. Our recent hires and planned hires may not become as productive as quickly as we expect, and we may be unable to hire or retain sufficient numbers of qualified individuals in the future in the markets where we do business. Because of our limited operating history, we cannot predict whether, or to what extent, our sales will increase as we expand our sales and marketing organization or how long it will take for sales personnel to become productive. Our business and results of operations will be harmed if the expansion of our sales and marketing organization does not generate a significant increase in revenue.</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adoption strategies include offering Community Server and a free tier of MongoDB Atlas, and we may not be able to realize the benefits of these strategies.</w:t>
      </w:r>
    </w:p>
    <w:p>
      <w:pPr>
        <w:spacing w:after="0" w:line="186"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We also offer a free tier of MongoDB Atlas in order to accelerate adoption, promote usage and drive brand and product awareness. We do not know if we will be able to convert these users to become paying customers of our platform. Our marketing strategy also depends in part on persuading users who use one of these free versions to convince others within their organization to purchase and deploy our platform. To the extent that users of Community Server or our free tier of MongoDB Atlas do not become, or lead others to become, paying customers, we will not realize the intended benefits of these strategies, and our ability to grow our business or achieve profitability may be harmed.</w:t>
      </w:r>
    </w:p>
    <w:p>
      <w:pPr>
        <w:spacing w:after="0" w:line="17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have invested significantly in our MongoDB Atlas offering and if it fails to achieve market adoption our business, results of operations and financial condition could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introduced MongoDB Atlas in June 2016. We have less experience marketing, determining pricing for and selling MongoDB Atlas, and we are still determining how to best market, price and support adoption of this offering. We have directed, and intend to continue to direct, a significant portion of our financial and operating resources to develop and grow MongoDB Atlas, including introducing a free tier of MongoDB Atlas to generate developer usage and awareness. Although MongoDB Atlas has seen rapid adoption since its commercial launch, we cannot guarantee that rate of adoption will continue at the same pace or at all. If we are unsuccessful in our efforts to drive customer adoption of MongoDB Atlas, or if we do so in a way that is not profitable or fails to compete successfully against our current or future competitors, our business, results of operations and financial condition could be harmed.</w:t>
      </w:r>
    </w:p>
    <w:p>
      <w:pPr>
        <w:spacing w:after="0" w:line="1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be negatively impacted if the GNU Affero General Public License Version 3 and other open source licenses under which some of our software is licensed are not enforceable.</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latest release of Community Server is licensed under the GNU Affero General Public License version 3, or the AGPL. This license states that any program licensed under it may be copied, modified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and distributed provided certain conditions are met. It is possible that a court would hold this license to be unenforceable. If a court held this license or certain aspects of this license to be unenforceable, others may be able to use our software to compete with us in the marketplace in a manner not subject to the restrictions set forth in the AGPL.</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offer Community Server under an open source license, which could negatively affect our ability to monetize and protect our intellectual property rights.</w:t>
      </w:r>
    </w:p>
    <w:p>
      <w:pPr>
        <w:spacing w:after="0" w:line="260"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make our Community Server offering available under the AGPL. Community Server is a free-to-download version of our database that includes the core functionality developers need to get started with MongoDB but not all of the features of our commercial platform. The AGPL grants licensees broad freedom to view, use, copy, modify and redistribute the source code of Community Server. Some commercial enterprises consider AGPL-licensed software to be unsuitable for commercial use because of its "copyleft" requirement that further distribution of AGPL-licensed software and modifications or adaptations to that software must be made available pursuant to the AGPL as well. However, some of those same commercial enterprises do not have the same concerns regarding using the software under the AGPL for internal purposes. Anyone can obtain a free copy of Community Server from the Internet, and we do not know who all of our AGPL licensees are. Competitors could develop modifications of our software to compete with us in the marketplace. We do not have visibility into how our software is being used by licensees, so our ability to detect violations of the AGPL is extremely limited.</w:t>
      </w:r>
    </w:p>
    <w:p>
      <w:pPr>
        <w:spacing w:after="0" w:line="172"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In addition to Community Server, we contribute other source code to open source projects under open source licenses and release internal software projects under open source licenses, and anticipate doing so in the future. Because the source code for Community Server and any other software we contribute to open source projects or distribute under open source licenses is publicly available, our ability to monetize and protect our intellectual property rights with respect to such source code may be limited or, in some cases, lost entirely.</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software incorporates third-party open source software, which could negatively affect our ability to sell our products and subject us to possible litigation.</w:t>
      </w:r>
    </w:p>
    <w:p>
      <w:pPr>
        <w:spacing w:after="0" w:line="260"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software includes third-party open source software, and we intend to continue to incorporate third-party open source software in our products in the future. There is a risk that the use of third-party open source software in our software could impose conditions or restrictions on our ability to monetize our software. Although we monitor the incorporation of open source software into our products to avoid such restrictions, we cannot be certain that we have not incorporated open source software in our products or platform in a manner that is inconsistent with our licensing model. Certain open source projects also include other open source software and there is a risk that those dependent open source libraries may be subject to inconsistent licensing terms. This could create further uncertainties as to the governing terms for the open source software we incorporate.</w:t>
      </w:r>
    </w:p>
    <w:p>
      <w:pPr>
        <w:spacing w:after="0" w:line="17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the terms of certain open source licenses to which we are subject have not been interpreted by U.S. or foreign courts, and there is a risk that open source software licenses could be construed in a manner that imposes unanticipated restrictions or conditions on our use of such software. Additionally, we may from time to time face claims from third parties claiming ownership of, or demanding release of, the software or derivative works that we developed using such open source software, which could include proprietary portions of our source code, or otherwise seeking to enforce the terms of the open source licenses. These claims could result in litigation and could require us to make those proprietary portions of our source code freely available, purchase a costly license or cease offering the implicated software or services unless and until we can re-engineer them to avoid infringement. This re-engineering process could require significant additional research and development resources, and we may not be able to complete it successfully.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addition to risks related to license requirements, use of third-party open source software can lead to greater risks than use of third-party commercial software, as open source licensors generally do not provide warranties. In addition, licensors of open source software included in our offerings may, from time to time, modify the terms of their license agreements in such a manner that those license terms may become incompatible with our licensing model, and thus could, among other consequences, prevent us from incorporating the software subject to the modified license.</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Any of these risks could be difficult to eliminate or manage, and if not addressed, could have a negative effect on our business, results of operations and financial condition.</w:t>
      </w:r>
    </w:p>
    <w:p>
      <w:pPr>
        <w:spacing w:after="0" w:line="18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If we are not able to introduce new features or services successfully and to make enhancements to our software or services, our business and results of operations could be adversely affected.</w:t>
      </w:r>
    </w:p>
    <w:p>
      <w:pPr>
        <w:spacing w:after="0" w:line="186"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Our ability to attract new customers and increase revenue from existing customers depends in part on our ability to enhance and improve our software and to introduce new features and services. For example, we introduced MongoDB Atlas in June 2016. To grow our business and remain competitive, we must continue to enhance our software and develop features that reflect the constantly evolving nature of technology and our customers' needs. The success of MongoDB Atlas and any other products, enhancements or developments depends on several factors: our anticipation of market changes and demands and product features, including timely product introduction and conclusion, sufficient customer demand, cost effectiveness in our product development efforts and the proliferation of new technologies that are able to deliver competitive products and services at lower prices, more efficiently, more conveniently or more securely. In addition, because our software is designed to operate with a variety of systems, applications, data and devices, we will need to continuously modify and enhance our software to keep pace with changes in such systems. We may not be successful in developing these modifications and enhancements. Furthermore, the addition of features and solutions to our software will increase our research and development expenses. Any new features that we develop may not be introduced in a timely or cost-effective manner or may not achieve the market acceptance necessary to generate sufficient revenue to justify the related expenses. It is difficult to predict customer adoption of new features. Such uncertainty limits our ability to forecast our future results of operations and subjects us to a number of challenges, including our ability to plan for and model future growth. If we cannot address such uncertainties and successfully develop new features, enhance our software or otherwise overcome technological challenges and competing technologies, our business and results of operations could be adversely affected.</w:t>
      </w:r>
    </w:p>
    <w:p>
      <w:pPr>
        <w:spacing w:after="0" w:line="166"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also offer professional services including consulting and training and must continually adapt to assist our customers in deploying our software in accordance with their specific IT strategies. If we cannot introduce new services or enhance our existing services to keep pace with changes in our customers' deployment strategies, we may not be able to attract new customers, retain existing customers and expand their use of our software or secure renewal contracts, which are important for the future of our business.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success is highly dependent on our ability to penetrate the existing market for database products, as well as the growth and expansion of the market for database products.</w:t>
      </w:r>
    </w:p>
    <w:p>
      <w:pPr>
        <w:spacing w:after="0" w:line="18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future success will depend in large part on our ability to service existing demand, as well as the continued growth and expansion of the database market. It is difficult to predict demand for our offerings, the conversion from one to the other and related services and the size, growth rate and expansion of these markets, the entry of competitive products or the success of existing competitive products. Our ability to penetrate the existing database market and any expansion of the market depends on a number of factors, including cost, performance and perceived value associated with our subscription offerings, as well as our customers' willingness to adopt an alternative approach to relational and other database products available in the market. Furthermore, many of our potential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customers have made significant investments in relational databases, such as offerings from Oracle, and may be unwilling to invest in new products. If the market for databases fails to grow at the rate that we anticipate or decreases in size or we are not successful in penetrating the existing market, our business would be harmed.</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future quarterly results may fluctuate significantly, and if we fail to meet the expectations of analysts or investors, our stock price and the value of your investment could decline substantially.</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results of operations, including our revenue, operating expenses and cash flows may vary significantly in the future as a result of a variety of factors, many of which are outside of our control, may be difficult to predict and may or may not fully reflect the underlying performance of our business and period-to-period comparisons of our operating results may not be meaningful. Some of the factors that may cause our results of operations to fluctuate from quarter to quarter include:</w:t>
      </w:r>
    </w:p>
    <w:p>
      <w:pPr>
        <w:spacing w:after="0" w:line="211"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actual and anticipated growth rates of our revenue, customers and other key operating metrics;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product announcements, pricing changes and other actions by competitors;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subscriptions for our MongoDB Enterprise Advanced and MongoDB Atlas offerings and professional services, as such relative mix may impact our gross margins and operating income;</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and associated costs attributable to sales where subscriptions are bundled with services versus sold on a standalone basis and sales by us and our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retain customers and expand their usage of our software, particularly for our largest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inability to enforce our AGPL license;</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closing sales, including the timing of renewals, which may result in revenue being pushed into the next quarter, particularly because a large portion of our sales occur toward the end of each quarter;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revenue recognition;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mix of revenue attributable to larger transactions as opposed to smaller transactions;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budgeting cycles and purchasing decisions;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customers and potential customers opting for alternative products, including developing their own in-house solutions, or opting to use only the free version of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services offered by us and our competitors or any other change in the competitive dynamics of our industry, including consolidation among competitors, customers or strategic partners;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failure to maintain the level of service uptime and performance required by our customers;</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collectability of receivables from customers and resellers, which may be hindered or delayed if these customers or resellers experience financial distress;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internationally, as well as economic conditions specifically affecting industries in which our customers participate;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new accounting pronouncements;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stock-based compensation expense.</w:t>
      </w:r>
    </w:p>
    <w:p>
      <w:pPr>
        <w:spacing w:after="0" w:line="225"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occurrence of one or more of the foregoing and other factors may cause our results of operations to vary significantly. We also intend to continue to invest significantly to grow our business in the near future rather than optimizing for profitability or cash flows. In addition, we expect to incur significant additional expenses due to the increased costs of operating as a public company. Accordingly, historical patterns and our results of operations in any one quarter may not be meaningful and should not be relied upon as indicative of future performance. Additionally, if our quarterly results of operations fall below the expectations of investors or securities analysts who follow our stock, the price of our Class A common stock could decline substantially, and we could face costly lawsuits, including securities class action suits.</w:t>
      </w:r>
    </w:p>
    <w:p>
      <w:pPr>
        <w:spacing w:after="0" w:line="198"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b w:val="1"/>
          <w:bCs w:val="1"/>
          <w:i w:val="1"/>
          <w:iCs w:val="1"/>
          <w:color w:val="auto"/>
        </w:rPr>
        <w:t>We have experienced rapid growth in recent periods. If we fail to continue to grow and to manage our growth effectively, we may be unable to execute our business plan, increase our revenue, improve our results of operations, maintain high levels of service, or adequately address competitive challenges.</w:t>
      </w:r>
    </w:p>
    <w:p>
      <w:pPr>
        <w:spacing w:after="0" w:line="116"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recently experienced a period of rapid growth in our business, operations, and employee headcount. For fiscal years 2016 and 2017 and the three months ended April 30, 2016 and 2017, our total revenue was $65.3 million and $101.4 million and $21.5 million and $32.4 million, respectively, representing a 55% and 51% growth rate, respectively. We have also significantly increased the size of our customer base from over 1,100 customers as of January 31, 2015 to over 3,650 customers as of April 30, 2017, and we grew from 383 employees as of January 31, 2015 to 754 employees as of April 30, 2017. We expect to continue to expand our operations and employee headcount in the near term. Our success will depend in part on our ability to continue to grow and to manage this growth, domestically and internationally, effectively.</w:t>
      </w:r>
    </w:p>
    <w:p>
      <w:pPr>
        <w:spacing w:after="0" w:line="198" w:lineRule="exact"/>
        <w:rPr>
          <w:sz w:val="20"/>
          <w:szCs w:val="20"/>
          <w:color w:val="auto"/>
        </w:rPr>
      </w:pPr>
    </w:p>
    <w:p>
      <w:pPr>
        <w:ind w:firstLine="351"/>
        <w:spacing w:after="0" w:line="310" w:lineRule="auto"/>
        <w:rPr>
          <w:sz w:val="20"/>
          <w:szCs w:val="20"/>
          <w:color w:val="auto"/>
        </w:rPr>
      </w:pPr>
      <w:r>
        <w:rPr>
          <w:rFonts w:ascii="Arial" w:cs="Arial" w:eastAsia="Arial" w:hAnsi="Arial"/>
          <w:sz w:val="15"/>
          <w:szCs w:val="15"/>
          <w:color w:val="auto"/>
        </w:rPr>
        <w:t>Our recent growth has placed, and future growth will continue to place, a significant strain on our management, administrative, operational and financial infrastructure. We will need to continue to improve our operational, financial, and management processes and controls, and our reporting systems and procedures to manage the expected growth of our operations and personnel, which will require significant expenditures and allocation of valuable management and employee resources. If we fail to implement these infrastructure improvements effectively, our ability to ensure uninterrupted operation of key business systems and comply with the rules and regulations that are applicable to public reporting companies will be impaired. Further, if we do not effectively manage the growth of our business and operations, the quality of our products and services could suffer, the preservation of our culture, values and entrepreneurial environment may change and we may not be able to adequately address competitive challenges. This could impair our ability to attract new customers, retain existing customers and expand their use of our products and services, all of which would adversely affect our brand, overall business, results of operations and financial condition.</w:t>
      </w:r>
    </w:p>
    <w:p>
      <w:pPr>
        <w:spacing w:after="0" w:line="162" w:lineRule="exact"/>
        <w:rPr>
          <w:sz w:val="20"/>
          <w:szCs w:val="20"/>
          <w:color w:val="auto"/>
        </w:rPr>
      </w:pPr>
    </w:p>
    <w:p>
      <w:pPr>
        <w:ind w:right="440"/>
        <w:spacing w:after="0" w:line="370" w:lineRule="auto"/>
        <w:rPr>
          <w:sz w:val="20"/>
          <w:szCs w:val="20"/>
          <w:color w:val="auto"/>
        </w:rPr>
      </w:pPr>
      <w:r>
        <w:rPr>
          <w:rFonts w:ascii="Arial" w:cs="Arial" w:eastAsia="Arial" w:hAnsi="Arial"/>
          <w:sz w:val="15"/>
          <w:szCs w:val="15"/>
          <w:b w:val="1"/>
          <w:bCs w:val="1"/>
          <w:i w:val="1"/>
          <w:iCs w:val="1"/>
          <w:color w:val="auto"/>
        </w:rPr>
        <w:t>If our security measures, or those of our service providers, are breached or unauthorized access to private or proprietary data is otherwise obtained, our software may be perceived as not being secure, customers may reduce or terminate their use of our software, and we may incur significant liabilities.</w:t>
      </w:r>
    </w:p>
    <w:p>
      <w:pPr>
        <w:spacing w:after="0" w:line="11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Because our software, which can be deployed in the cloud, on-premise or in a hybrid environment and can be hosted by our customers or can be hosted by us as a service, allows customers to store and transmit data, there exists an inherent risk of a security breach or other security incident, which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result in the loss of, or unauthorized access to, this data. We, or our service providers, may also suffer a security breach or other security incident affecting the systems or networks used to operate our business, or otherwise impacting the data that is stored or processed in the conduct of our business. Any such security breach or other security incident could lead to litigation, indemnity obligations, regulatory investigations and enforcement actions, and other liability. If our security measures, or those of our services providers, are breached or are believed to have been breached, whether as a result of third-party action, employee, vendor, or contractor error, malfeasance, phishing attacks, social engineering, or otherwise, loss of data may result, our reputation could be damaged, our business may suffer, and we may face regulatory investigations and actions, litigation, indemnity obligations, damages for contract breach, and fines and penalties for violations of applicable laws or regulations. Security breaches could also result in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Similarly, if a cyber incident (including any accidental or intentional computer or network issues such as phishing attacks, viruses, denial of service, or DoS, attacks, malware installation, server malfunction, software or hardware failures, loss of data or other computer assets, adware, or other similar issues) impairs the integrity or availability of our systems, or those of our service providers, by affecting our data, or reducing access to or shutting down one or more of our computing systems or our IT network, or if any such impairment is perceived to have occurred, we may be subject to negative treatment by our customers, our business partners, the press, and the public at large. We may also experience security breaches that may remain undetected for an extended period. Techniques used to obtain unauthorized access or sabotage systems change frequently and generally are not identified until they are launched against a target, and cybersecurity threats continue to evolve and are difficult to predict due to advances in computer capabilities, new discoveries in the field of cryptography and new and sophisticated methods used by criminals, including phishing, social engineering or other illicit acts. We may be unable to anticipate these techniques or to implement adequate preventative measures. Any or all of these issues could harm our reputation and negatively impact our ability to attract new customers and increase engagement by existing customers, cause existing customers to elect not to renew their subscriptions, or subject us to third-party lawsuits, regulatory fines, actions, and investigations, or other actions or liability, thereby adversely affecting our financial results.</w:t>
      </w:r>
    </w:p>
    <w:p>
      <w:pPr>
        <w:spacing w:after="0" w:line="18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While we maintain general liability insurance coverage and coverage for errors or omissions, we cannot assure you that such coverage will be adequate or otherwise protect us from liabilities or damages with respect to claims alleging compromises of personal or other confidential data or otherwise relating to privacy or data security matters or that such coverage will continue to be available to us on commercially reasonable terms or at all.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may be long and is unpredictable, and our sales efforts require considerable time and expense.</w:t>
      </w:r>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timing of our sales and related revenue recognition is difficult to predict because of the length and unpredictability of the sales cycle for our offerings. We are often required to spend significant time and resources to better educate and familiarize potential customers with the value proposition of paying for our products and services. The length of our sales cycle, from initial evaluation to payment for our offerings is generally three to nine months, but can vary substantially from customer to customer or from application to application within a given customer. As the purchase and deployment of our products can be dependent upon customer initiatives, our sales cycle can extend to more than a year for some customers. Customers often view a subscription to our products and services as a strategic decision and significant investment and, as a result, frequently require considerable time to evaluate, test and qualify our product offering prior to entering into or expanding a subscription. During the sales cycle, we expend significant time and money on sales and marketing and contract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negotiation activities, which may not result in a sale. Additional factors that may influence the length and variability of our sales cycle include:</w:t>
      </w:r>
    </w:p>
    <w:p>
      <w:pPr>
        <w:spacing w:after="0" w:line="23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effectiveness of our sales force, in particular new sales people as we increase the size of our sales force;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discretionary nature of purchasing and budget cycles and decisions;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obstacles placed by a customer's procurement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of Community Server for free;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conditions and other factors impacting customer budgets;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evaluation of competing products during the purchasing process;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evolving customer demands.</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Given these factors, it is difficult to predict whether and when a sale will be completed, and when revenue from a sale will be recognized, particularly since we generally recognize revenue over the term of a subscription and in some cases, when our subscription offering is purchased with a service contract, we do not recognize revenue from the subscription until services are provided, which may result in lower than expected revenue in any given period, which would have an adverse effect on our business, results of operations and financial condition.</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have a limited history with our subscription offerings and pricing model and if, in the future, we are forced to reduce prices for our subscription offerings, our revenue and results of operations will be harmed.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limited experience with respect to determining the optimal prices for our subscription offerings. As the market for databases evolves, or as new competitors introduce new products or services that compete with ours, we may be unable to attract new customers or convert Community Server users to paying customers on terms or based on pricing models that we have used historically. In the past, we have been able to increase our prices for our subscriptions offerings, but we may choose not to introduce or be unsuccessful in implementing future price increases. As a result of these and other factors, in the future we may be required to reduce our prices or be unable to increase our prices, or it may be necessary for us to increase our services or product offerings without additional revenue to remain competitive, all of which could harm our results of operations and financial condition.</w:t>
      </w:r>
    </w:p>
    <w:p>
      <w:pPr>
        <w:spacing w:after="0" w:line="17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If we are unable to attract new customers in a manner that is cost-effective and assures customer success, we will not be able to grow our business, which would adversely affect our results of operations, and financial condition.</w:t>
      </w:r>
    </w:p>
    <w:p>
      <w:pPr>
        <w:spacing w:after="0" w:line="186"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In order to grow our business, we must continue to attract new customers in a cost-effective manner and enable these customers to realize the benefits associated with our products and services. We may not be able to attract new customers for a variety of reasons, including as a result of their use of traditional relational and/or other database products, and their internal timing, budget or other constraints that hinder their ability to migrate to or adopt our products or services.</w:t>
      </w:r>
    </w:p>
    <w:p>
      <w:pPr>
        <w:spacing w:after="0" w:line="19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Even if we do attract new customers, the cost of new customer acquisition, product implementation and ongoing customer support may prove so high as to prevent us from achieving or sustaining profitability. For example, in fiscal years 2016 and 2017 and the three months ended April 30, 2017, total sales and marketing expense represented 87%, 78% and 68% of revenue, respectively. We intend to continue to hire additional sales personnel, increase our marketing activities to help educate the market about the benefits of our platform and services, grow our domestic and international operations, and build brand awareness. We also intend to continue to cultivate our relationships with developers through continued investment and growth of our MongoDB World, MongoDB Advocacy Hub, User Groups, MongoDB University and our partner ecosystem of global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system integrators, value-added resellers and independent software vendors. If the costs of these sales and marketing efforts increase dramatically, if we do not experience a substantial increase in leverage from our partner ecosystem, or if our sales and marketing efforts do not result in substantial increases in revenue, our business, results of operations, and financial condition may be adversely affected. In addition, while we expect to continue to invest in our professional services organization to accelerate our customers' ability to adopt our products and ultimately create and expand their use of our products over time, we cannot assure you that any of these investments will lead to the cost-effective acquisition of additional customers.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business and results of operations depend substantially on our customers renewing their subscriptions with us and expanding their use of software and related services. Any decline in our customer renewals or failure to convince our customers to broaden their use of subscription offerings and related services would harm our business, results of operations, and financial condition.</w:t>
      </w:r>
    </w:p>
    <w:p>
      <w:pPr>
        <w:spacing w:after="0" w:line="194" w:lineRule="exact"/>
        <w:rPr>
          <w:sz w:val="20"/>
          <w:szCs w:val="20"/>
          <w:color w:val="auto"/>
        </w:rPr>
      </w:pPr>
    </w:p>
    <w:p>
      <w:pPr>
        <w:ind w:firstLine="351"/>
        <w:spacing w:after="0" w:line="307" w:lineRule="auto"/>
        <w:rPr>
          <w:sz w:val="20"/>
          <w:szCs w:val="20"/>
          <w:color w:val="auto"/>
        </w:rPr>
      </w:pPr>
      <w:r>
        <w:rPr>
          <w:rFonts w:ascii="Arial" w:cs="Arial" w:eastAsia="Arial" w:hAnsi="Arial"/>
          <w:sz w:val="15"/>
          <w:szCs w:val="15"/>
          <w:color w:val="auto"/>
        </w:rPr>
        <w:t>Our subscription offerings are term-based and a majority of our subscription contracts were one year in duration in fiscal year 2017. In order for us to maintain or improve our results of operations, it is important that our customers renew their subscriptions with us when the existing subscription term expires, and renew on the same or more favorable quantity and terms. Our customers have no obligation to renew their subscriptions, and we may not be able to accurately predict customer renewal rates. In addition, the growth of our business depends in part on our customers expanding their use of subscription offerings and related services. Historically, some of our customers have elected not to renew their subscriptions with us for a variety of reasons, including as a result of changes in their strategic IT priorities, budgets, costs and, in some instances, due to competing solutions. Our retention rate may also decline or fluctuate as a result of a number of other factors, including our customers' satisfaction or dissatisfaction with our software, the increase in the contract value of subscription and support contracts from new customers, the effectiveness of our customer support services, our pricing, the prices of competing products or services, mergers and acquisitions affecting our customer base, global economic conditions, and the other risk factors described herein. As a result, we cannot assure you that customers will renew subscriptions or increase their usage of our software and related services. If our customers do not renew their subscriptions or renew on less favorable terms, or if we are unable to expand our customers' use of our software, our business, results of operations, and financial condition may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 quality support, our business and reputation could suffer.</w:t>
      </w:r>
    </w:p>
    <w:p>
      <w:pPr>
        <w:spacing w:after="0" w:line="225"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Our customers rely on our personnel for support of our software included in our MongoDB Enterprise Advanced, MongoDB Atlas and MongoDB Professional packages. High-quality support is important for the renewal and expansion of our agreements with existing customers. The importance of high-quality support will increase as we expand our business and pursue new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Real or perceived errors, failures or bugs in our software could adversely affect our business, results of operations, financial condition, and growth prospects.</w:t>
      </w:r>
    </w:p>
    <w:p>
      <w:pPr>
        <w:spacing w:after="0" w:line="260" w:lineRule="exact"/>
        <w:rPr>
          <w:sz w:val="20"/>
          <w:szCs w:val="20"/>
          <w:color w:val="auto"/>
        </w:rPr>
      </w:pPr>
    </w:p>
    <w:p>
      <w:pPr>
        <w:ind w:right="40" w:firstLine="351"/>
        <w:spacing w:after="0" w:line="309" w:lineRule="auto"/>
        <w:rPr>
          <w:sz w:val="20"/>
          <w:szCs w:val="20"/>
          <w:color w:val="auto"/>
        </w:rPr>
      </w:pPr>
      <w:r>
        <w:rPr>
          <w:rFonts w:ascii="Arial" w:cs="Arial" w:eastAsia="Arial" w:hAnsi="Arial"/>
          <w:sz w:val="15"/>
          <w:szCs w:val="15"/>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Real or perceived errors, failures or bugs in our products could result in negative publicity, loss of or delay in market acceptance of our software and harm our brand, weakening of our competitive position,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errors, failures or bugs in our software could impair our ability to attract new customers, retain existing customers or expand their use of our software, which would adversely affect our business, results of operations and financial condition.</w:t>
      </w:r>
    </w:p>
    <w:p>
      <w:pPr>
        <w:spacing w:after="0" w:line="16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Because our software and services could be used to collect and store personal information, domestic and international privacy concerns could result in additional costs and liabilities to us or inhibit sales of our software.</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Personal privacy has become a significant issue in the United States and in many other countries where we offer our software and services. The regulatory framework for privacy issues worldwide is rapidly evolving and is likely to remain uncertain for the foreseeable future. Many federal, state and foreign government bodies and agencies have adopted or are considering adopting laws, rules and regulations regarding the collection, use, storage and disclosure of personal information and breach notification procedures. Interpretation of these laws, rules and regulations and their application to our software and professional services in the United States and foreign jurisdictions is ongoing and cannot be fully determined at this time.</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the United States, these include rules and regulations promulgated under the authority of the Federal Trade Commission, the Electronic Communications Privacy Act, Computer Fraud and Abuse Act, the Health Insurance Portability and Accountability Act of 1996, or HIPAA, the Gramm Leach Bliley Act and state laws relating to privacy and data security. Internationally, virtually every jurisdiction in which we operate has established its own data security and privacy legal framework with which we, or our customers, must comply. There may be substantial amounts of personally identifiable information or other sensitive information uploaded to our services and managed using our software.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December 2015, European Union, or EU, institutions reached agreement on a draft regulation that was formally adopted in April 2016, referred to as the General Data Protection Regulation, or GDPR. The GDPR updates and modernizes the principles of the 1995 EU Data Protection Directive. The GDPR significantly increases the level of sanctions for non-compliance from those in existing EU data protection law. EU data protection authorities will have the power to impose administrative fines for violations of the GDPR of up to a maximum of €20 million or 4% of the data controller's or data processor's total worldwide global turnover for the preceding financial year, whichever is higher, and violations of the GDPR may also lead to damages claims by data controllers and data subjects. Since we act as a data processor for our MongoDB Atlas customers, we are taking steps to cause our processes to be compliant with applicable portions of the GDPR, but we cannot assure you that such steps will be effective. The GDPR will be enforced beginning in May 2018.</w:t>
      </w:r>
    </w:p>
    <w:p>
      <w:pPr>
        <w:spacing w:after="0" w:line="172"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data management practices or the features of our software. If so, in addition to the possibility of fines, lawsuits and other claims, we could be required to fundamentally change our business activities and practices or modify our software, which we may be unable to do in a commercially reasonable manner or at all, and which could have an adverse effect on our business. Any inability to adequately address privacy concerns, even if unfounded, or comply with applicable privacy or data protection laws, regulations and other actual or alleged obligations, could result in additional cost and liability to us, damage our reputation, inhibit sales and adversely affect our business.</w:t>
      </w:r>
    </w:p>
    <w:p>
      <w:pPr>
        <w:spacing w:after="0" w:line="20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Furthermore, the costs of compliance with, and other burdens imposed by, the laws, regulations, and policies that are applicable to the businesses of our customers may limit the use and adoption of, and reduce the overall demand for, our software. Privacy concerns, whether valid or not valid, may inhibit market adoption of our software particularly in certain industries and foreign countries.</w:t>
      </w:r>
    </w:p>
    <w:p>
      <w:pPr>
        <w:spacing w:after="0" w:line="19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186" w:lineRule="exact"/>
        <w:rPr>
          <w:sz w:val="20"/>
          <w:szCs w:val="20"/>
          <w:color w:val="auto"/>
        </w:rPr>
      </w:pPr>
    </w:p>
    <w:p>
      <w:pPr>
        <w:jc w:val="both"/>
        <w:ind w:right="460" w:firstLine="351"/>
        <w:spacing w:after="0" w:line="298" w:lineRule="auto"/>
        <w:rPr>
          <w:sz w:val="20"/>
          <w:szCs w:val="20"/>
          <w:color w:val="auto"/>
        </w:rPr>
      </w:pPr>
      <w:r>
        <w:rPr>
          <w:rFonts w:ascii="Arial" w:cs="Arial" w:eastAsia="Arial" w:hAnsi="Arial"/>
          <w:sz w:val="16"/>
          <w:szCs w:val="16"/>
          <w:color w:val="auto"/>
        </w:rPr>
        <w:t>Market opportunity estimates and growth forecasts included in this prospectus are subject to significant uncertainty and are based on assumptions and estimates that may not prove to be accurate. Even if the market in which we compete meets the size estimates and growth forecasted in this prospectus, our business could fail to grow for a variety of reasons, which would adversely affect our results of operations. For more information regarding the estimates of market opportunity and the forecasts of market growth included in this prospectus, see the section titled "Industry and Market Data."</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rights could reduce the value of our software and brand.</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Our success and ability to compete depend in part upon our intellectual property rights. As of June 30, 2017, we had seven issued patents and 42 pending patent applications in the United States, which may not result in issued patents. Even if a patent issues, we cannot assure you that such patent will be adequate to protect our business. We primarily rely on copyright, trademark laws, trade secret protection and confidentiality or other contractual arrangements with our employees, customers, partners and others to protect our intellectual property rights. However, the steps we take to protect our intellectual property rights may not be adequate. In order to protect our intellectual property rights, we may be required to spend significant resources to establish, monitor and enforce such rights. Litigation brought to enforce our intellectual property rights could be costly, time-consuming and distracting to management and could be met with defenses, counterclaims and countersuits attacking the validity and enforceability of our intellectual property rights, which may result in the impairment or loss of portions of our intellectual property. The laws of some foreign countries do not protect our intellectual property rights to the same extent as the laws of the United States, and effective intellectual property protection and mechanisms may not be available in those jurisdictions. We may need to expend additional resources to defend our intellectual property in these countries, and our inability to do so could impair our business or adversely affect our international expansion. Even if we are able to secure our intellectual property rights, there can be no assurances that such rights will provide us with competitive advantages or distinguish our products and services from those of our competitors or that our competitors will not independently develop similar technology. In addition, we regularly contribute source code under open source licenses and have made some of our own software available under open source licenses, and we include third-party open source software in our products. Because the source code for any software we contribute to open source projects or distribute under open source licenses is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publicly available, our ability to protect our intellectual property rights with respect to such source code may be limited or lost entirely. In addition, from time to time, we may face claims from third parties claiming ownership of, or demanding release of, the software or derivative works that we have developed using third-party open source software, which could include our proprietary source code, or otherwise seeking to enforce the terms of the applicable open-source license.</w:t>
      </w:r>
    </w:p>
    <w:p>
      <w:pPr>
        <w:spacing w:after="0" w:line="16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86"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database software and services generally and for our subscription offering and related services in particular. Current or future economic uncertainties or downturns could adversely affect our business and results of operations. Negative conditions in the general economy both in the United States and abroad, including conditions resulting from changes in gross domestic product growth, financial and credit market fluctuations, political turmoil, natural catastrophes, warfare and terrorist attacks on the United States, Europe, the Asia Pacific region or elsewhere, could cause a decrease in business investments, including spending on information technology, and negatively affect the growth of our business. To the extent our database software is perceived by customers and potential customers as costly, or too difficult to deploy or migrate to, our revenue may be disproportionately affected by delays or reductions in general information technology spending. Also,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maintain successful relationships with our partners, our business, results of operations and financial condition could be harmed.</w:t>
      </w:r>
    </w:p>
    <w:p>
      <w:pPr>
        <w:spacing w:after="0" w:line="248"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In addition to our direct sales force and our website, we use strategic partners, such as global system integrators, value-added resellers and independent software vendors to sell our subscription offerings and related services. Our agreements with our partners are generally nonexclusive, meaning our partners may offer their customers products and services of several different companies, including products and services that compete with ours, or may themselves be or become competitors. If our partners do not effectively market and sell our subscription offerings and related services, choose to use greater efforts to market and sell their own products and services or those of our competitors, or fail to meet the needs of our customers, our ability to grow our business and sell our subscription offerings and related services may be harmed. Our partners may cease marketing our subscription offerings or related services with limited or no notice and with little or no penalty. The loss of a substantial number of our partners, our possible inability to replace them, or the failure to recruit additional partners could harm our growth objectives and results of operations.</w:t>
      </w:r>
    </w:p>
    <w:p>
      <w:pPr>
        <w:spacing w:after="0" w:line="17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rely upon third-party cloud providers to host our cloud offering; any disruption of or interference with our use of third-party cloud providers would adversely affect our business, results of operations and financial condition.</w:t>
      </w:r>
    </w:p>
    <w:p>
      <w:pPr>
        <w:spacing w:after="0" w:line="186"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outsource substantially all of the infrastructure relating to MongoDB Atlas across AWS, Microsoft Azure and GCP to host our cloud offering. Customers of MongoDB Atlas need to be able to access our platform at any time, without interruption or degradation of performance, and we provide them with service level commitments with respect to uptime. Third-party cloud providers run their own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platforms that we access, and we are, therefore, vulnerable to their service interruptions. We may experience interruptions, delays and outages in service and availability from time to time as a result of problems with our third-party cloud providers' infrastructure. Lack of availability of this infrastructure could be due to a number of potential causes including technical failures, natural disasters, fraud or security attacks that we cannot predict or prevent. Such outages could lead to the triggering of our service level agreements and the issuance of credits to our cloud offering customers, which may impact our business, results of operations and financial condition. In addition, if our security, or that of any of these third-party cloud providers, is compromised, our software is unavailable or our customers are unable to use our software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is possible that our customers and potential customers would hold us accountable for any breach of security affecting a third-party cloud provider's infrastructure and we may incur significant liability from those customers and from third parties with respect to any breach affecting these systems. We may not be able to recover a material portion of our liabilities to our customers and third parties from a third-party cloud provider. It may also become increasingly difficult to maintain and improve our performance, especially during peak usage times, as our software becomes more complex and the usage of our software increases. Any of the above circumstances or events may harm our business, results of operations and financial condition.</w:t>
      </w:r>
    </w:p>
    <w:p>
      <w:pPr>
        <w:spacing w:after="0" w:line="17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may adversely affect our business, results of operations and financial condition.</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continued growth depends in part on the ability of our existing customers and new customers to access our software at any time and within an acceptable amount of time. We may experience service disruptions, outages and other performance problems due to a variety of factors, including infrastructure changes or failures, human or software errors, malicious acts, terrorism or capacity constraints. Capacity constraints could be due to a number of potential causes including technical failures, natural disasters, fraud or security attacks. In some instances, we may not be able to identify and/or remedy the cause or causes of these performance problems within an acceptable period of time. It may become increasingly difficult to maintain and improve our performance as our software offerings and customer implementations become more complex. If our software is unavailable or if our customers are unable to access features of our software within a reasonable amount of time or at all, or if other performance problems occur, our business, results of operations and financial conditions may be adversely affected.</w:t>
      </w:r>
    </w:p>
    <w:p>
      <w:pPr>
        <w:spacing w:after="0" w:line="17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Incorrect or improper implementation or use of our software could result in customer dissatisfaction and harm our business, results of operations, financial condition and growth prospects.</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database software and related services are designed to be deployed in a wide variety of technology environments, including in large-scale, complex technology environments, and we believe our future success will depend at least, in part, on our ability to support such deployments. Implementations of our software may be technically complicated, and it may not be easy to maximize the value of our software without proper implementation and training. For example, in January 2017, it was reported that nearly 30,000 instances of MongoDB were subject to a ransomware attack. Almost all of these instances were launched by users with our Community Server offering rather than users of MongoDB Enterprise Advanced. We believe these attacks were due to the users' failure to properly turn on the recommended security settings when running MongoDB. If our customers are unable to implement our software successfully, or in a timely manner, customer perceptions of our company and our software may be impaired, our reputation and brand may suffer, and customers may choose not to renew their subscriptions or increase their purchases of our related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customers and partners need regular training in the proper use of and the variety of benefits that can be derived from our software to maximize its potential. We often work with our customers to achieve successful implementations, particularly for large, complex deployments. Our failure to train customers on how to efficiently and effectively deploy and use our software, or our failure to provide effective support or professional services to our customers, whether actual or perceived, may result in negative publicity or legal actions against us. Also, as we continue to expand our customer base, any actual or perceived failure by us to properly provide these services will likely result in lost opportunities for follow-on sales of our related services.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meet our service level commitments, our business, results of operations and financial condition could be adversely affected.</w:t>
      </w:r>
    </w:p>
    <w:p>
      <w:pPr>
        <w:spacing w:after="0" w:line="24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agreements with customers typically provide for service level commitments. Our MongoDB Professional and MongoDB Enterprise Advanced customers typically get service level commitments with certain guaranteed response times and comprehensive 24x365 coverage. Our MongoDB Atlas customers typically get monthly uptime service level commitments, where we are required to provide a service credit for any extended periods of downtime. The complexity and quality of our customer's implementation and the performance and availability of cloud services and cloud infrastructure are outside our control and, therefore, we are not in full control of whether we can meet these service level commitments. Our business, results of operations and financial condition could be adversely affected if we fail to meet our service level commitments for any reason. Any extended service outages could adversely affect our business, reputation and brand.</w:t>
      </w:r>
    </w:p>
    <w:p>
      <w:pPr>
        <w:spacing w:after="0" w:line="201"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b w:val="1"/>
          <w:bCs w:val="1"/>
          <w:i w:val="1"/>
          <w:iCs w:val="1"/>
          <w:color w:val="auto"/>
        </w:rPr>
        <w:t>We rely on the performance of highly skilled personnel, including senior management and our engineering, professional services, sales and technology professionals; if we are unable to retain or motivate key personnel or hire, retain and motivate qualified personnel, our business would be harmed.</w:t>
      </w:r>
    </w:p>
    <w:p>
      <w:pPr>
        <w:spacing w:after="0" w:line="11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our success has depended, and continues to depend, on the efforts and talents of our senior management team, particularly our Chief Executive Officer and Chief Technology Officer, and our highly skilled team members, including our sales personnel, client services personnel and software engineers. We do not maintain key man insurance on any of our executive officers or key employees. From time to time, there may be changes in our senior management team resulting from the termination or departure of our executive officers and key employees. Our senior management and key employees are employed on an at-will basis, which means that they could terminate their employment with us at any time. The loss of any of our senior management or key employees, could adversely affect our ability to build on the efforts they have undertaken and to execute our business plan, and we may not be able to find adequate replacements. We cannot ensure that we will be able to retain the services of any members of our senior management or other key employees.</w:t>
      </w:r>
    </w:p>
    <w:p>
      <w:pPr>
        <w:spacing w:after="0" w:line="172" w:lineRule="exact"/>
        <w:rPr>
          <w:sz w:val="20"/>
          <w:szCs w:val="20"/>
          <w:color w:val="auto"/>
        </w:rPr>
      </w:pPr>
    </w:p>
    <w:p>
      <w:pPr>
        <w:ind w:right="240" w:firstLine="351"/>
        <w:spacing w:after="0" w:line="294" w:lineRule="auto"/>
        <w:rPr>
          <w:sz w:val="20"/>
          <w:szCs w:val="20"/>
          <w:color w:val="auto"/>
        </w:rPr>
      </w:pPr>
      <w:r>
        <w:rPr>
          <w:rFonts w:ascii="Arial" w:cs="Arial" w:eastAsia="Arial" w:hAnsi="Arial"/>
          <w:sz w:val="16"/>
          <w:szCs w:val="16"/>
          <w:color w:val="auto"/>
        </w:rPr>
        <w:t>Our ability to successfully pursue our growth strategy also depends on our ability to attract, motivate and retain our personnel. Competition for well-qualified employees in all aspects of our business, including sales personnel, client services personnel and software engineers, is intense. Our recruiting efforts focus on elite organizations and our primary recruiting competition are well-known, high-paying technology companies. Our continued ability to compete effectively depends on our ability to attract new employees and to retain and motivate existing employees. If we do not succeed in attracting well-qualified employees or retaining and motivating existing employees, our business would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maintain and enhance our brand, especially among developers, our business and operating results may be adversely affected.</w:t>
      </w:r>
    </w:p>
    <w:p>
      <w:pPr>
        <w:spacing w:after="0" w:line="248" w:lineRule="exact"/>
        <w:rPr>
          <w:sz w:val="20"/>
          <w:szCs w:val="20"/>
          <w:color w:val="auto"/>
        </w:rPr>
      </w:pPr>
    </w:p>
    <w:p>
      <w:pPr>
        <w:jc w:val="center"/>
        <w:ind w:right="360"/>
        <w:spacing w:after="0" w:line="370" w:lineRule="auto"/>
        <w:rPr>
          <w:sz w:val="20"/>
          <w:szCs w:val="20"/>
          <w:color w:val="auto"/>
        </w:rPr>
      </w:pPr>
      <w:r>
        <w:rPr>
          <w:rFonts w:ascii="Arial" w:cs="Arial" w:eastAsia="Arial" w:hAnsi="Arial"/>
          <w:sz w:val="15"/>
          <w:szCs w:val="15"/>
          <w:color w:val="auto"/>
        </w:rPr>
        <w:t>We believe that developing and maintaining widespread awareness of our brand, especially with developers, in a cost-effective manner is critical to achieving widespread acceptance of our software and attracting new customers. Brand promotion activities may not generate customer awareness or increase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revenue, and even if they do, any increase in revenue may not offset the expenses we incur in building our brand. For instance, our continued focus and investment in MongoDB World, MongoDB University, and similar investments in our brand and customer engagement and education may not generate a sufficient financial return. If we fail to successfully promote and maintain our brand, or continue to incur substantial expenses, we may fail to attract or retain customers necessary to realize a sufficient return on our brand-building efforts, or to achieve the widespread brand awareness that is critical for broad customer adoption of our platform.</w:t>
      </w:r>
    </w:p>
    <w:p>
      <w:pPr>
        <w:spacing w:after="0" w:line="19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entrepreneurial spirit we have worked hard to foster, which could harm our business.</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believe that our culture has been and will continue to be a key contributor to our success. From January 31, 2015 to April 30, 2017, we increased the size of our workforce by 371 employees, and we expect to continue to hire aggressively as we expand, especially sales and marketing personnel. If we do not continue to maintain our corporate culture as we grow, we may be unable to foster the innovation, creativity, and entrepreneurial spirit we believe we need to support our growth. Moreover, many of our existing employees may be able to receive significant proceeds from sales of our Class A common stock in the public markets after this offering, which could lead to employee attrition and disparities of wealth among our employees that adversely affects relations among employees and our culture in general. Our substantial anticipated headcount growth and our transition from a private company to a public company may result in a change to our corporate culture, which could harm our business.</w:t>
      </w:r>
    </w:p>
    <w:p>
      <w:pPr>
        <w:spacing w:after="0" w:line="1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depend and rely upon software-as-a-service, or SaaS, technologies from third parties to operate our business, and interruptions or performance problems with these technologies may adversely affect our business and results of operations.</w:t>
      </w:r>
    </w:p>
    <w:p>
      <w:pPr>
        <w:spacing w:after="0" w:line="186"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We rely on hosted SaaS applications from third parties in order to operate critical functions of our business, including enterprise resource planning, order management, contract management billing, project management, and accounting and other operational activities. If these services become unavailable due to extended outages, interruptions or because they are no longer available on commercially reasonable terms, our expenses could increase, our ability to manage finances could be interrupted and our processes for managing sales of our platform and supporting our customers could be impaired until equivalent services, if available, are identified, obtained and implemented, all of which could adversely affect our business.</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may be costly to defend, could require us to pay significant damages and could limit our ability to use certain technologies.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Companies in the software and technology industries, including some of our current and potential competitors, own large numbers of patents, copyrights, trademarks and trade secrets and frequently enter into litigation based on allegations of infringement or other violations of intellectual property rights. We have in the past and may in the future be subject to claims that we have misappropriated, misused or infringed the intellectual property rights of our competitors, non-practicing entities or other third parties. This risk is exacerbated by the fact that our software incorporates third-party open source software.</w:t>
      </w:r>
    </w:p>
    <w:p>
      <w:pPr>
        <w:spacing w:after="0" w:line="167"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intellectual property claims, with or without merit, could be very time-consuming and expensive and could divert our management's attention and other resources. These claims could also subject us to significant liability for damages, potentially including treble damages if we are found to have willfully infringed patents or copyrights. These claims could also result in our having to stop using technology found to be in violation of a third party's rights, some of which we have invested considerable effort and time to bring to market. We might be required to seek a license for the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intellectual property, which may not be available on reasonable terms or at all. Even if a license is available, we could be required to pay significant royalties, which would increase our operating expenses. As a result, we may be required to develop alternative non-infringing technology, which could require significant effort and expense. If we cannot license or develop technology for any aspect of our business that may ultimately be determined to infringe on the intellectual property rights of another party, we could be forced to limit or stop sales of subscriptions to our software and may be unable to compete effectively. Any of these results would adversely affect our business, results of operations and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248" w:lineRule="exact"/>
        <w:rPr>
          <w:sz w:val="20"/>
          <w:szCs w:val="20"/>
          <w:color w:val="auto"/>
        </w:rPr>
      </w:pPr>
    </w:p>
    <w:p>
      <w:pPr>
        <w:jc w:val="both"/>
        <w:ind w:right="120" w:firstLine="351"/>
        <w:spacing w:after="0" w:line="284" w:lineRule="auto"/>
        <w:rPr>
          <w:sz w:val="20"/>
          <w:szCs w:val="20"/>
          <w:color w:val="auto"/>
        </w:rPr>
      </w:pPr>
      <w:r>
        <w:rPr>
          <w:rFonts w:ascii="Arial" w:cs="Arial" w:eastAsia="Arial" w:hAnsi="Arial"/>
          <w:sz w:val="16"/>
          <w:szCs w:val="16"/>
          <w:color w:val="auto"/>
        </w:rPr>
        <w:t>Our agreements with customers and other third parties may include indemnification provisions under which we agree to indemnify them for losses suffered or incurred as a result of claims of intellectual property infringement, damages caused by us to property or persons, or other liabilities relating to or arising from our software, services or other contractual obligations. Large indemnity payments could harm our business, results of operations and financial condition.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Although we normally contractually limit our liability with respect to such indemnity obligations, we may still incur substantial liability related to them. Any dispute with a customer with respect to such obligations could have adverse effects on our relationship with that customer and other existing customers and new customers and harm our business and results of operations.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recognize a majority of our revenue over the term of our customer contracts. Consequently, increases or decreases in new sales may not be immediately reflected in our results of operations and may be difficult to discern.</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recognize subscription revenue from subscription customers ratably over the terms of their contracts. The majority of our subscription contracts were one year in duration in fiscal year 2017.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majority of our costs are expensed as incurred, while revenue is recognized over the life of the subscription agreement. As a result, growth in the number of customers could continue to result in our recognition of higher costs and lower revenue in the earlier periods of our subscription agreements. Finally, our subscription-based revenue model also makes it difficult for us to rapidly increase our revenue through additional sales in any period, as revenue from new customers and significant increases in the size of subscriptions with existing customers must be recognized over the applicable subscription term.</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Because our long-term growth strategy involves further expansion of our sales to customers outside the United States, our business will be susceptible to risks associated with international operations.</w:t>
      </w:r>
    </w:p>
    <w:p>
      <w:pPr>
        <w:spacing w:after="0" w:line="186"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component of our growth strategy involves the further expansion of our operations and customer base internationally. In the fiscal years ended January 31, 2016 and 2017 and the three months ended April 30, 2017, total revenue generated from customers outside the United States was 31%, 35% and 34%, respectively, of our total revenue. We currently have international offices outside of North America throughout Europe, the Middle East and Africa, or EMEA, and the Asia-Pacific region, focusing primarily on selling our products and services in those regions. In the future, we may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expand to other international locations. Our current international operations and future initiatives involve a variety of risks, including:</w:t>
      </w:r>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taxes or trade laws;</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EMEA;</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differing labor regulations, especially in EMEA, where labor laws are generally more advantageous to employees as compared to the United States, including deemed hourly wage and overtime regulations in these locations;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an increased number of employees over large geographic distances, including the need to implement appropriate systems, policies, benefits and compliance programs;</w:t>
      </w:r>
    </w:p>
    <w:p>
      <w:pPr>
        <w:spacing w:after="0" w:line="21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238"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preferences for local vendors;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enforcing our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or terrorist activities;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U.K. Bribery Act and similar laws and regulations in other jurisdictions;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and operating results will suffer.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currency exchange rates fluctuate substantially in the future, our financial results, which are reported in U.S. dollars, could be adversely affected.</w:t>
      </w:r>
    </w:p>
    <w:p>
      <w:pPr>
        <w:spacing w:after="0" w:line="248"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As we continue to expand our international operations, we become more exposed to the effects of fluctuations in currency exchange rates. Often, contracts executed by our foreign operations are denominated in the currency of that country or region and a portion of our revenue is therefore subject to foreign currency risks. However, a strengthening of the U.S. dollar could increase the real cost of our subscription offerings and related services to our customers outside of the United States, adversely affecting our business, results of operations and financial condition. We incur expenses for employee</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compensation and other operating expenses at our non-U.S. locations in the local currency. Fluctuations in the exchange rates between the U.S. dollar and other currencies could result in the dollar equivalent of such expenses being higher. This could have a negative impact on our reported results of operations. To date, we have not engaged in any hedging strategies, and any such strategies, such as forward contracts, options and foreign exchange swaps related to transaction exposures that we may implement in the future to mitigate this risk may not eliminate our exposure to foreign exchange fluctuations. Moreover, the use of hedging instruments may introduce additional risks if we are unable to structure effective hedges with such instruments.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software, and could have a negative impact on our business.</w:t>
      </w:r>
    </w:p>
    <w:p>
      <w:pPr>
        <w:spacing w:after="0" w:line="186"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future success of our business, and particularly our cloud offerings, such as MongoDB Atlas,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software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solutions such as ours.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the use of the internet as a business tool could be adversely affected due to delays in the development or adoption of new standards and protocols to handle increased demands of internet activity, security, reliability, cost, ease of use, accessibility, and quality of service. The performance of the internet and its acceptance as a business tool have been adversely affected by "ransomware," "viruses," "worms," "malware," "phishing attacks," "data breaches" and similar malicious programs, behavior, and events, and the internet has experienced a variety of outages and other delays as a result of damage to portions of its infrastructure. If the use of the internet is adversely affected by these issues, demand for our subscription offerings and related services could suffer.</w:t>
      </w:r>
    </w:p>
    <w:p>
      <w:pPr>
        <w:spacing w:after="0" w:line="17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86" w:lineRule="exact"/>
        <w:rPr>
          <w:sz w:val="20"/>
          <w:szCs w:val="20"/>
          <w:color w:val="auto"/>
        </w:rPr>
      </w:pPr>
    </w:p>
    <w:p>
      <w:pPr>
        <w:ind w:right="20" w:firstLine="351"/>
        <w:spacing w:after="0" w:line="308" w:lineRule="auto"/>
        <w:rPr>
          <w:sz w:val="20"/>
          <w:szCs w:val="20"/>
          <w:color w:val="auto"/>
        </w:rPr>
      </w:pPr>
      <w:r>
        <w:rPr>
          <w:rFonts w:ascii="Arial" w:cs="Arial" w:eastAsia="Arial" w:hAnsi="Arial"/>
          <w:sz w:val="15"/>
          <w:szCs w:val="15"/>
          <w:color w:val="auto"/>
        </w:rPr>
        <w:t>Based on our current corporate structure,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The authorities in these jurisdictions could review our tax returns or require us to file tax returns in jurisdictions in which we are not currently filing, and could impose additional tax, interest and penalties. In addition, the authorities could claim that various withholding requirements apply to us or our subsidiaries, assert that benefits of tax treaties are not available to us or our subsidiaries, or challenge our methodologies for valuing developed technology or intercompany arrangements, including our transfer pricing. The relevant taxing authorities may determine that the manner in which we operate our business does not achieve the intended tax consequences. If such a disagreement was to occur, and our position was not sustained, we could be required to pay additional taxes, and interest and penalties. Such authorities could claim that various withholding requirements apply to us or our subsidiaries or assert that benefits of tax treaties are not available to us or our subsidiaries. Any increase in the amount of taxes we pay or that are imposed on us could increase our worldwide effective tax rate and harm our business and results of operations.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139"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Our success will depend, in part, on our ability to grow our business in response to changing technologies, customer demands and competitive pressures. In some circumstances, we may choose to do so through the acquisition of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211" w:lineRule="exact"/>
        <w:rPr>
          <w:sz w:val="20"/>
          <w:szCs w:val="20"/>
          <w:color w:val="auto"/>
        </w:rPr>
      </w:pPr>
    </w:p>
    <w:p>
      <w:pPr>
        <w:ind w:left="1080" w:right="220" w:hanging="532"/>
        <w:spacing w:after="0" w:line="25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negatively affect our results of operations because it may require us to incur charges or assume substantial debt or other liabilities, may cause adverse tax consequences or unfavorable accounting treatment, may expose us to claims and disputes by stockholders and third parties, including intellectual property claims and disputes, or may not generate sufficient financial return to offset additional costs and expenses related to the acquisition;</w:t>
      </w:r>
    </w:p>
    <w:p>
      <w:pPr>
        <w:spacing w:after="0" w:line="224"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realize anticipated synergies;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acquisition may result in a delay or reduction of customer purchases for both us and the company acquired due to customer uncertainty about continuity and effectiveness of service from either company;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challenges integrating the employees of the acquired company into our company culture;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use of cash to pay for acquisitions would limit other potential uses for our cash;</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incur debt to fund any acquisitions, such debt may subject us to material restrictions on our ability to conduct our business financial maintenance covenants; and</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issue a significant amount of equity securities in connection with future acquisitions, existing stockholders may be diluted and earnings per share may decrease.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occurrence of any of these risks could have an adverse effect on our business, results of operations and financial condition.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our election to comply with the reduced disclosure requirements as a public company may make our Class A common stock less attractive to investors.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For so long as we remain an "emerging growth company," as defined in the JOBS Act, we may take advantage of certain exemptions from various requirements that are applicable to public companies that are not "emerging growth companies," including not being required to comply with the independent auditor attestation requirements of Section 404 of the Sarbanes-Oxley Act of 2002, or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stockholder approval of any golden parachute payments not previously approved. We will remain an "emerging growth company" until the earlier to occur of (1) the last day of the fiscal year (a) following the fifth anniversary of the closing of this offering, (b) in which our annual gross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revenue is $1.07 billion or more, or (c) the date on which we have, during the previous rolling three-year period, issued more than $1 billion in non-convertible debt securities, and (2) we are deemed to be a "large accelerated filer" as defined in the Exchange Act. In addition, the JOBS Act also provides that an "emerging growth company" can take advantage of an extended transition period for complying with new or revised accounting standards. We have chosen to take advantage of such extended transition period, and as a result, we will not comply with new or revised accounting standards on the relevant dates on which adoption of such standards is required for non-emerging growth companies.</w:t>
      </w:r>
    </w:p>
    <w:p>
      <w:pPr>
        <w:spacing w:after="0" w:line="197"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 and may decline.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anti-bribery, anti-corruption, and anti-money laundering laws could subject us to penalties and other adverse consequences.</w:t>
      </w:r>
    </w:p>
    <w:p>
      <w:pPr>
        <w:spacing w:after="0" w:line="248"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We are subject to the U.S. Foreign Corrupt Practices Act of 1977, as amended, or FCPA, U.S. Travel Act, the U.K. Bribery Act, or Bribery Act, and other anti-corruption, anti-bribery and anti-money laundering laws in various jurisdictions around the world. The FCPA, Bribery Act, and similar applicable laws generally prohibit companies, their officers, directors, employees and third-party intermediaries, business partners, and agents from making improper payments or providing other improper things of value to government officials or other persons. We and our third-party intermediaries may have direct or indirect interactions with officials and employees of government agencies or state-owned or affiliated entities and other third parties where we may be held liable for the corrupt or other illegal activities of these third-party business partners and intermediaries, our employees, representatives, contractors, resellers, and agents, even if we do not explicitly authorize such activities. While we have policies and procedures and internal controls to address compliance with such laws, we cannot assure you that all of our employees and agents will not take actions in violation of our policies and applicable law, for which we may be ultimately held responsible. To the extent that we learn that any of our employees, third-party intermediaries, agents, or business partners do not adhere to our policies, procedures, or internal controls, we are committed to taking appropriate remedial action. In the event that we believe or have reason to believe that our directors, officers, employees, third-party intermediaries, agents, or business partners have or may have violated such laws, we may be required to investigate or have outside counsel investigate the relevant facts and circumstances. Detecting, investigating and resolving actual or alleged violations can be extensive and require a significant diversion of time, resources, and attention from senior management. Any violation of the FCPA, Bribery Act, or other applicable anti-bribery, anti-corruption laws, and anti-money laundering laws could result in whistleblower complaints, adverse media coverage, investigations, loss of export privileges, severe criminal or civil sanctions, fines, and penalties or suspension or debarment from U.S. government contracts, all of which may have a material adverse effect on our reputation, business, operating results and prospects, and financial condition.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reported financial results may be adversely affected by changes in accounting principles generally accepted in the United States.</w:t>
      </w:r>
    </w:p>
    <w:p>
      <w:pPr>
        <w:spacing w:after="0" w:line="248"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Generally accepted accounting principles in the United States, or GAAP, are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4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 xml:space="preserve">In particular, in May 2014, the FASB issued FASB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the revenue recognition requirements in ASC 605, Revenue Recognition. The core principle of ASU 2014-09 is that an entity should recognize revenue to depict the transfer of promised goods or services to customers in an amount that reflects the consideration to which the entity expects to be entitled in exchange for those goods or services. 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with respect to ASU 2014-09. We expect ASU 2014-09 to apply to us in fiscal year 2020.</w:t>
      </w:r>
    </w:p>
    <w:p>
      <w:pPr>
        <w:spacing w:after="0" w:line="174"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However, we are evaluating ASU 2014-09 and have not determined the impact it may have on our financial reporting. If, for example, we were required to recognize revenue differently with respect to our subscriptions, the differential revenue recognition may cause variability in our reported operating results due to periodic or long term changes in the mix among our subscription offerings.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results of operations could be adversely affected.</w:t>
      </w:r>
    </w:p>
    <w:p>
      <w:pPr>
        <w:spacing w:after="0" w:line="248"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77"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the</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Sarbanes-Oxley 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72" w:lineRule="exact"/>
        <w:rPr>
          <w:sz w:val="20"/>
          <w:szCs w:val="20"/>
          <w:color w:val="auto"/>
        </w:rPr>
      </w:pPr>
    </w:p>
    <w:p>
      <w:pPr>
        <w:ind w:firstLine="351"/>
        <w:spacing w:after="0" w:line="282"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w:t>
      </w:r>
    </w:p>
    <w:p>
      <w:pPr>
        <w:spacing w:after="0" w:line="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meet these requirements, we may not be 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98"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may require additional capital to support our operations or the growth of our business, and we cannot be certain that this capital will be available on reasonable terms when required, or at all.</w:t>
      </w:r>
    </w:p>
    <w:p>
      <w:pPr>
        <w:spacing w:after="0" w:line="186"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funded our operations since inception primarily through equity financings and payments by our customers for use of our subscription offerings and related services. We cannot be certain when or if our operations will generate sufficient cash to fund our ongoing operations or the growth of our business.</w:t>
      </w:r>
    </w:p>
    <w:p>
      <w:pPr>
        <w:spacing w:after="0" w:line="13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develop new features or otherwise enhance our database software, improve our operating infrastructure or acquire businesses and technologies. Accordingly, we may need to secure additional capital through equity or debt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financings. If we raise additional capital, our existing stockholders could suffer significant dilution, and any new equity securities we issue could have rights, preferences and privileges superior to those of holders of our Class A common stock and Class B common stock.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that are favorable to us, if at all. If we are unable to obtain adequate financing or financing on terms that are satisfactory to us when we require it, our ability to continue to support our business growth and to respond to business challenges could be significantly impaired, and our business may be harmed.</w:t>
      </w:r>
    </w:p>
    <w:p>
      <w:pPr>
        <w:spacing w:after="0" w:line="17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are a multinational organization faced with increasingly complex tax issues in many jurisdictions, and we could be obligated to pay additional taxes in various jurisdictions.</w:t>
      </w:r>
    </w:p>
    <w:p>
      <w:pPr>
        <w:spacing w:after="0" w:line="186"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As a multinational organization, we may be subject to taxation in several jurisdictions around the world with increasingly complex tax laws, the amount of taxes we pay in these jurisdictions could increase substantially as a result of changes in the applicable tax principles, including increased tax rates, new tax laws or revised interpretations of existing tax laws and precedents, which could have a material adverse effect on our liquidity and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could have a material impact on us and the results of our operations.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The enactment of legislation implementing changes in U.S. taxation of international business activities or the adoption of other tax reform policies could materially impact our financial position and results of operations.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Changes to U.S. tax laws, including limitations on the ability of taxpayers to claim and utilize foreign tax credits and the deferral of certain tax deductions until earnings outside of the United States are repatriated to the United States, as well as changes to U.S. tax laws that may be enacted in the future, could impact the tax treatment of our foreign earnings. Due to expansion of our international business activities, any changes in the U.S. taxation of such activities may increase our worldwide effective tax rate and adversely affect our financial position and results of operations.</w:t>
      </w:r>
    </w:p>
    <w:p>
      <w:pPr>
        <w:spacing w:after="0" w:line="167"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Potential tax reform in the United States may result in significant changes to United States federal income taxation law, including changes to the U.S. federal income taxation of corporations (including the Company) and/or changes to the U.S. federal income taxation of stockholders in U.S. corporations, including investors in our Class A common stock. We are currently unable to predict whether such changes will occur and, if so, the impact of such changes, including on the U.S. federal income tax considerations relating to the purchase, ownership and disposition of our Class A common stock, as discussed below in "Material U.S. Federal Income Tax Considerations for Non-U.S. 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As of January 31, 2017, we had net operating loss, or NOL, carryforwards for Federal, state and Irish income tax purposes of approximately $175.6 million, $138.6 million, and $119.3 million, respectively, which may be available to offset taxable income in the future, and which expire in various years beginning in the year ending January 31, 2028 for federal purposes and the year ending January 31, 2021 for state purposes if not utilized. Ireland allows NOLs to be carried forward indefinitely.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pre-change NOLs to offset future taxable income. We may experience a future ownership change (including, potentially, in connection with this offering)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 even if we attain profitability, which could potentially result in increased future tax liability to us and could adversely affect our operating results and financial condition.</w:t>
      </w:r>
    </w:p>
    <w:p>
      <w:pPr>
        <w:spacing w:after="0" w:line="174"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39" w:lineRule="exact"/>
        <w:rPr>
          <w:sz w:val="20"/>
          <w:szCs w:val="20"/>
          <w:color w:val="auto"/>
        </w:rPr>
      </w:pPr>
    </w:p>
    <w:p>
      <w:pPr>
        <w:ind w:right="60" w:firstLine="348"/>
        <w:spacing w:after="0" w:line="318" w:lineRule="auto"/>
        <w:rPr>
          <w:sz w:val="20"/>
          <w:szCs w:val="20"/>
          <w:color w:val="auto"/>
        </w:rPr>
      </w:pPr>
      <w:r>
        <w:rPr>
          <w:rFonts w:ascii="Arial" w:cs="Arial" w:eastAsia="Arial" w:hAnsi="Arial"/>
          <w:sz w:val="15"/>
          <w:szCs w:val="15"/>
          <w:color w:val="auto"/>
        </w:rPr>
        <w:t>We do not collect sales and use, value added or similar taxes in all jurisdictions in which we have sales, and we have been advised that such taxes are not applicable to our products and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end-customers for the past amounts, and we may be required to collect such taxes in the future. If we are unsuccessful in collecting such taxes from our end-customers, we could be held liable for such costs. Such tax assessments, penalties and interest, or future requirements may adversely affect our operating results.</w:t>
      </w:r>
    </w:p>
    <w:p>
      <w:pPr>
        <w:spacing w:after="0" w:line="154"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offerings are subject to United States export controls, and we incorporate encryption technology into certain of our offerings. These encryption offerings and the underlying technology may be exported outside of the United States only with the required export authorizations, including by license.</w:t>
      </w:r>
    </w:p>
    <w:p>
      <w:pPr>
        <w:spacing w:after="0" w:line="139"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Furthermore, our activities are subject to the U.S. economic sanctions laws and regulations that prohibit the shipment of certain products and services without the required export authorizations or export to countries, governments, and persons targeted by U.S. sanctions. While we take precautions to prevent our offerings from being exported in violation of these laws, including obtaining authorizations for our encryption offerings, implementing IP address blocking and screenings against U.S. Government and international lists of restricted and prohibited persons, we cannot guarantee that the precautions we take will prevent violations of export control and sanctions laws.</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note that if our channel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 our channel partner agreements. Complying with export control and sanctions regulations for a particular sale may be time-consuming and may result in the delay or loss of sales opportunities.</w:t>
      </w:r>
    </w:p>
    <w:p>
      <w:pPr>
        <w:spacing w:after="0" w:line="197"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Violations of U.S. sanctions or export control laws can result in fines or penalties, including civil penalties of up to $289,238 or twice the value of the transaction, whichever is greater, per violation. In the event of criminal knowing and willful violations of these laws, fines of up to $1.0 million per violation and possible incarceration for responsible employees and managers could be imposed.</w:t>
      </w:r>
    </w:p>
    <w:p>
      <w:pPr>
        <w:spacing w:after="0" w:line="19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Also, various countries, in addition to the United States, regulate the import and export of certain encryption and other technology, including import and export permitting and licensing requirements,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and have enacted laws that could limit our ability to distribute our offerings or could limit our customers' ability to implement our offerings in those countries. Changes in our offerings or future changes in export and import regulations may create delays in the introduction of our offerings in international markets, prevent our customers with international operations from deploying our offerings globally or, in some cases, prevent the export or import of our offerings to certain countries, governments, or persons altogether. Any change in export or import regulations, economic sanctions or related legislation, or change in the countries, governments, persons or technologies targeted by such regulations, could result in decreased use of our offerings by, or in our decreased ability to export or sell our offerings to, existing or potential customers with international operations. Any decreased use of our offerings or limitation on our ability to export or sell our offerings would likely adversely affect our business operations and financial results.</w:t>
      </w:r>
    </w:p>
    <w:p>
      <w:pPr>
        <w:spacing w:after="0" w:line="17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corporate headquarters is located in New York, and we have an office in Palo Alto, California and in 27 other locations. A significant natural disaster or man-made problem, such as an earthquake, fire, flood or an act of terrorism, occurring in any of these locations, or where a business partner is located, could adversely affect our business, results of operations and financial condition. Further, if a natural disaster or man-made problem were to affect datacenters used by our cloud infrastructure service providers this could adversely affect the ability of our customers to use our products. In addition, natural disasters and acts of terrorism could cause disruptions in our or our customers' businesses, national economies or the world economy as a whole.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results of operations and financial condition.</w:t>
      </w:r>
    </w:p>
    <w:p>
      <w:pPr>
        <w:spacing w:after="0" w:line="172"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addition, as computer malware, viruses and computer hacking, fraudulent use attempts and phishing attacks have become more prevalent, we face increased risk from these activities to maintain the performance, reliability, security and availability of our subscription offerings and related services and technical infrastructure to the satisfaction of our customers, which may harm our reputation and our ability to retain existing customers and attract new customers.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Initial Public Offering and Ownership of Our Class A Common Stock</w:t>
      </w:r>
    </w:p>
    <w:p>
      <w:pPr>
        <w:spacing w:after="0" w:line="23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held our capital stock prior to the completion of this offering, including our executive officers, employees and directors and their affiliates, which will limit your ability to influence the outcome of important transactions, including a change in control.</w:t>
      </w:r>
    </w:p>
    <w:p>
      <w:pPr>
        <w:spacing w:after="0" w:line="194"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Our Class B common stock has 10 votes per share, and our Class A common stock, which is the stock we are offering in this initial public offering, has one vote per share. Given the greater number of votes per share attributed to our Class B common stock, our existing stockholders holding shares of Class B common</w:t>
      </w:r>
    </w:p>
    <w:p>
      <w:pPr>
        <w:ind w:right="20"/>
        <w:spacing w:after="0" w:line="281" w:lineRule="auto"/>
        <w:rPr>
          <w:sz w:val="20"/>
          <w:szCs w:val="20"/>
          <w:color w:val="auto"/>
        </w:rPr>
      </w:pPr>
      <w:r>
        <w:rPr>
          <w:rFonts w:ascii="Arial" w:cs="Arial" w:eastAsia="Arial" w:hAnsi="Arial"/>
          <w:sz w:val="16"/>
          <w:szCs w:val="16"/>
          <w:color w:val="auto"/>
        </w:rPr>
        <w:t>stock will represent approximately % of the voting power of our outstanding capital stock and our directors, executive officers, and each of our stockholders who owns greater than five percent of our outstanding capital stock, will represent approximately % of the voting power of our outstanding capital stock,</w:t>
      </w:r>
    </w:p>
    <w:p>
      <w:pPr>
        <w:spacing w:after="0" w:line="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based on the number of shares outstanding as of April 30, 2017. This concentrated control will limit your ability to influence corporate matters for the foreseeable future. For example, our existing stockholders holding the Class B common stock will be able to control all matters submitted to our stockholders for approval even when the shares of Class B common stock represent a small minority of all outstanding shares of our Class A common stock and Class B common</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stock, including amendments of our amended and restated certificate of incorporation or amended and restated bylaws, increases to the number of shares available for issuance under our equity incentive plans or adoption of new equity incentive plans and approval of any merger or sale of assets for the foreseeable future.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98"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will have the effect, over time, of increasing the relative voting power of those holders of Class B common stock who retain their shares in the long term. For example, Kevin P. Ryan, Eliot Horowitz and Dwight Merriman represent approximately 20% of the voting power of our outstanding capital stock based on the number of shares outstanding as of April 30, 2017, and if they retain a significant portion of their holdings of our Class B common stock for an extended period of time, they could control a significant portion of the voting power of our capital stock for the foreseeable future. As board members,</w:t>
      </w:r>
    </w:p>
    <w:p>
      <w:pPr>
        <w:spacing w:after="0" w:line="1" w:lineRule="exact"/>
        <w:rPr>
          <w:sz w:val="20"/>
          <w:szCs w:val="20"/>
          <w:color w:val="auto"/>
        </w:rPr>
      </w:pPr>
    </w:p>
    <w:p>
      <w:pPr>
        <w:jc w:val="both"/>
        <w:ind w:right="200"/>
        <w:spacing w:after="0" w:line="331" w:lineRule="auto"/>
        <w:rPr>
          <w:sz w:val="20"/>
          <w:szCs w:val="20"/>
          <w:color w:val="auto"/>
        </w:rPr>
      </w:pPr>
      <w:r>
        <w:rPr>
          <w:rFonts w:ascii="Arial" w:cs="Arial" w:eastAsia="Arial" w:hAnsi="Arial"/>
          <w:sz w:val="15"/>
          <w:szCs w:val="15"/>
          <w:color w:val="auto"/>
        </w:rPr>
        <w:t>Messrs. Ryan and Horowitz each owe a fiduciary duty to our stockholders and must act in good faith and in a manner they each reasonably believe to be in the best interests of our stockholders. As stockholders, Messrs. Ryan, Horowitz and Merriman are entitled to vote their shares in their own interests, which may not always be in the interests of our stockholders generally. For a description of the dual class structure, see the section titled "Description of Capital Stock."</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There has been no prior public trading market for our Class A common stock, and an active trading market may not develop or be sustained following this offering.</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intend to apply to list our Class A common stock on the under the symbol "MDB." However, there has been no prior public trading market for our Class A common stock. We cannot assure you that an active trading market for our Class A common stock will develop on such exchange or elsewhere or, if developed, that any market will be sustained. Accordingly, we cannot assure you of the liquidity of any trading market, your ability to sell your shares of our Class A common stock when desired or the prices that you may obtain for your shares of our Class A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Class A common stock could be volatile, which could cause the value of your investment to decline.</w:t>
      </w:r>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Class A common stock following this offering may fluctuate substantially. Following the completion of this offering, the market price of our Class A common stock may be higher or lower than the price you pay in the initial public offering, depending on many factors, some of which are beyond our control and may not be related to our operating performance. These fluctuations could cause you to lose all or part of your investment in our Class A common stock. Factors that could cause fluctuations in the trading price of our Class A common stock include the following:</w:t>
      </w:r>
    </w:p>
    <w:p>
      <w:pPr>
        <w:spacing w:after="0" w:line="21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how customers perceive the benefits of our product and future product offerings and releases;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actual or future expectations of investors or securities analysts;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data breach involving our software;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major catastrophic events in our domestic and foreign markets;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"flash crashes," "freeze flashes" or other glitches that disrupt trading on the securities exchange on which we are listed.</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an adverse effect on our business, results of operations and financial condition.</w:t>
      </w:r>
    </w:p>
    <w:p>
      <w:pPr>
        <w:spacing w:after="0" w:line="17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securities analysts or industry analysts were to downgrade our stock, publish negative research or reports or fail to publish reports about our business, our competitive position could suffer, and our stock price and trading volume could decline.</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trading market for our Class A common stock will, to some extent, depend on the research and reports that securities or industry analysts publish about us or our business. We do not have any control over these analysts. If one or more of the analysts who cover us should downgrade our stock or publish negative research or reports, cease coverage of our company or fail to regularly publish reports about our business, our competitive position could suffer, and our stock price and trading volume could decline.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invest or spend the proceeds of this initial public offering in ways with which you may not agree or in ways which may not yield a return.</w:t>
      </w:r>
    </w:p>
    <w:p>
      <w:pPr>
        <w:spacing w:after="0" w:line="248"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anticipate that the net proceeds from this initial public offering will be used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 We may also use a portion of the net proceeds of this offering for acquisitions or strategic investments in businesses or technologies. However, we do not have any agreements or commitments for any acquisitions or strategic investments at this time. Accordingly, our management will have broad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discretion over the specific use of the net proceeds that we receive in this initial public offering and might not be able to obtain a significant return, if any, on investment of these net proceeds. Investors in this initial public offering will need to rely upon the judgment of our management with respect to the use of proceeds. The net proceeds may be invested with a view towards long-term benefits for our stockholders and this may not increase our operating results or market value. If we do not use the net proceeds that we receive in this initial public offering effectively, our business, results of operations and financial condition could be harmed.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Purchasers in this offering will immediately experience substantial dilution in net tangible book value.</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common stock immediately following this initial public offering based on the total value of our tangible assets less our total liabilities. Therefore, if you purchase shares of</w:t>
      </w:r>
    </w:p>
    <w:p>
      <w:pPr>
        <w:ind w:right="120"/>
        <w:spacing w:after="0" w:line="255" w:lineRule="auto"/>
        <w:rPr>
          <w:sz w:val="20"/>
          <w:szCs w:val="20"/>
          <w:color w:val="auto"/>
        </w:rPr>
      </w:pPr>
      <w:r>
        <w:rPr>
          <w:rFonts w:ascii="Arial" w:cs="Arial" w:eastAsia="Arial" w:hAnsi="Arial"/>
          <w:sz w:val="18"/>
          <w:szCs w:val="18"/>
          <w:color w:val="auto"/>
        </w:rPr>
        <w:t>our Class A common stock in this initial public offering, you will experience immediate dilution of $ per share, the difference between the price per share you pay for our Class A common stock and the pro forma net tangible book value per share as of April 30, 2017, after giving effect to the issuance of shares of our Class A common stock in this offering. See the section titled "Dilution" below.</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Sales of substantial amounts of our Class A common stock in the public markets, or the perception that such sales could occur, could reduce the price that our Class A common stock might otherwise attain.</w:t>
      </w:r>
    </w:p>
    <w:p>
      <w:pPr>
        <w:spacing w:after="0" w:line="186" w:lineRule="exact"/>
        <w:rPr>
          <w:sz w:val="20"/>
          <w:szCs w:val="20"/>
          <w:color w:val="auto"/>
        </w:rPr>
      </w:pPr>
    </w:p>
    <w:p>
      <w:pPr>
        <w:ind w:right="140" w:firstLine="351"/>
        <w:spacing w:after="0" w:line="303" w:lineRule="auto"/>
        <w:rPr>
          <w:sz w:val="20"/>
          <w:szCs w:val="20"/>
          <w:color w:val="auto"/>
        </w:rPr>
      </w:pPr>
      <w:r>
        <w:rPr>
          <w:rFonts w:ascii="Arial" w:cs="Arial" w:eastAsia="Arial" w:hAnsi="Arial"/>
          <w:sz w:val="15"/>
          <w:szCs w:val="15"/>
          <w:color w:val="auto"/>
        </w:rPr>
        <w:t>Sales of a substantial number of shares of our Class A common stock in the public market after this offering, or the perception that such sales could occur, could adversely affect the market price of our Class A common stock and may make it more difficult for you to sell your Class A common stock at a time and price that you deem appropriate. Based on the total number of outstanding shares of our capital stock as of April 30, 2017, upon completion of this initial public</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offering, we will have approximately shares of capital stock outstanding. All of the shares of Class A common stock sold in this initial public offering will be freely tradable without restrictions or further registration under the Securities Act of 1933, as amended, or the Securities Act, except for any shares held by our "affiliates" as defined in Rule 144 under the Securities Act.</w:t>
      </w:r>
    </w:p>
    <w:p>
      <w:pPr>
        <w:spacing w:after="0" w:line="198"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Subject to certain exceptions described in the section titled "Underwriting," we, our executive officers, directors and holders of a substantial majority of our common stock and securities convertible into or exchangeable for shares of our common stock have entered into or will enter into lock-up agreements with the underwriters of this offering under which we and they have agreed or will agree that, subject to certain exceptions, without the prior written consent of Morgan Stanley &amp; Co. LLC, Goldman Sachs &amp; Co. LLC and Barclays Capital Inc., we and they will not dispose of or hedge any shares or any securities convertible into or exchangeable for shares of our common stock for a period of 180 days after the date of this prospectus. In addition, our executive officers, directors and holders of substantially all of our common stock and securities convertible into or exchangeable for shares of our common stock have entered into market standoff agreements with us under which they have agreed that, subject to certain exceptions, without our consent, they will not dispose of or hedge any shares or any securities convertible into or exchangeable for shares of our common stock for a period of 180 days after the date of this prospectus. We will agree that, without the prior written consent of Morgan Stanley &amp; Co. LLC, Goldman Sachs &amp; Co. LLC and Barclays Capital Inc., we will not release any of the securities subject to these market standoff agreements. When the lock-up period in the lock-up agreements and market standoff agreements expires, we and our locked-up security holders will be able to sell our shares in the public market. In addition, Morgan Stanley &amp; Co. LLC, Goldman Sachs &amp; Co. LLC and Barclays</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Capital Inc., on behalf of the underwriters, may release all or some portion of the shares subject to the lock-up agreements or market standoff agreements prior to the expiration of the lock-up period. See the section titled "Shares Eligible for Future Sale" for more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information. Sales of a substantial number of such shares, or the perception that such sales may occur, upon expiration of, or early release of the securities subject to, the lock-up agreements or market standoff agreements, could cause our stock price to fall or make it more difficult for you to sell your Class A common stock at a time and price that you deem appropriate.</w:t>
      </w:r>
    </w:p>
    <w:p>
      <w:pPr>
        <w:spacing w:after="0" w:line="194"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Based on shares outstanding as of April 30, 2017, holders of up to approximately shares, or % of our capital stock after the completion of this offering, will have rights, subject to certain conditions, to require us to file registration statements covering the sale of their shares or to include their shares in registration statements that we may file for ourselves or other stockholders. We also intend to register the offer and sale of all shares of capital stock that we may issue under our equity compensation plans.</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86"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97"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b w:val="1"/>
          <w:bCs w:val="1"/>
          <w:i w:val="1"/>
          <w:iCs w:val="1"/>
          <w:color w:val="auto"/>
        </w:rPr>
        <w:t>You should rely only on statements made in this prospectus in determining whether to purchase our stock in this initial public offering and not on information in public media that is published by third parties.</w:t>
      </w:r>
    </w:p>
    <w:p>
      <w:pPr>
        <w:spacing w:after="0" w:line="186" w:lineRule="exact"/>
        <w:rPr>
          <w:sz w:val="20"/>
          <w:szCs w:val="20"/>
          <w:color w:val="auto"/>
        </w:rPr>
      </w:pPr>
    </w:p>
    <w:p>
      <w:pPr>
        <w:ind w:right="100" w:firstLine="345"/>
        <w:spacing w:after="0" w:line="298" w:lineRule="auto"/>
        <w:rPr>
          <w:sz w:val="20"/>
          <w:szCs w:val="20"/>
          <w:color w:val="auto"/>
        </w:rPr>
      </w:pPr>
      <w:r>
        <w:rPr>
          <w:rFonts w:ascii="Arial" w:cs="Arial" w:eastAsia="Arial" w:hAnsi="Arial"/>
          <w:sz w:val="16"/>
          <w:szCs w:val="16"/>
          <w:color w:val="auto"/>
        </w:rPr>
        <w:t>You should carefully read and evaluate all the information in this prospectus. In the past, we have received, and may continue to receive, a high degree of media coverage. This includes coverage that is not attributable to statements made by our officers or employees or incorrectly reports on statements made by our officers or employees. In addition, coverage may be misleading if it omits information provided by us, our officers, or employees or public data. You should rely only on the information contained in this prospectus in determining whether to purchase our shares of Class A common stock.</w:t>
      </w:r>
    </w:p>
    <w:p>
      <w:pPr>
        <w:spacing w:after="0" w:line="16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Class A common stock and, consequently, your ability to achieve a return on your investment will depend on appreciation in the price of our Class A common stock.</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never declared or paid any dividends on our capital stock. We intend to retain any earnings to finance the operation and expansion of our business, and we do not anticipate paying any dividends in the foreseeable future. As a result, you may only receive a return on your investment in our Class A common stock if the market price of our Class A common stock increases.</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86" w:lineRule="exact"/>
        <w:rPr>
          <w:sz w:val="20"/>
          <w:szCs w:val="20"/>
          <w:color w:val="auto"/>
        </w:rPr>
      </w:pPr>
    </w:p>
    <w:p>
      <w:pPr>
        <w:ind w:right="100" w:firstLine="341"/>
        <w:spacing w:after="0" w:line="305" w:lineRule="auto"/>
        <w:rPr>
          <w:sz w:val="20"/>
          <w:szCs w:val="20"/>
          <w:color w:val="auto"/>
        </w:rPr>
      </w:pPr>
      <w:r>
        <w:rPr>
          <w:rFonts w:ascii="Arial" w:cs="Arial" w:eastAsia="Arial" w:hAnsi="Arial"/>
          <w:sz w:val="15"/>
          <w:szCs w:val="15"/>
          <w:color w:val="auto"/>
        </w:rPr>
        <w:t>As a public company, and particularly after we are no longer an "emerging growth company," we will incur significant legal, accounting and other expenses that we did not incur as a private company. The Sarbanes-Oxley Act, the Dodd-Frank Wall Street Reform and Consumer Protection Act, the listing requirements</w:t>
      </w:r>
    </w:p>
    <w:p>
      <w:pPr>
        <w:spacing w:after="0" w:line="254" w:lineRule="auto"/>
        <w:rPr>
          <w:sz w:val="20"/>
          <w:szCs w:val="20"/>
          <w:color w:val="auto"/>
        </w:rPr>
      </w:pPr>
      <w:r>
        <w:rPr>
          <w:rFonts w:ascii="Arial" w:cs="Arial" w:eastAsia="Arial" w:hAnsi="Arial"/>
          <w:sz w:val="18"/>
          <w:szCs w:val="18"/>
          <w:color w:val="auto"/>
        </w:rPr>
        <w:t>of and other applicable securities rules and regulations impose various requirements on public companies.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w:t>
      </w:r>
    </w:p>
    <w:p>
      <w:pPr>
        <w:spacing w:after="0" w:line="116"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262"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16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Delaware law and our corporate charter and bylaws will contain anti-takeover provisions that could delay or discourage takeover attempts that stockholders may consider favorable.</w:t>
      </w:r>
    </w:p>
    <w:p>
      <w:pPr>
        <w:spacing w:after="0" w:line="186"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completion of this offering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spacing w:after="0" w:line="224" w:lineRule="exact"/>
        <w:rPr>
          <w:sz w:val="20"/>
          <w:szCs w:val="20"/>
          <w:color w:val="auto"/>
        </w:rPr>
      </w:pPr>
    </w:p>
    <w:p>
      <w:pPr>
        <w:ind w:left="1080" w:right="54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9"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52" w:lineRule="exact"/>
        <w:rPr>
          <w:rFonts w:ascii="Arial" w:cs="Arial" w:eastAsia="Arial" w:hAnsi="Arial"/>
          <w:sz w:val="16"/>
          <w:szCs w:val="16"/>
          <w:color w:val="auto"/>
        </w:rPr>
      </w:pPr>
    </w:p>
    <w:p>
      <w:pPr>
        <w:ind w:left="1080" w:right="84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6" w:lineRule="exact"/>
        <w:rPr>
          <w:rFonts w:ascii="Arial" w:cs="Arial" w:eastAsia="Arial" w:hAnsi="Arial"/>
          <w:sz w:val="16"/>
          <w:szCs w:val="16"/>
          <w:color w:val="auto"/>
        </w:rPr>
      </w:pPr>
    </w:p>
    <w:p>
      <w:pPr>
        <w:ind w:left="1080" w:right="7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board of directors, the chairperson of our board of directors, our chief executive officer or our president (in the absence of a chief executive officer), which could delay the ability of our stockholders to force consideration of a proposal or to take action, including the removal of directors;</w:t>
      </w:r>
    </w:p>
    <w:p>
      <w:pPr>
        <w:spacing w:after="0" w:line="222" w:lineRule="exact"/>
        <w:rPr>
          <w:rFonts w:ascii="Arial" w:cs="Arial" w:eastAsia="Arial" w:hAnsi="Arial"/>
          <w:sz w:val="18"/>
          <w:szCs w:val="18"/>
          <w:color w:val="auto"/>
        </w:rPr>
      </w:pPr>
    </w:p>
    <w:p>
      <w:pPr>
        <w:ind w:left="1080" w:right="140" w:hanging="532"/>
        <w:spacing w:after="0" w:line="223" w:lineRule="auto"/>
        <w:tabs>
          <w:tab w:leader="none" w:pos="1080" w:val="left"/>
        </w:tabs>
        <w:numPr>
          <w:ilvl w:val="0"/>
          <w:numId w:val="26"/>
        </w:numPr>
        <w:rPr>
          <w:rFonts w:ascii="Arial" w:cs="Arial" w:eastAsia="Arial" w:hAnsi="Arial"/>
          <w:sz w:val="34"/>
          <w:szCs w:val="34"/>
          <w:color w:val="auto"/>
          <w:vertAlign w:val="superscript"/>
        </w:rPr>
      </w:pPr>
      <w:r>
        <w:rPr>
          <w:rFonts w:ascii="Arial" w:cs="Arial" w:eastAsia="Arial" w:hAnsi="Arial"/>
          <w:sz w:val="17"/>
          <w:szCs w:val="17"/>
          <w:color w:val="auto"/>
        </w:rPr>
        <w:t>the requirement for the affirmative vote of holders of at least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 outstanding shares of the voting stock, voting together as a single class, to amend the provisions of our amended and restated certificate of incorporation relating to the management of our business (including our classified board structure) or certain provisions of our amended and restated bylaws, which may inhibit the ability of an acquirer to effect such amendments to facilitate an unsolicited takeover attempt;</w:t>
      </w:r>
    </w:p>
    <w:p>
      <w:pPr>
        <w:spacing w:after="0" w:line="225" w:lineRule="exact"/>
        <w:rPr>
          <w:rFonts w:ascii="Arial" w:cs="Arial" w:eastAsia="Arial" w:hAnsi="Arial"/>
          <w:sz w:val="34"/>
          <w:szCs w:val="34"/>
          <w:color w:val="auto"/>
          <w:vertAlign w:val="superscript"/>
        </w:rPr>
      </w:pPr>
    </w:p>
    <w:p>
      <w:pPr>
        <w:ind w:left="1080" w:right="72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ability of our board of directors to amend our bylaws, which may allow our board of directors to take additional actions to prevent an unsolicited takeover and inhibit the ability of an acquirer to amend our bylaws to facilitate an unsolicited takeover attempt;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authorization of two classes of common stock, as discussed above.</w:t>
      </w:r>
    </w:p>
    <w:p>
      <w:pPr>
        <w:spacing w:after="0" w:line="225"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which may prohibit large stockholders, in particular those owning 15% or more of our outstanding voting stock, from merging or combining with us for a specified period of time.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240" w:firstLine="348"/>
        <w:spacing w:after="0" w:line="288" w:lineRule="auto"/>
        <w:rPr>
          <w:sz w:val="20"/>
          <w:szCs w:val="20"/>
          <w:color w:val="auto"/>
        </w:rPr>
      </w:pPr>
      <w:r>
        <w:rPr>
          <w:rFonts w:ascii="Arial" w:cs="Arial" w:eastAsia="Arial" w:hAnsi="Arial"/>
          <w:sz w:val="16"/>
          <w:szCs w:val="16"/>
          <w:color w:val="auto"/>
        </w:rPr>
        <w:t>This prospectus contains forward-looking statements. These statements may relate to, but are not limited to, expectations of future operating results or financial performance, capital expenditures, use of proceeds from this offering, introduction of new products and enhancements to our current platform, regulatory compliance, plans for growth and future operations, the size of our addressable market and market trends, as well as assumptions relating to the foregoing.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or "would," or the negative of these terms or other comparable terminology. Actual events or results may differ from those expressed in these forward-looking statements, and these differences may be material and adverse. The forward-looking statements are contained principally in the sections titled "Prospectus Summary," "Risk Factors," "Management's Discussion and Analysis of Financial Condition and Result of Operations" and "Business."</w:t>
      </w:r>
    </w:p>
    <w:p>
      <w:pPr>
        <w:spacing w:after="0" w:line="174"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"Risk Factors" and elsewhere in this prospectus. These risks are not exhaustive. Other sections of this prospectus include additional factors that could adversely affect our business and financial performance.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160" w:firstLine="345"/>
        <w:spacing w:after="0" w:line="30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INDUSTRY AND MARKET DATA</w:t>
      </w:r>
    </w:p>
    <w:p>
      <w:pPr>
        <w:spacing w:after="0" w:line="231" w:lineRule="exact"/>
        <w:rPr>
          <w:sz w:val="20"/>
          <w:szCs w:val="20"/>
          <w:color w:val="auto"/>
        </w:rPr>
      </w:pPr>
    </w:p>
    <w:p>
      <w:pPr>
        <w:ind w:right="200" w:firstLine="351"/>
        <w:spacing w:after="0" w:line="289" w:lineRule="auto"/>
        <w:rPr>
          <w:sz w:val="20"/>
          <w:szCs w:val="20"/>
          <w:color w:val="auto"/>
        </w:rPr>
      </w:pPr>
      <w:r>
        <w:rPr>
          <w:rFonts w:ascii="Arial" w:cs="Arial" w:eastAsia="Arial" w:hAnsi="Arial"/>
          <w:sz w:val="16"/>
          <w:szCs w:val="16"/>
          <w:color w:val="auto"/>
        </w:rPr>
        <w:t>Information contained in this prospectus concerning our industry and the market in which we operate, including our general expectations and market position, market opportunity and market size is based on information from various sources, including independent industry publications by Cisco, DB-Engines, Forrester and IDC. In presenting this information, we have also made assumptions based on such data and other similar sources, and on our knowledge of, and our experience to date in, the markets for our services. This information involves a number of assumptions and limitations, and you are cautioned not to give undue weight to such estimates. Although neither we nor the underwriters have independently verified the accuracy or completeness of any third-party information, we believe the market position, market opportunity and market size information included in this prospectus is reliable. The industry in which we operate is subject to a high degree of uncertainty and risk due to a variety of factors, including those described in the "Risk Factors" section. These and other factors could cause results to differ materially from those expressed in the estimates made by the independent parties and by us.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Forrester study described herein represents data, research opinion or viewpoints published by Forrester and are not representations of fact. We have been advised by Forrester that its study speaks as of its original publication date (and not as of the date of this prospectus) and any opinions expressed in the study are subject to change without notice.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196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667"/>
        </w:trPr>
        <w:tc>
          <w:tcPr>
            <w:tcW w:w="2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USE OF PROCEEDS</w:t>
            </w:r>
          </w:p>
        </w:tc>
      </w:tr>
      <w:tr>
        <w:trPr>
          <w:trHeight w:val="426"/>
        </w:trPr>
        <w:tc>
          <w:tcPr>
            <w:tcW w:w="220" w:type="dxa"/>
            <w:vAlign w:val="bottom"/>
          </w:tcPr>
          <w:p>
            <w:pPr>
              <w:spacing w:after="0"/>
              <w:rPr>
                <w:sz w:val="24"/>
                <w:szCs w:val="24"/>
                <w:color w:val="auto"/>
              </w:rPr>
            </w:pPr>
          </w:p>
        </w:tc>
        <w:tc>
          <w:tcPr>
            <w:tcW w:w="4620" w:type="dxa"/>
            <w:vAlign w:val="bottom"/>
            <w:gridSpan w:val="4"/>
          </w:tcPr>
          <w:p>
            <w:pPr>
              <w:ind w:left="140"/>
              <w:spacing w:after="0"/>
              <w:rPr>
                <w:sz w:val="20"/>
                <w:szCs w:val="20"/>
                <w:color w:val="auto"/>
              </w:rPr>
            </w:pPr>
            <w:r>
              <w:rPr>
                <w:rFonts w:ascii="Arial" w:cs="Arial" w:eastAsia="Arial" w:hAnsi="Arial"/>
                <w:sz w:val="18"/>
                <w:szCs w:val="18"/>
                <w:color w:val="auto"/>
                <w:w w:val="86"/>
              </w:rPr>
              <w:t>We estimate that the net proceeds from our issuance and sale of</w:t>
            </w:r>
          </w:p>
        </w:tc>
        <w:tc>
          <w:tcPr>
            <w:tcW w:w="6480" w:type="dxa"/>
            <w:vAlign w:val="bottom"/>
          </w:tcPr>
          <w:p>
            <w:pPr>
              <w:ind w:left="500"/>
              <w:spacing w:after="0"/>
              <w:rPr>
                <w:sz w:val="20"/>
                <w:szCs w:val="20"/>
                <w:color w:val="auto"/>
              </w:rPr>
            </w:pPr>
            <w:r>
              <w:rPr>
                <w:rFonts w:ascii="Arial" w:cs="Arial" w:eastAsia="Arial" w:hAnsi="Arial"/>
                <w:sz w:val="18"/>
                <w:szCs w:val="18"/>
                <w:color w:val="auto"/>
              </w:rPr>
              <w:t>shares of our Class A common stock in this offering will be approximately</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3"/>
          </w:tcPr>
          <w:p>
            <w:pPr>
              <w:ind w:left="440"/>
              <w:spacing w:after="0"/>
              <w:rPr>
                <w:sz w:val="20"/>
                <w:szCs w:val="20"/>
                <w:color w:val="auto"/>
              </w:rPr>
            </w:pPr>
            <w:r>
              <w:rPr>
                <w:rFonts w:ascii="Arial" w:cs="Arial" w:eastAsia="Arial" w:hAnsi="Arial"/>
                <w:sz w:val="18"/>
                <w:szCs w:val="18"/>
                <w:color w:val="auto"/>
              </w:rPr>
              <w:t>million, or approximately $</w:t>
            </w:r>
          </w:p>
        </w:tc>
        <w:tc>
          <w:tcPr>
            <w:tcW w:w="8440" w:type="dxa"/>
            <w:vAlign w:val="bottom"/>
            <w:gridSpan w:val="2"/>
          </w:tcPr>
          <w:p>
            <w:pPr>
              <w:ind w:left="280"/>
              <w:spacing w:after="0"/>
              <w:rPr>
                <w:sz w:val="20"/>
                <w:szCs w:val="20"/>
                <w:color w:val="auto"/>
              </w:rPr>
            </w:pPr>
            <w:r>
              <w:rPr>
                <w:rFonts w:ascii="Arial" w:cs="Arial" w:eastAsia="Arial" w:hAnsi="Arial"/>
                <w:sz w:val="18"/>
                <w:szCs w:val="18"/>
                <w:color w:val="auto"/>
                <w:w w:val="90"/>
              </w:rPr>
              <w:t>million if the underwriters exercise their over-allotment option in full, based upon an assumed initial public offering</w:t>
            </w:r>
          </w:p>
        </w:tc>
      </w:t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price of $</w:t>
            </w:r>
          </w:p>
        </w:tc>
        <w:tc>
          <w:tcPr>
            <w:tcW w:w="10380" w:type="dxa"/>
            <w:vAlign w:val="bottom"/>
            <w:gridSpan w:val="4"/>
          </w:tcPr>
          <w:p>
            <w:pPr>
              <w:ind w:left="260"/>
              <w:spacing w:after="0"/>
              <w:rPr>
                <w:sz w:val="20"/>
                <w:szCs w:val="20"/>
                <w:color w:val="auto"/>
              </w:rPr>
            </w:pPr>
            <w:r>
              <w:rPr>
                <w:rFonts w:ascii="Arial" w:cs="Arial" w:eastAsia="Arial" w:hAnsi="Arial"/>
                <w:sz w:val="18"/>
                <w:szCs w:val="18"/>
                <w:color w:val="auto"/>
                <w:w w:val="89"/>
              </w:rPr>
              <w:t>per share, the midpoint of the price range set forth on the cover page of this prospectus, after deducting estimated underwriting discounts and</w:t>
            </w:r>
          </w:p>
        </w:tc>
      </w:tr>
    </w:tbl>
    <w:p>
      <w:pPr>
        <w:ind w:right="40"/>
        <w:spacing w:after="0" w:line="261" w:lineRule="auto"/>
        <w:rPr>
          <w:sz w:val="20"/>
          <w:szCs w:val="20"/>
          <w:color w:val="auto"/>
        </w:rPr>
      </w:pPr>
      <w:r>
        <w:rPr>
          <w:rFonts w:ascii="Arial" w:cs="Arial" w:eastAsia="Arial" w:hAnsi="Arial"/>
          <w:sz w:val="18"/>
          <w:szCs w:val="18"/>
          <w:color w:val="auto"/>
        </w:rPr>
        <w:t>commissions and estimated offering expenses payable by us. We will not receive any of the proceeds from the sale of shares by the selling stockholders, although we will bear the costs, other than underwriting discounts and commissions, associated with those sales.</w:t>
      </w:r>
    </w:p>
    <w:p>
      <w:pPr>
        <w:spacing w:after="0" w:line="192" w:lineRule="exact"/>
        <w:rPr>
          <w:sz w:val="20"/>
          <w:szCs w:val="20"/>
          <w:color w:val="auto"/>
        </w:rPr>
      </w:pPr>
    </w:p>
    <w:p>
      <w:pPr>
        <w:ind w:right="120" w:firstLine="351"/>
        <w:spacing w:after="0" w:line="286" w:lineRule="auto"/>
        <w:rPr>
          <w:sz w:val="20"/>
          <w:szCs w:val="20"/>
          <w:color w:val="auto"/>
        </w:rPr>
      </w:pPr>
      <w:r>
        <w:rPr>
          <w:rFonts w:ascii="Arial" w:cs="Arial" w:eastAsia="Arial" w:hAnsi="Arial"/>
          <w:sz w:val="16"/>
          <w:szCs w:val="16"/>
          <w:color w:val="auto"/>
        </w:rPr>
        <w:t>Each $1.00 increase or decrease in the assumed initial public offering price of $ per share, the midpoint of the price range set forth on the cover page of this prospectus, would increase or decrease the net proceeds to us from this offering by approximately $ million, assuming that the number of shares</w:t>
      </w:r>
    </w:p>
    <w:p>
      <w:pPr>
        <w:spacing w:after="0" w:line="300" w:lineRule="auto"/>
        <w:rPr>
          <w:sz w:val="20"/>
          <w:szCs w:val="20"/>
          <w:color w:val="auto"/>
        </w:rPr>
      </w:pPr>
      <w:r>
        <w:rPr>
          <w:rFonts w:ascii="Arial" w:cs="Arial" w:eastAsia="Arial" w:hAnsi="Arial"/>
          <w:sz w:val="15"/>
          <w:szCs w:val="15"/>
          <w:color w:val="auto"/>
        </w:rPr>
        <w:t>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decrease the net proceeds to us from this offering by approximately $ million, assuming that the assumed initial offering price to the public remains the same, and after deducting estimated underwriting discounts and commissions. We do not expect that a change in the initial price to the public or the number of shares by these amounts would have a material effect on the uses of the proceeds from this offering, although it may accelerate the time at which we will need to seek additional capital.</w:t>
      </w:r>
    </w:p>
    <w:p>
      <w:pPr>
        <w:spacing w:after="0" w:line="19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principal purposes of this offering are to increase our financial flexibility, create a public market for our Class A common stock and facilitate our future access to the capital markets. Although we have not yet determined with certainty the manner in which we will allocate the net proceeds of this offering, we currently intend to use the net proceeds from this offering for working capital and other general corporate purposes, including continued investments in our product offerings, growing our customer base, expanding the subscriptions of our existing customers, driving usage of MongoDB Atlas, fostering the MongoDB developer community and expanding our international footprint.</w:t>
      </w:r>
    </w:p>
    <w:p>
      <w:pPr>
        <w:spacing w:after="0" w:line="197"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may also use a portion of the proceeds from this offering for acquisitions or strategic investments in businesses or technologies, although we do not currently have any plans for any such acquisitions or investments.</w:t>
      </w:r>
    </w:p>
    <w:p>
      <w:pPr>
        <w:spacing w:after="0" w:line="186"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expected use of net proceeds from this offering represents our intentions based upon our present plans and business conditions. We cannot predict with certainty all of the particular uses for the proceeds of this offering or the amounts that we will actually spend on the uses set forth above. Accordingly, our management will have significant flexibility in applying the net proceeds of this offering. The timing and amount of our actual expenditures will be based on many factors, including cash flows from operations and the anticipated growth of our business. Pending their use, we intend to invest the net proceeds of this offering in a variety of capital-preservation investments, including short-and intermediate-term, interest-bearing, investment-grade securities and government securities.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have never declared or paid any dividends on our common stock. We currently intend to retain all available funds and any future earnings for the operation and expansion of our business. Accordingly, following this offering, we do not anticipate declaring or paying dividends in the foreseeable future. The payment of any future dividends will be at the discretion of our board of directors and will depend on our results of operations, capital requirements, financial condition, prospects, contractual arrangements, any limitations on payment of dividends present in our current and future debt agreements, and other factors that our board of directors may deem relevant. We may also be subject to covenants under future debt arrangements that place restrictions on our ability to pay dividends.</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cash and cash equivalents and our capitalization as of April 30, 2017:</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252"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on a pro forma basis to reflect (1) the conversion of all outstanding shares of our redeemable convertible preferred stock into an aggregate of 53,799,704 shares of Class B common stock as if such conversion had occurred on April 30, 2017; (2) the reclassification of our redeemable convertible preferred stock warrant liability to stockholders' (deficit) equity in connection with the expiration of our outstanding redeemable convertible preferred stock warrants as if this offering had occurred on April 30, 2017; and (3) the filing of our amended and restated certificate of incorporation, each of which will occur immediately prior to the completion of this offering; and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540"/>
              <w:spacing w:after="0"/>
              <w:rPr>
                <w:sz w:val="20"/>
                <w:szCs w:val="20"/>
                <w:color w:val="auto"/>
              </w:rPr>
            </w:pPr>
            <w:r>
              <w:rPr>
                <w:rFonts w:ascii="Arial" w:cs="Arial" w:eastAsia="Arial" w:hAnsi="Arial"/>
                <w:sz w:val="18"/>
                <w:szCs w:val="18"/>
                <w:color w:val="auto"/>
              </w:rPr>
              <w:t>•</w:t>
            </w:r>
          </w:p>
        </w:tc>
        <w:tc>
          <w:tcPr>
            <w:tcW w:w="8020" w:type="dxa"/>
            <w:vAlign w:val="bottom"/>
            <w:gridSpan w:val="2"/>
          </w:tcPr>
          <w:p>
            <w:pPr>
              <w:ind w:left="240"/>
              <w:spacing w:after="0"/>
              <w:rPr>
                <w:sz w:val="20"/>
                <w:szCs w:val="20"/>
                <w:color w:val="auto"/>
              </w:rPr>
            </w:pPr>
            <w:r>
              <w:rPr>
                <w:rFonts w:ascii="Arial" w:cs="Arial" w:eastAsia="Arial" w:hAnsi="Arial"/>
                <w:sz w:val="18"/>
                <w:szCs w:val="18"/>
                <w:color w:val="auto"/>
                <w:w w:val="90"/>
              </w:rPr>
              <w:t>on a pro forma as adjusted basis to reflect the pro forma items described immediately above and the sale of</w:t>
            </w:r>
          </w:p>
        </w:tc>
        <w:tc>
          <w:tcPr>
            <w:tcW w:w="2560" w:type="dxa"/>
            <w:vAlign w:val="bottom"/>
          </w:tcPr>
          <w:p>
            <w:pPr>
              <w:ind w:left="260"/>
              <w:spacing w:after="0"/>
              <w:rPr>
                <w:sz w:val="20"/>
                <w:szCs w:val="20"/>
                <w:color w:val="auto"/>
              </w:rPr>
            </w:pPr>
            <w:r>
              <w:rPr>
                <w:rFonts w:ascii="Arial" w:cs="Arial" w:eastAsia="Arial" w:hAnsi="Arial"/>
                <w:sz w:val="18"/>
                <w:szCs w:val="18"/>
                <w:color w:val="auto"/>
                <w:w w:val="86"/>
              </w:rPr>
              <w:t>shares of Class A common stock</w:t>
            </w:r>
          </w:p>
        </w:tc>
      </w:tr>
      <w:tr>
        <w:trPr>
          <w:trHeight w:val="216"/>
        </w:trPr>
        <w:tc>
          <w:tcPr>
            <w:tcW w:w="840" w:type="dxa"/>
            <w:vAlign w:val="bottom"/>
          </w:tcPr>
          <w:p>
            <w:pPr>
              <w:spacing w:after="0"/>
              <w:rPr>
                <w:sz w:val="18"/>
                <w:szCs w:val="18"/>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w w:val="92"/>
              </w:rPr>
              <w:t>in this offering at an assumed initial public offering price of $</w:t>
            </w: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w w:val="90"/>
              </w:rPr>
              <w:t>per share, the midpoint of the price range set forth on the cover page of this</w:t>
            </w:r>
          </w:p>
        </w:tc>
      </w:tr>
      <w:tr>
        <w:trPr>
          <w:trHeight w:val="222"/>
        </w:trPr>
        <w:tc>
          <w:tcPr>
            <w:tcW w:w="840" w:type="dxa"/>
            <w:vAlign w:val="bottom"/>
          </w:tcPr>
          <w:p>
            <w:pPr>
              <w:spacing w:after="0"/>
              <w:rPr>
                <w:sz w:val="19"/>
                <w:szCs w:val="19"/>
                <w:color w:val="auto"/>
              </w:rPr>
            </w:pPr>
          </w:p>
        </w:tc>
        <w:tc>
          <w:tcPr>
            <w:tcW w:w="10580" w:type="dxa"/>
            <w:vAlign w:val="bottom"/>
            <w:gridSpan w:val="3"/>
          </w:tcPr>
          <w:p>
            <w:pPr>
              <w:ind w:left="240"/>
              <w:spacing w:after="0"/>
              <w:rPr>
                <w:sz w:val="20"/>
                <w:szCs w:val="20"/>
                <w:color w:val="auto"/>
              </w:rPr>
            </w:pPr>
            <w:r>
              <w:rPr>
                <w:rFonts w:ascii="Arial" w:cs="Arial" w:eastAsia="Arial" w:hAnsi="Arial"/>
                <w:sz w:val="18"/>
                <w:szCs w:val="18"/>
                <w:color w:val="auto"/>
              </w:rPr>
              <w:t>prospectus, after deducting estimated underwriting discounts and commissions and estimated offering expenses payable by us.</w:t>
            </w:r>
          </w:p>
        </w:tc>
      </w:tr>
      <w:tr>
        <w:trPr>
          <w:trHeight w:val="432"/>
        </w:trPr>
        <w:tc>
          <w:tcPr>
            <w:tcW w:w="8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340" w:type="dxa"/>
            <w:vAlign w:val="bottom"/>
          </w:tcPr>
          <w:p>
            <w:pPr>
              <w:jc w:val="right"/>
              <w:ind w:right="2972"/>
              <w:spacing w:after="0"/>
              <w:rPr>
                <w:sz w:val="20"/>
                <w:szCs w:val="20"/>
                <w:color w:val="auto"/>
              </w:rPr>
            </w:pPr>
            <w:r>
              <w:rPr>
                <w:rFonts w:ascii="Arial" w:cs="Arial" w:eastAsia="Arial" w:hAnsi="Arial"/>
                <w:sz w:val="18"/>
                <w:szCs w:val="18"/>
                <w:color w:val="auto"/>
              </w:rPr>
              <w:t>52</w:t>
            </w:r>
          </w:p>
        </w:tc>
        <w:tc>
          <w:tcPr>
            <w:tcW w:w="2560" w:type="dxa"/>
            <w:vAlign w:val="bottom"/>
          </w:tcPr>
          <w:p>
            <w:pPr>
              <w:spacing w:after="0"/>
              <w:rPr>
                <w:sz w:val="24"/>
                <w:szCs w:val="24"/>
                <w:color w:val="auto"/>
              </w:rPr>
            </w:pPr>
          </w:p>
        </w:tc>
      </w:tr>
      <w:tr>
        <w:trPr>
          <w:trHeight w:val="228"/>
        </w:trPr>
        <w:tc>
          <w:tcPr>
            <w:tcW w:w="840" w:type="dxa"/>
            <w:vAlign w:val="bottom"/>
            <w:tcBorders>
              <w:bottom w:val="single" w:sz="8" w:color="808080"/>
            </w:tcBorders>
          </w:tcPr>
          <w:p>
            <w:pPr>
              <w:spacing w:after="0"/>
              <w:rPr>
                <w:sz w:val="19"/>
                <w:szCs w:val="19"/>
                <w:color w:val="auto"/>
              </w:rPr>
            </w:pPr>
          </w:p>
        </w:tc>
        <w:tc>
          <w:tcPr>
            <w:tcW w:w="46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5"/>
        <w:spacing w:after="0" w:line="332" w:lineRule="auto"/>
        <w:rPr>
          <w:sz w:val="20"/>
          <w:szCs w:val="20"/>
          <w:color w:val="auto"/>
        </w:rPr>
      </w:pPr>
      <w:r>
        <w:rPr>
          <w:rFonts w:ascii="Arial" w:cs="Arial" w:eastAsia="Arial" w:hAnsi="Arial"/>
          <w:sz w:val="16"/>
          <w:szCs w:val="16"/>
          <w:color w:val="auto"/>
        </w:rPr>
        <w:t>You should read this table together with the sections titled "Selected Consolidated Financial Data" and "Management's Discussion and Analysis of Financial Condition and Results of Operations" and our consolidated financial statements and the related notes included elsewhere in this prospectus.</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rPr>
              <w:t>As of April 30, 2017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128"/>
              <w:spacing w:after="0" w:line="125" w:lineRule="exact"/>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80" w:type="dxa"/>
            <w:vAlign w:val="bottom"/>
          </w:tcPr>
          <w:p>
            <w:pPr>
              <w:spacing w:after="0"/>
              <w:rPr>
                <w:sz w:val="16"/>
                <w:szCs w:val="16"/>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Pro Forma</w:t>
            </w:r>
          </w:p>
        </w:tc>
        <w:tc>
          <w:tcPr>
            <w:tcW w:w="40" w:type="dxa"/>
            <w:vAlign w:val="bottom"/>
          </w:tcPr>
          <w:p>
            <w:pPr>
              <w:spacing w:after="0"/>
              <w:rPr>
                <w:sz w:val="16"/>
                <w:szCs w:val="16"/>
                <w:color w:val="auto"/>
              </w:rPr>
            </w:pPr>
          </w:p>
        </w:tc>
        <w:tc>
          <w:tcPr>
            <w:tcW w:w="1200" w:type="dxa"/>
            <w:vAlign w:val="bottom"/>
            <w:gridSpan w:val="2"/>
          </w:tcPr>
          <w:p>
            <w:pPr>
              <w:jc w:val="right"/>
              <w:ind w:right="260"/>
              <w:spacing w:after="0" w:line="193" w:lineRule="exact"/>
              <w:rPr>
                <w:sz w:val="20"/>
                <w:szCs w:val="20"/>
                <w:color w:val="auto"/>
              </w:rPr>
            </w:pPr>
            <w:r>
              <w:rPr>
                <w:rFonts w:ascii="Arial" w:cs="Arial" w:eastAsia="Arial" w:hAnsi="Arial"/>
                <w:sz w:val="14"/>
                <w:szCs w:val="14"/>
                <w:b w:val="1"/>
                <w:bCs w:val="1"/>
                <w:color w:val="auto"/>
                <w:w w:val="92"/>
              </w:rPr>
              <w:t>As Adjusted</w:t>
            </w:r>
            <w:r>
              <w:rPr>
                <w:rFonts w:ascii="Arial" w:cs="Arial" w:eastAsia="Arial" w:hAnsi="Arial"/>
                <w:sz w:val="22"/>
                <w:szCs w:val="22"/>
                <w:b w:val="1"/>
                <w:bCs w:val="1"/>
                <w:color w:val="auto"/>
                <w:w w:val="92"/>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(unaudited)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9"/>
          </w:tcPr>
          <w:p>
            <w:pPr>
              <w:jc w:val="right"/>
              <w:ind w:right="260"/>
              <w:spacing w:after="0"/>
              <w:rPr>
                <w:sz w:val="20"/>
                <w:szCs w:val="20"/>
                <w:color w:val="auto"/>
              </w:rPr>
            </w:pPr>
            <w:r>
              <w:rPr>
                <w:rFonts w:ascii="Arial" w:cs="Arial" w:eastAsia="Arial" w:hAnsi="Arial"/>
                <w:sz w:val="14"/>
                <w:szCs w:val="14"/>
                <w:b w:val="1"/>
                <w:bCs w:val="1"/>
                <w:color w:val="auto"/>
                <w:w w:val="85"/>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88"/>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5"/>
            <w:vMerge w:val="restart"/>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gridSpan w:val="5"/>
            <w:vMerge w:val="continue"/>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1,172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4"/>
              </w:rPr>
              <w:t>Redeemable convertible preferred stock, par value $0.001 per share; 41,234,841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w w:val="92"/>
              </w:rPr>
              <w:t>shares authorized, 41,148,282 shares issued and outstanding, actual; no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spacing w:after="0"/>
              <w:rPr>
                <w:sz w:val="20"/>
                <w:szCs w:val="20"/>
                <w:color w:val="auto"/>
              </w:rPr>
            </w:pPr>
            <w:r>
              <w:rPr>
                <w:rFonts w:ascii="Arial" w:cs="Arial" w:eastAsia="Arial" w:hAnsi="Arial"/>
                <w:sz w:val="18"/>
                <w:szCs w:val="18"/>
                <w:color w:val="auto"/>
              </w:rPr>
              <w:t>Stockholders' (deficit) equity:</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shd w:val="clear" w:color="auto" w:fill="CCEEFF"/>
          </w:tcPr>
          <w:p>
            <w:pPr>
              <w:ind w:left="160"/>
              <w:spacing w:after="0"/>
              <w:rPr>
                <w:sz w:val="20"/>
                <w:szCs w:val="20"/>
                <w:color w:val="auto"/>
              </w:rPr>
            </w:pPr>
            <w:r>
              <w:rPr>
                <w:rFonts w:ascii="Arial" w:cs="Arial" w:eastAsia="Arial" w:hAnsi="Arial"/>
                <w:sz w:val="18"/>
                <w:szCs w:val="18"/>
                <w:color w:val="auto"/>
              </w:rPr>
              <w:t>Class A common stock, par value $0.001 per share; 162,500,000 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93"/>
              </w:rPr>
              <w:t>authorized, 109,575 shares issued and outstanding, actual;</w:t>
            </w:r>
          </w:p>
        </w:tc>
        <w:tc>
          <w:tcPr>
            <w:tcW w:w="1360" w:type="dxa"/>
            <w:vAlign w:val="bottom"/>
            <w:gridSpan w:val="3"/>
            <w:shd w:val="clear" w:color="auto" w:fill="CCEEFF"/>
          </w:tcPr>
          <w:p>
            <w:pPr>
              <w:jc w:val="right"/>
              <w:ind w:right="643"/>
              <w:spacing w:after="0"/>
              <w:rPr>
                <w:sz w:val="20"/>
                <w:szCs w:val="20"/>
                <w:color w:val="auto"/>
              </w:rPr>
            </w:pPr>
            <w:r>
              <w:rPr>
                <w:rFonts w:ascii="Arial" w:cs="Arial" w:eastAsia="Arial" w:hAnsi="Arial"/>
                <w:sz w:val="18"/>
                <w:szCs w:val="18"/>
                <w:color w:val="auto"/>
              </w:rPr>
              <w:t>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w w:val="87"/>
              </w:rPr>
              <w:t>authorized, 109,575 shares issued and outstanding, pro forma;</w:t>
            </w:r>
          </w:p>
        </w:tc>
        <w:tc>
          <w:tcPr>
            <w:tcW w:w="1360" w:type="dxa"/>
            <w:vAlign w:val="bottom"/>
            <w:gridSpan w:val="3"/>
            <w:shd w:val="clear" w:color="auto" w:fill="CCEEFF"/>
          </w:tcPr>
          <w:p>
            <w:pPr>
              <w:jc w:val="right"/>
              <w:ind w:right="363"/>
              <w:spacing w:after="0"/>
              <w:rPr>
                <w:sz w:val="20"/>
                <w:szCs w:val="20"/>
                <w:color w:val="auto"/>
              </w:rPr>
            </w:pPr>
            <w:r>
              <w:rPr>
                <w:rFonts w:ascii="Arial" w:cs="Arial" w:eastAsia="Arial" w:hAnsi="Arial"/>
                <w:sz w:val="18"/>
                <w:szCs w:val="18"/>
                <w:color w:val="auto"/>
              </w:rPr>
              <w:t>shares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authorized,</w:t>
            </w:r>
          </w:p>
        </w:tc>
        <w:tc>
          <w:tcPr>
            <w:tcW w:w="4960" w:type="dxa"/>
            <w:vAlign w:val="bottom"/>
            <w:gridSpan w:val="6"/>
            <w:shd w:val="clear" w:color="auto" w:fill="CCEEFF"/>
          </w:tcPr>
          <w:p>
            <w:pPr>
              <w:jc w:val="right"/>
              <w:ind w:right="643"/>
              <w:spacing w:after="0"/>
              <w:rPr>
                <w:sz w:val="20"/>
                <w:szCs w:val="20"/>
                <w:color w:val="auto"/>
              </w:rPr>
            </w:pPr>
            <w:r>
              <w:rPr>
                <w:rFonts w:ascii="Arial" w:cs="Arial" w:eastAsia="Arial" w:hAnsi="Arial"/>
                <w:sz w:val="18"/>
                <w:szCs w:val="18"/>
                <w:color w:val="auto"/>
                <w:w w:val="98"/>
              </w:rPr>
              <w:t>shares issued and outstanding, pro forma as adjusted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120" w:type="dxa"/>
            <w:vAlign w:val="bottom"/>
            <w:gridSpan w:val="7"/>
          </w:tcPr>
          <w:p>
            <w:pPr>
              <w:ind w:left="160"/>
              <w:spacing w:after="0"/>
              <w:rPr>
                <w:sz w:val="20"/>
                <w:szCs w:val="20"/>
                <w:color w:val="auto"/>
              </w:rPr>
            </w:pPr>
            <w:r>
              <w:rPr>
                <w:rFonts w:ascii="Arial" w:cs="Arial" w:eastAsia="Arial" w:hAnsi="Arial"/>
                <w:sz w:val="18"/>
                <w:szCs w:val="18"/>
                <w:color w:val="auto"/>
              </w:rPr>
              <w:t>Class B common stock, par value $0.001 per share; 113,000,000 shares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7"/>
          </w:tcPr>
          <w:p>
            <w:pPr>
              <w:ind w:left="340"/>
              <w:spacing w:after="0"/>
              <w:rPr>
                <w:sz w:val="20"/>
                <w:szCs w:val="20"/>
                <w:color w:val="auto"/>
              </w:rPr>
            </w:pPr>
            <w:r>
              <w:rPr>
                <w:rFonts w:ascii="Arial" w:cs="Arial" w:eastAsia="Arial" w:hAnsi="Arial"/>
                <w:sz w:val="18"/>
                <w:szCs w:val="18"/>
                <w:color w:val="auto"/>
                <w:w w:val="97"/>
              </w:rPr>
              <w:t>authorized, 27,726,539 shares issued and 27,527,797 shares outstanding,</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actual;</w:t>
            </w:r>
          </w:p>
        </w:tc>
        <w:tc>
          <w:tcPr>
            <w:tcW w:w="4960" w:type="dxa"/>
            <w:vAlign w:val="bottom"/>
            <w:gridSpan w:val="6"/>
          </w:tcPr>
          <w:p>
            <w:pPr>
              <w:jc w:val="right"/>
              <w:ind w:right="503"/>
              <w:spacing w:after="0"/>
              <w:rPr>
                <w:sz w:val="20"/>
                <w:szCs w:val="20"/>
                <w:color w:val="auto"/>
              </w:rPr>
            </w:pPr>
            <w:r>
              <w:rPr>
                <w:rFonts w:ascii="Arial" w:cs="Arial" w:eastAsia="Arial" w:hAnsi="Arial"/>
                <w:sz w:val="18"/>
                <w:szCs w:val="18"/>
                <w:color w:val="auto"/>
                <w:w w:val="89"/>
              </w:rPr>
              <w:t>shares authorized, 81,526,243 shares issued and 81,327,501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340"/>
              <w:spacing w:after="0"/>
              <w:rPr>
                <w:sz w:val="20"/>
                <w:szCs w:val="20"/>
                <w:color w:val="auto"/>
              </w:rPr>
            </w:pPr>
            <w:r>
              <w:rPr>
                <w:rFonts w:ascii="Arial" w:cs="Arial" w:eastAsia="Arial" w:hAnsi="Arial"/>
                <w:sz w:val="18"/>
                <w:szCs w:val="18"/>
                <w:color w:val="auto"/>
              </w:rPr>
              <w:t>shares outstanding, pro forma;</w:t>
            </w:r>
          </w:p>
        </w:tc>
        <w:tc>
          <w:tcPr>
            <w:tcW w:w="1880" w:type="dxa"/>
            <w:vAlign w:val="bottom"/>
          </w:tcPr>
          <w:p>
            <w:pPr>
              <w:ind w:left="140"/>
              <w:spacing w:after="0"/>
              <w:rPr>
                <w:sz w:val="20"/>
                <w:szCs w:val="20"/>
                <w:color w:val="auto"/>
              </w:rPr>
            </w:pPr>
            <w:r>
              <w:rPr>
                <w:rFonts w:ascii="Arial" w:cs="Arial" w:eastAsia="Arial" w:hAnsi="Arial"/>
                <w:sz w:val="18"/>
                <w:szCs w:val="18"/>
                <w:color w:val="auto"/>
              </w:rPr>
              <w:t>shares authorized,</w:t>
            </w:r>
          </w:p>
        </w:tc>
        <w:tc>
          <w:tcPr>
            <w:tcW w:w="1360" w:type="dxa"/>
            <w:vAlign w:val="bottom"/>
            <w:gridSpan w:val="3"/>
          </w:tcPr>
          <w:p>
            <w:pPr>
              <w:jc w:val="right"/>
              <w:ind w:right="323"/>
              <w:spacing w:after="0"/>
              <w:rPr>
                <w:sz w:val="20"/>
                <w:szCs w:val="20"/>
                <w:color w:val="auto"/>
              </w:rPr>
            </w:pPr>
            <w:r>
              <w:rPr>
                <w:rFonts w:ascii="Arial" w:cs="Arial" w:eastAsia="Arial" w:hAnsi="Arial"/>
                <w:sz w:val="18"/>
                <w:szCs w:val="18"/>
                <w:color w:val="auto"/>
                <w:w w:val="84"/>
              </w:rPr>
              <w:t>shares issued</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ind w:left="340"/>
              <w:spacing w:after="0"/>
              <w:rPr>
                <w:sz w:val="20"/>
                <w:szCs w:val="20"/>
                <w:color w:val="auto"/>
              </w:rPr>
            </w:pPr>
            <w:r>
              <w:rPr>
                <w:rFonts w:ascii="Arial" w:cs="Arial" w:eastAsia="Arial" w:hAnsi="Arial"/>
                <w:sz w:val="18"/>
                <w:szCs w:val="18"/>
                <w:color w:val="auto"/>
              </w:rPr>
              <w:t>and</w:t>
            </w:r>
          </w:p>
        </w:tc>
        <w:tc>
          <w:tcPr>
            <w:tcW w:w="3600" w:type="dxa"/>
            <w:vAlign w:val="bottom"/>
            <w:gridSpan w:val="3"/>
          </w:tcPr>
          <w:p>
            <w:pPr>
              <w:ind w:left="20"/>
              <w:spacing w:after="0"/>
              <w:rPr>
                <w:sz w:val="20"/>
                <w:szCs w:val="20"/>
                <w:color w:val="auto"/>
              </w:rPr>
            </w:pPr>
            <w:r>
              <w:rPr>
                <w:rFonts w:ascii="Arial" w:cs="Arial" w:eastAsia="Arial" w:hAnsi="Arial"/>
                <w:sz w:val="18"/>
                <w:szCs w:val="18"/>
                <w:color w:val="auto"/>
              </w:rPr>
              <w:t>shares outstanding, pro forma as adjusted</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416,642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Treasury stock, 198,742 shares</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(1,319)</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3"/>
          </w:tcPr>
          <w:p>
            <w:pPr>
              <w:ind w:left="160"/>
              <w:spacing w:after="0"/>
              <w:rPr>
                <w:sz w:val="20"/>
                <w:szCs w:val="20"/>
                <w:color w:val="auto"/>
              </w:rPr>
            </w:pPr>
            <w:r>
              <w:rPr>
                <w:rFonts w:ascii="Arial" w:cs="Arial" w:eastAsia="Arial" w:hAnsi="Arial"/>
                <w:sz w:val="18"/>
                <w:szCs w:val="18"/>
                <w:color w:val="auto"/>
              </w:rPr>
              <w:t>Accumulated deficit</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(367,091)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(367,091)</w:t>
            </w:r>
          </w:p>
        </w:tc>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4"/>
              </w:rPr>
              <w:t>Total stockholders' (deficit) equity</w:t>
            </w:r>
          </w:p>
        </w:tc>
        <w:tc>
          <w:tcPr>
            <w:tcW w:w="18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(298,422)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3"/>
          </w:tcPr>
          <w:p>
            <w:pPr>
              <w:ind w:left="520"/>
              <w:spacing w:after="0"/>
              <w:rPr>
                <w:sz w:val="20"/>
                <w:szCs w:val="20"/>
                <w:color w:val="auto"/>
              </w:rPr>
            </w:pPr>
            <w:r>
              <w:rPr>
                <w:rFonts w:ascii="Arial" w:cs="Arial" w:eastAsia="Arial" w:hAnsi="Arial"/>
                <w:sz w:val="18"/>
                <w:szCs w:val="18"/>
                <w:color w:val="auto"/>
              </w:rPr>
              <w:t>Total capitalization</w:t>
            </w:r>
          </w:p>
        </w:tc>
        <w:tc>
          <w:tcPr>
            <w:tcW w:w="1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48,007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28"/>
        </w:numPr>
        <w:rPr>
          <w:rFonts w:ascii="Arial" w:cs="Arial" w:eastAsia="Arial" w:hAnsi="Arial"/>
          <w:sz w:val="10"/>
          <w:szCs w:val="10"/>
          <w:color w:val="auto"/>
        </w:rPr>
      </w:pPr>
      <w:r>
        <w:rPr>
          <w:rFonts w:ascii="Arial" w:cs="Arial" w:eastAsia="Arial" w:hAnsi="Arial"/>
          <w:sz w:val="12"/>
          <w:szCs w:val="12"/>
          <w:color w:val="auto"/>
        </w:rPr>
        <w:t>The pro forma as adjusted information set forth above is illustrative only and will change based on the actual initial public offering price and other terms of this offering determined</w:t>
      </w:r>
    </w:p>
    <w:p>
      <w:pPr>
        <w:spacing w:after="0" w:line="23" w:lineRule="exact"/>
        <w:rPr>
          <w:sz w:val="20"/>
          <w:szCs w:val="20"/>
          <w:color w:val="auto"/>
        </w:rPr>
      </w:pPr>
    </w:p>
    <w:p>
      <w:pPr>
        <w:ind w:left="1680" w:right="260"/>
        <w:spacing w:after="0" w:line="258" w:lineRule="auto"/>
        <w:rPr>
          <w:sz w:val="20"/>
          <w:szCs w:val="20"/>
          <w:color w:val="auto"/>
        </w:rPr>
      </w:pPr>
      <w:r>
        <w:rPr>
          <w:rFonts w:ascii="Arial" w:cs="Arial" w:eastAsia="Arial" w:hAnsi="Arial"/>
          <w:sz w:val="12"/>
          <w:szCs w:val="12"/>
          <w:color w:val="auto"/>
        </w:rPr>
        <w:t>at pricing. Each $1.00 increase or decrease in the assumed initial public offering price of $ per share, the midpoint of the price range set forth on the cover page of this prospectus, would increase or decrease pro forma as adjusted cash and cash equivalents, additional paid-in capital, total stockholders' (deficit) equity and total capitalization by</w:t>
      </w:r>
    </w:p>
    <w:p>
      <w:pPr>
        <w:ind w:left="1680" w:right="100"/>
        <w:spacing w:after="0" w:line="258" w:lineRule="auto"/>
        <w:rPr>
          <w:sz w:val="20"/>
          <w:szCs w:val="20"/>
          <w:color w:val="auto"/>
        </w:rPr>
      </w:pPr>
      <w:r>
        <w:rPr>
          <w:rFonts w:ascii="Arial" w:cs="Arial" w:eastAsia="Arial" w:hAnsi="Arial"/>
          <w:sz w:val="12"/>
          <w:szCs w:val="12"/>
          <w:color w:val="auto"/>
        </w:rPr>
        <w:t>approximately $ million,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or decrease in the number of shares offered by us would increase or decrease pro forma as adjusted cash and cash equivalents, additional paid-in capital, total stockholders' (deficit) equity and total</w:t>
      </w:r>
    </w:p>
    <w:tbl>
      <w:tblPr>
        <w:tblLayout w:type="fixed"/>
        <w:tblInd w:w="0" w:type="dxa"/>
        <w:tblCellMar>
          <w:top w:w="0" w:type="dxa"/>
          <w:left w:w="0" w:type="dxa"/>
          <w:bottom w:w="0" w:type="dxa"/>
          <w:right w:w="0" w:type="dxa"/>
        </w:tblCellMar>
      </w:tblPr>
      <w:tr>
        <w:trPr>
          <w:trHeight w:val="137"/>
        </w:trPr>
        <w:tc>
          <w:tcPr>
            <w:tcW w:w="3720" w:type="dxa"/>
            <w:vAlign w:val="bottom"/>
          </w:tcPr>
          <w:p>
            <w:pPr>
              <w:ind w:left="1680"/>
              <w:spacing w:after="0" w:line="137" w:lineRule="exact"/>
              <w:rPr>
                <w:sz w:val="20"/>
                <w:szCs w:val="20"/>
                <w:color w:val="auto"/>
              </w:rPr>
            </w:pPr>
            <w:r>
              <w:rPr>
                <w:rFonts w:ascii="Arial" w:cs="Arial" w:eastAsia="Arial" w:hAnsi="Arial"/>
                <w:sz w:val="14"/>
                <w:szCs w:val="14"/>
                <w:color w:val="auto"/>
                <w:w w:val="99"/>
              </w:rPr>
              <w:t>capitalization by approximately $</w:t>
            </w:r>
          </w:p>
        </w:tc>
        <w:tc>
          <w:tcPr>
            <w:tcW w:w="7700" w:type="dxa"/>
            <w:vAlign w:val="bottom"/>
          </w:tcPr>
          <w:p>
            <w:pPr>
              <w:jc w:val="right"/>
              <w:ind w:right="302"/>
              <w:spacing w:after="0" w:line="137" w:lineRule="exact"/>
              <w:rPr>
                <w:sz w:val="20"/>
                <w:szCs w:val="20"/>
                <w:color w:val="auto"/>
              </w:rPr>
            </w:pPr>
            <w:r>
              <w:rPr>
                <w:rFonts w:ascii="Arial" w:cs="Arial" w:eastAsia="Arial" w:hAnsi="Arial"/>
                <w:sz w:val="14"/>
                <w:szCs w:val="14"/>
                <w:color w:val="auto"/>
                <w:w w:val="90"/>
              </w:rPr>
              <w:t>million, assuming that the assumed initial offering price to the public remains the same, and after deducting estimated underwriting</w:t>
            </w:r>
          </w:p>
        </w:tc>
      </w:tr>
      <w:tr>
        <w:trPr>
          <w:trHeight w:val="172"/>
        </w:trPr>
        <w:tc>
          <w:tcPr>
            <w:tcW w:w="3720" w:type="dxa"/>
            <w:vAlign w:val="bottom"/>
          </w:tcPr>
          <w:p>
            <w:pPr>
              <w:ind w:left="1680"/>
              <w:spacing w:after="0"/>
              <w:rPr>
                <w:sz w:val="20"/>
                <w:szCs w:val="20"/>
                <w:color w:val="auto"/>
              </w:rPr>
            </w:pPr>
            <w:r>
              <w:rPr>
                <w:rFonts w:ascii="Arial" w:cs="Arial" w:eastAsia="Arial" w:hAnsi="Arial"/>
                <w:sz w:val="14"/>
                <w:szCs w:val="14"/>
                <w:color w:val="auto"/>
              </w:rPr>
              <w:t>discounts and commissions.</w:t>
            </w:r>
          </w:p>
        </w:tc>
        <w:tc>
          <w:tcPr>
            <w:tcW w:w="7700" w:type="dxa"/>
            <w:vAlign w:val="bottom"/>
          </w:tcPr>
          <w:p>
            <w:pPr>
              <w:spacing w:after="0"/>
              <w:rPr>
                <w:sz w:val="14"/>
                <w:szCs w:val="14"/>
                <w:color w:val="auto"/>
              </w:rPr>
            </w:pPr>
          </w:p>
        </w:tc>
      </w:tr>
      <w:tr>
        <w:trPr>
          <w:trHeight w:val="417"/>
        </w:trPr>
        <w:tc>
          <w:tcPr>
            <w:tcW w:w="3720" w:type="dxa"/>
            <w:vAlign w:val="bottom"/>
          </w:tcPr>
          <w:p>
            <w:pPr>
              <w:spacing w:after="0"/>
              <w:rPr>
                <w:sz w:val="24"/>
                <w:szCs w:val="24"/>
                <w:color w:val="auto"/>
              </w:rPr>
            </w:pPr>
          </w:p>
        </w:tc>
        <w:tc>
          <w:tcPr>
            <w:tcW w:w="7700" w:type="dxa"/>
            <w:vAlign w:val="bottom"/>
          </w:tcPr>
          <w:p>
            <w:pPr>
              <w:jc w:val="right"/>
              <w:ind w:right="5542"/>
              <w:spacing w:after="0"/>
              <w:rPr>
                <w:sz w:val="20"/>
                <w:szCs w:val="20"/>
                <w:color w:val="auto"/>
              </w:rPr>
            </w:pPr>
            <w:r>
              <w:rPr>
                <w:rFonts w:ascii="Arial" w:cs="Arial" w:eastAsia="Arial" w:hAnsi="Arial"/>
                <w:sz w:val="18"/>
                <w:szCs w:val="18"/>
                <w:color w:val="auto"/>
              </w:rPr>
              <w:t>53</w:t>
            </w:r>
          </w:p>
        </w:tc>
      </w:tr>
      <w:tr>
        <w:trPr>
          <w:trHeight w:val="228"/>
        </w:trPr>
        <w:tc>
          <w:tcPr>
            <w:tcW w:w="3720" w:type="dxa"/>
            <w:vAlign w:val="bottom"/>
            <w:tcBorders>
              <w:bottom w:val="single" w:sz="8" w:color="808080"/>
            </w:tcBorders>
          </w:tcPr>
          <w:p>
            <w:pPr>
              <w:spacing w:after="0"/>
              <w:rPr>
                <w:sz w:val="19"/>
                <w:szCs w:val="19"/>
                <w:color w:val="auto"/>
              </w:rPr>
            </w:pPr>
          </w:p>
        </w:tc>
        <w:tc>
          <w:tcPr>
            <w:tcW w:w="7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in the table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jc w:val="both"/>
        <w:ind w:right="200" w:firstLine="351"/>
        <w:spacing w:after="0" w:line="332" w:lineRule="auto"/>
        <w:rPr>
          <w:sz w:val="20"/>
          <w:szCs w:val="20"/>
          <w:color w:val="auto"/>
        </w:rPr>
      </w:pPr>
      <w:r>
        <w:rPr>
          <w:rFonts w:ascii="Arial" w:cs="Arial" w:eastAsia="Arial" w:hAnsi="Arial"/>
          <w:sz w:val="16"/>
          <w:szCs w:val="16"/>
          <w:color w:val="auto"/>
        </w:rPr>
        <w:t>If you invest in our Class A common stock, your interest will be diluted to the extent of the difference between the initial public offering price per share of our Class A common stock and the pro forma as adjusted net tangible book value per share of our common stock immediately after the closing of this offering.</w:t>
      </w:r>
    </w:p>
    <w:p>
      <w:pPr>
        <w:spacing w:after="0" w:line="139"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historical net tangible book value as of April 30, 2017 was $(303.1) million, or $(10.97) per share of our common stock. Our historical net tangible book value per share represents our total tangible assets less our total liabilities and redeemable convertible preferred stock (which is not included within stockholders' (deficit) equity), divided by the number of shares of Class A common stock and Class B common stock outstanding as of April 30, 2017.</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pro forma net tangible book value as of April 30, 2017 was $43.4 million, or $0.53 per share of common stock. Pro forma net tangible book value per share represents our total tangible assets less our total liabilities, divided by the number of shares of Class A common stock and Class B common stock outstanding as of April 30, 2017, after giving effect to: (1) the conversion of all outstanding shares of our redeemable convertible preferred stock into an aggregate of 53,799,704 shares of Class B common stock as if such conversion had occurred on April 30, 2017; (2) the reclassification of our redeemable convertible preferred stock warrant liability to stockholders' (deficit) equity in connection with the expiration of our outstanding redeemable convertible preferred stock warrants as if this offering had occurred on April 30, 2017; and (3) the filing of our amended and restated certificate of incorporation, each of which will occur immediately prior to the closing of this offering.</w:t>
      </w:r>
    </w:p>
    <w:p>
      <w:pPr>
        <w:spacing w:after="0" w:line="172" w:lineRule="exact"/>
        <w:rPr>
          <w:sz w:val="20"/>
          <w:szCs w:val="20"/>
          <w:color w:val="auto"/>
        </w:rPr>
      </w:pPr>
    </w:p>
    <w:p>
      <w:pPr>
        <w:ind w:right="340" w:firstLine="351"/>
        <w:spacing w:after="0" w:line="286" w:lineRule="auto"/>
        <w:rPr>
          <w:sz w:val="20"/>
          <w:szCs w:val="20"/>
          <w:color w:val="auto"/>
        </w:rPr>
      </w:pPr>
      <w:r>
        <w:rPr>
          <w:rFonts w:ascii="Arial" w:cs="Arial" w:eastAsia="Arial" w:hAnsi="Arial"/>
          <w:sz w:val="16"/>
          <w:szCs w:val="16"/>
          <w:color w:val="auto"/>
        </w:rPr>
        <w:t>Our pro forma as adjusted net tangible book value represents our pro forma net tangible book value, plus the effect of the sale of shares of Class A common stock in this offering at an assumed initial public offering price of $ per share, the midpoint of the price range set forth on the cover page of this</w:t>
      </w:r>
    </w:p>
    <w:p>
      <w:pPr>
        <w:spacing w:after="0"/>
        <w:rPr>
          <w:sz w:val="20"/>
          <w:szCs w:val="20"/>
          <w:color w:val="auto"/>
        </w:rPr>
      </w:pPr>
      <w:r>
        <w:rPr>
          <w:rFonts w:ascii="Arial" w:cs="Arial" w:eastAsia="Arial" w:hAnsi="Arial"/>
          <w:sz w:val="16"/>
          <w:szCs w:val="16"/>
          <w:color w:val="auto"/>
        </w:rPr>
        <w:t>prospectus, after deducting estimated underwriting discounts and commissions and estimated offering expenses payable by us. Our pro forma as adjusted net</w:t>
      </w:r>
    </w:p>
    <w:p>
      <w:pPr>
        <w:spacing w:after="0" w:line="3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tangible book value as of April 30, 2017 was $ million, or $ per share of common stock. This amount represents an immediate increase in pro forma net tangible book value of $ per share to our existing stockholders and an immediate dilution of $ per share to investors participating in this offering. We</w:t>
      </w:r>
    </w:p>
    <w:p>
      <w:pPr>
        <w:ind w:right="300"/>
        <w:spacing w:after="0" w:line="261" w:lineRule="auto"/>
        <w:rPr>
          <w:sz w:val="20"/>
          <w:szCs w:val="20"/>
          <w:color w:val="auto"/>
        </w:rPr>
      </w:pPr>
      <w:r>
        <w:rPr>
          <w:rFonts w:ascii="Arial" w:cs="Arial" w:eastAsia="Arial" w:hAnsi="Arial"/>
          <w:sz w:val="18"/>
          <w:szCs w:val="18"/>
          <w:color w:val="auto"/>
        </w:rPr>
        <w:t>determine dilution per share to investors participating in this offering by subtracting pro forma as adjusted net tangible book value per share after this offering from the assumed initial public offering price per share paid by investors participating in this offering.</w:t>
      </w:r>
    </w:p>
    <w:p>
      <w:pPr>
        <w:spacing w:after="0" w:line="192" w:lineRule="exact"/>
        <w:rPr>
          <w:sz w:val="20"/>
          <w:szCs w:val="20"/>
          <w:color w:val="auto"/>
        </w:rPr>
      </w:pPr>
    </w:p>
    <w:tbl>
      <w:tblPr>
        <w:tblLayout w:type="fixed"/>
        <w:tblInd w:w="360" w:type="dxa"/>
        <w:tblCellMar>
          <w:top w:w="0" w:type="dxa"/>
          <w:left w:w="0" w:type="dxa"/>
          <w:bottom w:w="0" w:type="dxa"/>
          <w:right w:w="0" w:type="dxa"/>
        </w:tblCellMar>
      </w:tblPr>
      <w:tr>
        <w:trPr>
          <w:trHeight w:val="222"/>
        </w:trPr>
        <w:tc>
          <w:tcPr>
            <w:tcW w:w="814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00" w:type="dxa"/>
            <w:vAlign w:val="bottom"/>
            <w:vMerge w:val="restart"/>
          </w:tcPr>
          <w:p>
            <w:pPr>
              <w:spacing w:after="0"/>
              <w:rPr>
                <w:sz w:val="18"/>
                <w:szCs w:val="18"/>
                <w:color w:val="auto"/>
              </w:rPr>
            </w:pPr>
          </w:p>
        </w:tc>
        <w:tc>
          <w:tcPr>
            <w:tcW w:w="7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Historical net tangible book value per share as of April 30, 2017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(10.97)</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7340" w:type="dxa"/>
            <w:vAlign w:val="bottom"/>
          </w:tcPr>
          <w:p>
            <w:pPr>
              <w:ind w:left="160"/>
              <w:spacing w:after="0"/>
              <w:rPr>
                <w:sz w:val="20"/>
                <w:szCs w:val="20"/>
                <w:color w:val="auto"/>
              </w:rPr>
            </w:pPr>
            <w:r>
              <w:rPr>
                <w:rFonts w:ascii="Arial" w:cs="Arial" w:eastAsia="Arial" w:hAnsi="Arial"/>
                <w:sz w:val="18"/>
                <w:szCs w:val="18"/>
                <w:color w:val="auto"/>
              </w:rPr>
              <w:t>Pro forma net tangible book value per share as of April 30, 2017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00" w:type="dxa"/>
            <w:vAlign w:val="bottom"/>
          </w:tcPr>
          <w:p>
            <w:pPr>
              <w:spacing w:after="0"/>
              <w:rPr>
                <w:sz w:val="18"/>
                <w:szCs w:val="18"/>
                <w:color w:val="auto"/>
              </w:rPr>
            </w:pPr>
          </w:p>
        </w:tc>
        <w:tc>
          <w:tcPr>
            <w:tcW w:w="73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Increase in pro forma net tangible book value per share attributed to new investors purchasing shares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00" w:type="dxa"/>
            <w:vAlign w:val="bottom"/>
          </w:tcPr>
          <w:p>
            <w:pPr>
              <w:spacing w:after="0"/>
              <w:rPr>
                <w:sz w:val="19"/>
                <w:szCs w:val="19"/>
                <w:color w:val="auto"/>
              </w:rPr>
            </w:pPr>
          </w:p>
        </w:tc>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us in this offering</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8140" w:type="dxa"/>
            <w:vAlign w:val="bottom"/>
            <w:gridSpan w:val="2"/>
          </w:tcPr>
          <w:p>
            <w:pPr>
              <w:ind w:left="780"/>
              <w:spacing w:after="0"/>
              <w:rPr>
                <w:sz w:val="20"/>
                <w:szCs w:val="20"/>
                <w:color w:val="auto"/>
              </w:rPr>
            </w:pPr>
            <w:r>
              <w:rPr>
                <w:rFonts w:ascii="Arial" w:cs="Arial" w:eastAsia="Arial" w:hAnsi="Arial"/>
                <w:sz w:val="18"/>
                <w:szCs w:val="18"/>
                <w:color w:val="auto"/>
              </w:rPr>
              <w:t>Pro forma as adjusted net tangible book value per share after giving effect to this offering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w w:val="93"/>
              </w:rPr>
              <w:t>Dilution in pro forma as adjusted net tangible book value per share to new investors in this offering</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pro forma as adjusted dilution information discussed above is illustrative only and will change based on the actual initial public offering price and other terms of this offering determined at pricing. Each $1.00 increase or decrease in the assumed initial public offering price of $ per share, the midpoint of the price range set forth on the cover page of this prospectus, would increase or decrease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3" w:lineRule="auto"/>
        <w:rPr>
          <w:sz w:val="20"/>
          <w:szCs w:val="20"/>
          <w:color w:val="auto"/>
        </w:rPr>
      </w:pPr>
      <w:r>
        <w:rPr>
          <w:rFonts w:ascii="Arial" w:cs="Arial" w:eastAsia="Arial" w:hAnsi="Arial"/>
          <w:sz w:val="15"/>
          <w:szCs w:val="15"/>
          <w:color w:val="auto"/>
        </w:rPr>
        <w:t>the pro forma as adjusted net tangible book value per share by $ per share and the dilution per share to investors participating in this offering by $ per share, assuming that the number of shares offered by us, as set forth on the cover page of this prospectus, remains the same and after deducting estimated underwriting discounts and commissions. We may also increase or decrease the number of shares we are offering. A 1,000,000 share increase in the number of</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6"/>
          <w:szCs w:val="16"/>
          <w:color w:val="auto"/>
        </w:rPr>
        <w:t>shares offered by us, as set forth on the cover page of this prospectus, would increase the pro forma as adjusted net tangible book value per share by $ and decrease the dilution per share to investors participating in this offering by $ , assuming the assumed initial public offering price of $ per share, the midpoint of the price range set forth on the cover page of this prospectus, remains the same and after deducting estimated underwriting discounts and commissions. A 1,000,000 share decrease in the number of shares offered by us, as set forth on the cover page of this prospectus, would decrease the pro forma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adjusted net tangible book value per share after this offering by $ and increase the dilution per share to new investors participating in this offering by $ , assuming the assumed initial public offering price of $ per share, the midpoint of the price range set forth on the cover page of this prospectus, remains the same and after deducting estimated underwriting discounts and commissions.</w:t>
      </w:r>
    </w:p>
    <w:p>
      <w:pPr>
        <w:spacing w:after="0" w:line="19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the underwriters exercise their over-allotment option in full to purchase an additional shares of our Class A common stock in this offering, the pro forma as adjusted net tangible book value of our common stock would increase to $ per share, representing an immediate increase in the pro forma net tangible book value per share to existing stockholders of $ per share and an immediate dilution of $ per share to investors participating in this offering.</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summarizes as of April 30, 2017, on the pro forma as adjusted basis described above, the number of shares of our Class A common stock and Class B common stock, the total consideration and the average price per share (1) paid to us by our existing stockholders and (2) to be paid by investors purchasing our Class A common stock in this offering at an assumed initial public offering price of $ per share, the midpoint of the price range set forth on the cover page of this prospectus, before deducting estimated underwriting discounts and commissions and estimated offering expenses payable by us.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Shares Purchased</w:t>
            </w:r>
          </w:p>
        </w:tc>
        <w:tc>
          <w:tcPr>
            <w:tcW w:w="12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w w:val="86"/>
              </w:rPr>
              <w:t>Total Consideration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1880" w:type="dxa"/>
            <w:vAlign w:val="bottom"/>
            <w:gridSpan w:val="3"/>
            <w:vMerge w:val="restart"/>
          </w:tcPr>
          <w:p>
            <w:pPr>
              <w:jc w:val="center"/>
              <w:ind w:right="1180"/>
              <w:spacing w:after="0" w:line="136" w:lineRule="exact"/>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89"/>
        </w:trPr>
        <w:tc>
          <w:tcPr>
            <w:tcW w:w="116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0"/>
              </w:rPr>
              <w:t>New Investors purchasing Class A common stock</w:t>
            </w:r>
          </w:p>
        </w:tc>
        <w:tc>
          <w:tcPr>
            <w:tcW w:w="16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gridSpan w:val="2"/>
          </w:tcPr>
          <w:p>
            <w:pPr>
              <w:jc w:val="right"/>
              <w:ind w:right="57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4"/>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1280" w:type="dxa"/>
            <w:vAlign w:val="bottom"/>
            <w:gridSpan w:val="17"/>
          </w:tcPr>
          <w:p>
            <w:pPr>
              <w:ind w:left="360"/>
              <w:spacing w:after="0"/>
              <w:rPr>
                <w:sz w:val="20"/>
                <w:szCs w:val="20"/>
                <w:color w:val="auto"/>
              </w:rPr>
            </w:pPr>
            <w:r>
              <w:rPr>
                <w:rFonts w:ascii="Arial" w:cs="Arial" w:eastAsia="Arial" w:hAnsi="Arial"/>
                <w:sz w:val="18"/>
                <w:szCs w:val="18"/>
                <w:color w:val="auto"/>
                <w:w w:val="92"/>
              </w:rPr>
              <w:t>The foregoing table does not reflect the sales by existing stockholders in this offering. Sales by the selling stockholders in this offering will reduce the</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w w:val="92"/>
              </w:rPr>
              <w:t>number of shares held by existing stockholders to</w:t>
            </w:r>
          </w:p>
        </w:tc>
        <w:tc>
          <w:tcPr>
            <w:tcW w:w="1080" w:type="dxa"/>
            <w:vAlign w:val="bottom"/>
          </w:tcPr>
          <w:p>
            <w:pPr>
              <w:ind w:left="160"/>
              <w:spacing w:after="0"/>
              <w:rPr>
                <w:sz w:val="20"/>
                <w:szCs w:val="20"/>
                <w:color w:val="auto"/>
              </w:rPr>
            </w:pPr>
            <w:r>
              <w:rPr>
                <w:rFonts w:ascii="Arial" w:cs="Arial" w:eastAsia="Arial" w:hAnsi="Arial"/>
                <w:sz w:val="18"/>
                <w:szCs w:val="18"/>
                <w:color w:val="auto"/>
              </w:rPr>
              <w:t>shares, or</w:t>
            </w:r>
          </w:p>
        </w:tc>
        <w:tc>
          <w:tcPr>
            <w:tcW w:w="6520" w:type="dxa"/>
            <w:vAlign w:val="bottom"/>
            <w:gridSpan w:val="14"/>
          </w:tcPr>
          <w:p>
            <w:pPr>
              <w:ind w:left="100"/>
              <w:spacing w:after="0"/>
              <w:rPr>
                <w:sz w:val="20"/>
                <w:szCs w:val="20"/>
                <w:color w:val="auto"/>
              </w:rPr>
            </w:pPr>
            <w:r>
              <w:rPr>
                <w:rFonts w:ascii="Arial" w:cs="Arial" w:eastAsia="Arial" w:hAnsi="Arial"/>
                <w:sz w:val="18"/>
                <w:szCs w:val="18"/>
                <w:color w:val="auto"/>
                <w:w w:val="89"/>
              </w:rPr>
              <w:t>% of the total number of shares of our Class A common stock and Class B common stock</w:t>
            </w:r>
          </w:p>
        </w:tc>
        <w:tc>
          <w:tcPr>
            <w:tcW w:w="0" w:type="dxa"/>
            <w:vAlign w:val="bottom"/>
          </w:tcPr>
          <w:p>
            <w:pPr>
              <w:spacing w:after="0"/>
              <w:rPr>
                <w:sz w:val="1"/>
                <w:szCs w:val="1"/>
                <w:color w:val="auto"/>
              </w:rPr>
            </w:pPr>
          </w:p>
        </w:tc>
      </w:tr>
      <w:tr>
        <w:trPr>
          <w:trHeight w:val="222"/>
        </w:trPr>
        <w:tc>
          <w:tcPr>
            <w:tcW w:w="6900" w:type="dxa"/>
            <w:vAlign w:val="bottom"/>
            <w:gridSpan w:val="5"/>
          </w:tcPr>
          <w:p>
            <w:pPr>
              <w:jc w:val="right"/>
              <w:ind w:right="192"/>
              <w:spacing w:after="0"/>
              <w:rPr>
                <w:sz w:val="20"/>
                <w:szCs w:val="20"/>
                <w:color w:val="auto"/>
              </w:rPr>
            </w:pPr>
            <w:r>
              <w:rPr>
                <w:rFonts w:ascii="Arial" w:cs="Arial" w:eastAsia="Arial" w:hAnsi="Arial"/>
                <w:sz w:val="18"/>
                <w:szCs w:val="18"/>
                <w:color w:val="auto"/>
                <w:w w:val="88"/>
              </w:rPr>
              <w:t>outstanding after this offering, and will increase the number of shares held by new investors to</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w w:val="92"/>
              </w:rPr>
              <w:t>shares, or</w:t>
            </w:r>
          </w:p>
        </w:tc>
        <w:tc>
          <w:tcPr>
            <w:tcW w:w="3360" w:type="dxa"/>
            <w:vAlign w:val="bottom"/>
            <w:gridSpan w:val="8"/>
          </w:tcPr>
          <w:p>
            <w:pPr>
              <w:ind w:left="100"/>
              <w:spacing w:after="0"/>
              <w:rPr>
                <w:sz w:val="20"/>
                <w:szCs w:val="20"/>
                <w:color w:val="auto"/>
              </w:rPr>
            </w:pPr>
            <w:r>
              <w:rPr>
                <w:rFonts w:ascii="Arial" w:cs="Arial" w:eastAsia="Arial" w:hAnsi="Arial"/>
                <w:sz w:val="18"/>
                <w:szCs w:val="18"/>
                <w:color w:val="auto"/>
                <w:w w:val="87"/>
              </w:rPr>
              <w:t>% of the total number of shares of our Class A</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common stock and Class B common stock outstanding after this offering. In addition, if the underwriters exercise their over-allotment option in full, the number</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20"/>
                <w:szCs w:val="20"/>
                <w:color w:val="auto"/>
              </w:rPr>
            </w:pPr>
            <w:r>
              <w:rPr>
                <w:rFonts w:ascii="Arial" w:cs="Arial" w:eastAsia="Arial" w:hAnsi="Arial"/>
                <w:sz w:val="18"/>
                <w:szCs w:val="18"/>
                <w:color w:val="auto"/>
                <w:w w:val="91"/>
              </w:rPr>
              <w:t>of shares held by the existing stockholders after this offering would be reduced to</w:t>
            </w:r>
          </w:p>
        </w:tc>
        <w:tc>
          <w:tcPr>
            <w:tcW w:w="1000" w:type="dxa"/>
            <w:vAlign w:val="bottom"/>
          </w:tcPr>
          <w:p>
            <w:pPr>
              <w:ind w:left="140"/>
              <w:spacing w:after="0"/>
              <w:rPr>
                <w:sz w:val="20"/>
                <w:szCs w:val="20"/>
                <w:color w:val="auto"/>
              </w:rPr>
            </w:pPr>
            <w:r>
              <w:rPr>
                <w:rFonts w:ascii="Arial" w:cs="Arial" w:eastAsia="Arial" w:hAnsi="Arial"/>
                <w:sz w:val="18"/>
                <w:szCs w:val="18"/>
                <w:color w:val="auto"/>
              </w:rPr>
              <w:t>shares, 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w w:val="97"/>
              </w:rPr>
              <w:t>% of the total number of shares of our Class A common</w:t>
            </w:r>
          </w:p>
        </w:tc>
      </w:tr>
      <w:tr>
        <w:trPr>
          <w:trHeight w:val="216"/>
        </w:trPr>
        <w:tc>
          <w:tcPr>
            <w:tcW w:w="9360" w:type="dxa"/>
            <w:vAlign w:val="bottom"/>
            <w:gridSpan w:val="3"/>
          </w:tcPr>
          <w:p>
            <w:pPr>
              <w:spacing w:after="0"/>
              <w:rPr>
                <w:sz w:val="20"/>
                <w:szCs w:val="20"/>
                <w:color w:val="auto"/>
              </w:rPr>
            </w:pPr>
            <w:r>
              <w:rPr>
                <w:rFonts w:ascii="Arial" w:cs="Arial" w:eastAsia="Arial" w:hAnsi="Arial"/>
                <w:sz w:val="18"/>
                <w:szCs w:val="18"/>
                <w:color w:val="auto"/>
                <w:w w:val="89"/>
              </w:rPr>
              <w:t>stock and Class B common stock outstanding after this offering, and the number of shares held by new investors would increase to</w:t>
            </w:r>
          </w:p>
        </w:tc>
        <w:tc>
          <w:tcPr>
            <w:tcW w:w="1020" w:type="dxa"/>
            <w:vAlign w:val="bottom"/>
          </w:tcPr>
          <w:p>
            <w:pPr>
              <w:ind w:left="180"/>
              <w:spacing w:after="0"/>
              <w:rPr>
                <w:sz w:val="20"/>
                <w:szCs w:val="20"/>
                <w:color w:val="auto"/>
              </w:rPr>
            </w:pPr>
            <w:r>
              <w:rPr>
                <w:rFonts w:ascii="Arial" w:cs="Arial" w:eastAsia="Arial" w:hAnsi="Arial"/>
                <w:sz w:val="18"/>
                <w:szCs w:val="18"/>
                <w:color w:val="auto"/>
              </w:rPr>
              <w:t>shares, or</w:t>
            </w:r>
          </w:p>
        </w:tc>
        <w:tc>
          <w:tcPr>
            <w:tcW w:w="1040" w:type="dxa"/>
            <w:vAlign w:val="bottom"/>
          </w:tcPr>
          <w:p>
            <w:pPr>
              <w:ind w:left="180"/>
              <w:spacing w:after="0"/>
              <w:rPr>
                <w:sz w:val="20"/>
                <w:szCs w:val="20"/>
                <w:color w:val="auto"/>
              </w:rPr>
            </w:pPr>
            <w:r>
              <w:rPr>
                <w:rFonts w:ascii="Arial" w:cs="Arial" w:eastAsia="Arial" w:hAnsi="Arial"/>
                <w:sz w:val="18"/>
                <w:szCs w:val="18"/>
                <w:color w:val="auto"/>
              </w:rPr>
              <w:t>% of the</w:t>
            </w:r>
          </w:p>
        </w:tc>
      </w:tr>
      <w:tr>
        <w:trPr>
          <w:trHeight w:val="222"/>
        </w:trPr>
        <w:tc>
          <w:tcPr>
            <w:tcW w:w="9360" w:type="dxa"/>
            <w:vAlign w:val="bottom"/>
            <w:gridSpan w:val="3"/>
          </w:tcPr>
          <w:p>
            <w:pPr>
              <w:spacing w:after="0"/>
              <w:rPr>
                <w:sz w:val="20"/>
                <w:szCs w:val="20"/>
                <w:color w:val="auto"/>
              </w:rPr>
            </w:pPr>
            <w:r>
              <w:rPr>
                <w:rFonts w:ascii="Arial" w:cs="Arial" w:eastAsia="Arial" w:hAnsi="Arial"/>
                <w:sz w:val="18"/>
                <w:szCs w:val="18"/>
                <w:color w:val="auto"/>
              </w:rPr>
              <w:t>total number of shares of our Class A common stock and Class B common stock outstanding after this offering.</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32"/>
        </w:trPr>
        <w:tc>
          <w:tcPr>
            <w:tcW w:w="5940" w:type="dxa"/>
            <w:vAlign w:val="bottom"/>
          </w:tcPr>
          <w:p>
            <w:pPr>
              <w:jc w:val="right"/>
              <w:ind w:right="52"/>
              <w:spacing w:after="0"/>
              <w:rPr>
                <w:sz w:val="20"/>
                <w:szCs w:val="20"/>
                <w:color w:val="auto"/>
              </w:rPr>
            </w:pPr>
            <w:r>
              <w:rPr>
                <w:rFonts w:ascii="Arial" w:cs="Arial" w:eastAsia="Arial" w:hAnsi="Arial"/>
                <w:sz w:val="18"/>
                <w:szCs w:val="18"/>
                <w:color w:val="auto"/>
              </w:rPr>
              <w:t>56</w:t>
            </w:r>
          </w:p>
        </w:tc>
        <w:tc>
          <w:tcPr>
            <w:tcW w:w="1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8"/>
        </w:trPr>
        <w:tc>
          <w:tcPr>
            <w:tcW w:w="59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outstanding share information used in the computations above excludes:</w:t>
      </w:r>
    </w:p>
    <w:p>
      <w:pPr>
        <w:spacing w:after="0" w:line="239" w:lineRule="exact"/>
        <w:rPr>
          <w:sz w:val="20"/>
          <w:szCs w:val="20"/>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4,787,175 shares of Class A common stock and 19,600,909 shares of Class B common stock, in each case, issuable upon the exercise of options outstanding as of April 30, 2017, at a weighted-average exercise price of $4.14 and $3.21 per share, respectively;</w:t>
      </w:r>
    </w:p>
    <w:p>
      <w:pPr>
        <w:spacing w:after="0" w:line="166"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353,296 shares of Class B common stock issuable upon the exercise of warrants outstanding as of April 30, 2017, at a weighted-average exercise price of $2.19 per share;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pursuant to our 2016 Equity Incentive Plan, as amended and restated in connection with this offering; and</w:t>
      </w:r>
    </w:p>
    <w:p>
      <w:pPr>
        <w:spacing w:after="0" w:line="199" w:lineRule="exact"/>
        <w:rPr>
          <w:rFonts w:ascii="Arial" w:cs="Arial" w:eastAsia="Arial" w:hAnsi="Arial"/>
          <w:sz w:val="18"/>
          <w:szCs w:val="18"/>
          <w:color w:val="auto"/>
        </w:rPr>
      </w:pPr>
    </w:p>
    <w:p>
      <w:pPr>
        <w:ind w:left="1080" w:hanging="532"/>
        <w:spacing w:after="0" w:line="268" w:lineRule="auto"/>
        <w:tabs>
          <w:tab w:leader="none" w:pos="16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Class A common stock reserved for future issuance under our 2017 Employee Stock Purchase Plan, which will become effective once the registration statement, of which this prospectus forms a part, is declared effective.</w:t>
      </w:r>
    </w:p>
    <w:p>
      <w:pPr>
        <w:spacing w:after="0" w:line="186"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To the extent that outstanding options or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We derived the following selected consolidated statements of operations data for the fiscal years ended January 31, 2016 and 2017 and the selected consolidated balance sheet data as of January 31, 2016 and 2017 from our audited consolidated financial statements included elsewhere in this prospectus. We derived the selected consolidated statements of operations data for the three months ended April 30, 2016 and 2017 and the selected consolidated balance sheet data as of April 30, 2017 from our unaudited interim consolidated financial statements included elsewhere in this prospectus. Our unaudited interim consolidated financial statements have been prepared on the same basis as our audited consolidated financial statements and reflect, in the opinion of management, all adjustments of a normal, recurring nature that are necessary for a fair statement of our unaudited interim consolidated financial statements. We derived the following selected consolidated statement of operations data for the fiscal year ended January 31, 2015, and the selected consolidated balance sheet data as of January 31, 2015, from our audited consolidated financial statements not included in this prospectus. Our fiscal year ends January 31.</w:t>
      </w:r>
    </w:p>
    <w:p>
      <w:pPr>
        <w:spacing w:after="0" w:line="172"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Historical results are not necessarily indicative of the results that may be expected in the future, and the results for the three months ended April 30, 2017 are not necessarily indicative of the results to be expected for the full year or any other period. The selected financial data set forth below should be read together with the consolidated financial statements and the related notes included elsewhere in this prospectus, as well as the section of this prospectus titled "Management's Discussion and Analysis of Financial Condition and Results of Operations."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8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8"/>
          </w:tcPr>
          <w:p>
            <w:pPr>
              <w:jc w:val="right"/>
              <w:ind w:right="128"/>
              <w:spacing w:after="0"/>
              <w:rPr>
                <w:sz w:val="20"/>
                <w:szCs w:val="20"/>
                <w:color w:val="auto"/>
              </w:rPr>
            </w:pPr>
            <w:r>
              <w:rPr>
                <w:rFonts w:ascii="Arial" w:cs="Arial" w:eastAsia="Arial" w:hAnsi="Arial"/>
                <w:sz w:val="14"/>
                <w:szCs w:val="14"/>
                <w:b w:val="1"/>
                <w:bCs w:val="1"/>
                <w:color w:val="auto"/>
              </w:rPr>
              <w:t>Year Ended January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April 30,</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60" w:type="dxa"/>
            <w:vAlign w:val="bottom"/>
            <w:gridSpan w:val="2"/>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35"/>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2"/>
        </w:trPr>
        <w:tc>
          <w:tcPr>
            <w:tcW w:w="116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9"/>
              </w:rPr>
              <w:t>Consolidated Statements of Operations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Data:</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34,109</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22,678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71,491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52,072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78,584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1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shd w:val="clear" w:color="auto" w:fill="CCEEFF"/>
          </w:tcPr>
          <w:p>
            <w:pPr>
              <w:spacing w:after="0"/>
              <w:rPr>
                <w:sz w:val="22"/>
                <w:szCs w:val="22"/>
                <w:color w:val="auto"/>
              </w:rPr>
            </w:pPr>
          </w:p>
        </w:tc>
        <w:tc>
          <w:tcPr>
            <w:tcW w:w="1160" w:type="dxa"/>
            <w:vAlign w:val="bottom"/>
          </w:tcPr>
          <w:p>
            <w:pPr>
              <w:spacing w:after="0"/>
              <w:rPr>
                <w:sz w:val="22"/>
                <w:szCs w:val="22"/>
                <w:color w:val="auto"/>
              </w:rPr>
            </w:pPr>
          </w:p>
        </w:tc>
      </w:tr>
      <w:tr>
        <w:trPr>
          <w:trHeight w:val="257"/>
        </w:trPr>
        <w:tc>
          <w:tcPr>
            <w:tcW w:w="1160" w:type="dxa"/>
            <w:vAlign w:val="bottom"/>
          </w:tcPr>
          <w:p>
            <w:pPr>
              <w:spacing w:after="0"/>
              <w:rPr>
                <w:sz w:val="22"/>
                <w:szCs w:val="22"/>
                <w:color w:val="auto"/>
              </w:rPr>
            </w:pPr>
          </w:p>
        </w:tc>
        <w:tc>
          <w:tcPr>
            <w:tcW w:w="3060" w:type="dxa"/>
            <w:vAlign w:val="bottom"/>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3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157,438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(19,802)</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w w:val="99"/>
              </w:rPr>
              <w:t>Loss before provision for income taxes</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422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w w:val="94"/>
              </w:rPr>
              <w:t>Year Ended January 31,</w:t>
            </w: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April 30,</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gridSpan w:val="2"/>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5"/>
              </w:rPr>
              <w:t>except share and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74"/>
              </w:rPr>
              <w:t>per</w:t>
            </w:r>
          </w:p>
        </w:tc>
        <w:tc>
          <w:tcPr>
            <w:tcW w:w="1020" w:type="dxa"/>
            <w:vAlign w:val="bottom"/>
            <w:gridSpan w:val="2"/>
          </w:tcPr>
          <w:p>
            <w:pPr>
              <w:jc w:val="right"/>
              <w:ind w:right="244"/>
              <w:spacing w:after="0" w:line="142" w:lineRule="exact"/>
              <w:rPr>
                <w:sz w:val="20"/>
                <w:szCs w:val="20"/>
                <w:color w:val="auto"/>
              </w:rPr>
            </w:pPr>
            <w:r>
              <w:rPr>
                <w:rFonts w:ascii="Arial" w:cs="Arial" w:eastAsia="Arial" w:hAnsi="Arial"/>
                <w:sz w:val="14"/>
                <w:szCs w:val="14"/>
                <w:b w:val="1"/>
                <w:bCs w:val="1"/>
                <w:color w:val="auto"/>
                <w:w w:val="90"/>
              </w:rPr>
              <w:t>share data)</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Net loss per share attributable to common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net loss per share attributable to</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21,268,067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26,329,373</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stockholders, basic and</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rPr>
                <w:sz w:val="20"/>
                <w:szCs w:val="20"/>
                <w:color w:val="auto"/>
              </w:rPr>
            </w:pPr>
            <w:r>
              <w:rPr>
                <w:rFonts w:ascii="Arial" w:cs="Arial" w:eastAsia="Arial" w:hAnsi="Arial"/>
                <w:sz w:val="18"/>
                <w:szCs w:val="18"/>
                <w:color w:val="auto"/>
                <w:w w:val="90"/>
              </w:rPr>
              <w:t>Weighted-average shares used to compute</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1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w w:val="91"/>
              </w:rPr>
              <w:t>pro forma net loss per share attributable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gridSpan w:val="2"/>
          </w:tcPr>
          <w:p>
            <w:pPr>
              <w:ind w:left="160"/>
              <w:spacing w:after="0"/>
              <w:rPr>
                <w:sz w:val="20"/>
                <w:szCs w:val="20"/>
                <w:color w:val="auto"/>
              </w:rPr>
            </w:pPr>
            <w:r>
              <w:rPr>
                <w:rFonts w:ascii="Arial" w:cs="Arial" w:eastAsia="Arial" w:hAnsi="Arial"/>
                <w:sz w:val="18"/>
                <w:szCs w:val="18"/>
                <w:color w:val="auto"/>
              </w:rPr>
              <w:t>to common stockholders, basic and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diluted</w:t>
            </w:r>
            <w:r>
              <w:rPr>
                <w:rFonts w:ascii="Arial" w:cs="Arial" w:eastAsia="Arial" w:hAnsi="Arial"/>
                <w:sz w:val="29"/>
                <w:szCs w:val="29"/>
                <w:color w:val="auto"/>
                <w:vertAlign w:val="superscript"/>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80,129,077</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1"/>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tcPr>
          <w:p>
            <w:pPr>
              <w:jc w:val="center"/>
              <w:ind w:left="252"/>
              <w:spacing w:after="0" w:line="149" w:lineRule="exact"/>
              <w:rPr>
                <w:sz w:val="20"/>
                <w:szCs w:val="20"/>
                <w:color w:val="auto"/>
              </w:rPr>
            </w:pPr>
            <w:r>
              <w:rPr>
                <w:rFonts w:ascii="Arial" w:cs="Arial" w:eastAsia="Arial" w:hAnsi="Arial"/>
                <w:sz w:val="14"/>
                <w:szCs w:val="14"/>
                <w:b w:val="1"/>
                <w:bCs w:val="1"/>
                <w:color w:val="auto"/>
                <w:w w:val="84"/>
              </w:rPr>
              <w:t>Ended</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10"/>
          </w:tcPr>
          <w:p>
            <w:pPr>
              <w:ind w:left="220"/>
              <w:spacing w:after="0"/>
              <w:rPr>
                <w:sz w:val="20"/>
                <w:szCs w:val="20"/>
                <w:color w:val="auto"/>
              </w:rPr>
            </w:pPr>
            <w:r>
              <w:rPr>
                <w:rFonts w:ascii="Arial" w:cs="Arial" w:eastAsia="Arial" w:hAnsi="Arial"/>
                <w:sz w:val="14"/>
                <w:szCs w:val="14"/>
                <w:b w:val="1"/>
                <w:bCs w:val="1"/>
                <w:color w:val="auto"/>
              </w:rPr>
              <w:t>Year Ended January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Arial" w:cs="Arial" w:eastAsia="Arial" w:hAnsi="Arial"/>
                <w:sz w:val="11"/>
                <w:szCs w:val="11"/>
                <w:b w:val="1"/>
                <w:bCs w:val="1"/>
                <w:color w:val="auto"/>
                <w:w w:val="74"/>
              </w:rPr>
              <w:t>(in</w:t>
            </w: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vMerge w:val="continue"/>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00" w:type="dxa"/>
            <w:vAlign w:val="bottom"/>
            <w:gridSpan w:val="2"/>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282</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570</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22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2,637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3,524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5,514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w:t>
            </w:r>
          </w:p>
        </w:tc>
        <w:tc>
          <w:tcPr>
            <w:tcW w:w="0" w:type="dxa"/>
            <w:vAlign w:val="bottom"/>
          </w:tcPr>
          <w:p>
            <w:pPr>
              <w:spacing w:after="0"/>
              <w:rPr>
                <w:sz w:val="1"/>
                <w:szCs w:val="1"/>
                <w:color w:val="auto"/>
              </w:rPr>
            </w:pPr>
          </w:p>
        </w:tc>
      </w:tr>
      <w:tr>
        <w:trPr>
          <w:trHeight w:val="149"/>
        </w:trPr>
        <w:tc>
          <w:tcPr>
            <w:tcW w:w="428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2,194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5,755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2,064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49"/>
        </w:trPr>
        <w:tc>
          <w:tcPr>
            <w:tcW w:w="4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8,683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1,771</w:t>
            </w:r>
          </w:p>
        </w:tc>
        <w:tc>
          <w:tcPr>
            <w:tcW w:w="0" w:type="dxa"/>
            <w:vAlign w:val="bottom"/>
          </w:tcPr>
          <w:p>
            <w:pPr>
              <w:spacing w:after="0"/>
              <w:rPr>
                <w:sz w:val="1"/>
                <w:szCs w:val="1"/>
                <w:color w:val="auto"/>
              </w:rPr>
            </w:pPr>
          </w:p>
        </w:tc>
      </w:tr>
      <w:tr>
        <w:trPr>
          <w:trHeight w:val="142"/>
        </w:trPr>
        <w:tc>
          <w:tcPr>
            <w:tcW w:w="428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7,097</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1680" w:right="180" w:hanging="531"/>
        <w:spacing w:after="0" w:line="318" w:lineRule="auto"/>
        <w:tabs>
          <w:tab w:leader="none" w:pos="1680" w:val="left"/>
        </w:tabs>
        <w:numPr>
          <w:ilvl w:val="0"/>
          <w:numId w:val="32"/>
        </w:numPr>
        <w:rPr>
          <w:rFonts w:ascii="Arial" w:cs="Arial" w:eastAsia="Arial" w:hAnsi="Arial"/>
          <w:sz w:val="10"/>
          <w:szCs w:val="10"/>
          <w:color w:val="auto"/>
        </w:rPr>
      </w:pPr>
      <w:r>
        <w:rPr>
          <w:rFonts w:ascii="Arial" w:cs="Arial" w:eastAsia="Arial" w:hAnsi="Arial"/>
          <w:sz w:val="12"/>
          <w:szCs w:val="12"/>
          <w:color w:val="auto"/>
        </w:rPr>
        <w:t>See Note 10 to our consolidated financial statements included elsewhere in this prospectus for an explanation of the method used to calculate basic and diluted net loss per share and pro forma net loss per share attributable to common stockholders and the weighted-average number of shares used in the computation of the per share amounts.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7"/>
              </w:rPr>
              <w:t>As of January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ind w:left="60"/>
              <w:spacing w:after="0"/>
              <w:rPr>
                <w:sz w:val="20"/>
                <w:szCs w:val="20"/>
                <w:color w:val="auto"/>
              </w:rPr>
            </w:pPr>
            <w:r>
              <w:rPr>
                <w:rFonts w:ascii="Arial" w:cs="Arial" w:eastAsia="Arial" w:hAnsi="Arial"/>
                <w:sz w:val="14"/>
                <w:szCs w:val="14"/>
                <w:b w:val="1"/>
                <w:bCs w:val="1"/>
                <w:color w:val="auto"/>
              </w:rPr>
              <w:t>As of April 30,</w:t>
            </w: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jc w:val="right"/>
              <w:ind w:right="226"/>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106"/>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jc w:val="right"/>
              <w:ind w:right="454"/>
              <w:spacing w:after="0"/>
              <w:rPr>
                <w:sz w:val="20"/>
                <w:szCs w:val="20"/>
                <w:color w:val="auto"/>
              </w:rPr>
            </w:pPr>
            <w:r>
              <w:rPr>
                <w:rFonts w:ascii="Arial" w:cs="Arial" w:eastAsia="Arial" w:hAnsi="Arial"/>
                <w:sz w:val="12"/>
                <w:szCs w:val="12"/>
                <w:b w:val="1"/>
                <w:bCs w:val="1"/>
                <w:color w:val="auto"/>
                <w:w w:val="71"/>
              </w:rPr>
              <w:t>thousands)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157,588</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113,159</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116,500</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108,769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60,662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195,891</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156,813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174,432</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164,346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 and non-current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41,034</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0"/>
              </w:rPr>
              <w:t>Long-term debt, current and non-current, net of debt issuance costs</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5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310,315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345,257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(185,783)</w:t>
            </w:r>
          </w:p>
        </w:tc>
        <w:tc>
          <w:tcPr>
            <w:tcW w:w="108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(259,269)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(347,401)</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(367,091)</w:t>
            </w: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(171,013)</w:t>
            </w:r>
          </w:p>
        </w:tc>
        <w:tc>
          <w:tcPr>
            <w:tcW w:w="1080" w:type="dxa"/>
            <w:vAlign w:val="bottom"/>
            <w:gridSpan w:val="3"/>
          </w:tcPr>
          <w:p>
            <w:pPr>
              <w:jc w:val="right"/>
              <w:ind w:right="18"/>
              <w:spacing w:after="0"/>
              <w:rPr>
                <w:sz w:val="20"/>
                <w:szCs w:val="20"/>
                <w:color w:val="auto"/>
              </w:rPr>
            </w:pPr>
            <w:r>
              <w:rPr>
                <w:rFonts w:ascii="Arial" w:cs="Arial" w:eastAsia="Arial" w:hAnsi="Arial"/>
                <w:sz w:val="18"/>
                <w:szCs w:val="18"/>
                <w:color w:val="auto"/>
              </w:rPr>
              <w:t>(228,505)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(286,514)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(298,422)</w:t>
            </w:r>
          </w:p>
        </w:tc>
        <w:tc>
          <w:tcPr>
            <w:tcW w:w="1140" w:type="dxa"/>
            <w:vAlign w:val="bottom"/>
          </w:tcPr>
          <w:p>
            <w:pPr>
              <w:spacing w:after="0"/>
              <w:rPr>
                <w:sz w:val="19"/>
                <w:szCs w:val="19"/>
                <w:color w:val="auto"/>
              </w:rPr>
            </w:pPr>
          </w:p>
        </w:tc>
      </w:tr>
      <w:tr>
        <w:trPr>
          <w:trHeight w:val="424"/>
        </w:trPr>
        <w:tc>
          <w:tcPr>
            <w:tcW w:w="6040" w:type="dxa"/>
            <w:vAlign w:val="bottom"/>
            <w:gridSpan w:val="2"/>
          </w:tcPr>
          <w:p>
            <w:pPr>
              <w:jc w:val="right"/>
              <w:ind w:right="152"/>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9"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review the sections titled "Special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Our fiscal year ends January 31.</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Our founders were frustrated by the challenges of working with legacy database offerings and started our company in 2007 with the goal of creating a modern database platform to address these challenges while maintaining the best aspects of relational databases. We have historically invested significant amounts in research and development to build our platform.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our founding, we have achieved the following significant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148590</wp:posOffset>
            </wp:positionV>
            <wp:extent cx="4296410" cy="2040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9641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2009:</w:t>
        <w:tab/>
        <w:t>MongoDB Community Server version 0.9 released</w:t>
      </w:r>
    </w:p>
    <w:p>
      <w:pPr>
        <w:spacing w:after="0" w:line="15"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2011:</w:t>
        <w:tab/>
        <w:t>Launched MongoDB's first cloud management tools</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2012:</w:t>
        <w:tab/>
        <w:t>Began providing 24x365 technical support</w:t>
      </w:r>
    </w:p>
    <w:p>
      <w:pPr>
        <w:spacing w:after="0" w:line="9" w:lineRule="exact"/>
        <w:rPr>
          <w:sz w:val="20"/>
          <w:szCs w:val="20"/>
          <w:color w:val="auto"/>
        </w:rPr>
      </w:pPr>
    </w:p>
    <w:p>
      <w:pPr>
        <w:ind w:left="1940"/>
        <w:spacing w:after="0"/>
        <w:tabs>
          <w:tab w:leader="none" w:pos="2520" w:val="left"/>
        </w:tabs>
        <w:rPr>
          <w:sz w:val="20"/>
          <w:szCs w:val="20"/>
          <w:color w:val="auto"/>
        </w:rPr>
      </w:pPr>
      <w:r>
        <w:rPr>
          <w:rFonts w:ascii="Arial" w:cs="Arial" w:eastAsia="Arial" w:hAnsi="Arial"/>
          <w:sz w:val="18"/>
          <w:szCs w:val="18"/>
          <w:color w:val="auto"/>
        </w:rPr>
        <w:t>2013:</w:t>
        <w:tab/>
        <w:t>Introduced first commercial version of MongoDB Enterprise Database Server</w:t>
      </w:r>
    </w:p>
    <w:p>
      <w:pPr>
        <w:spacing w:after="0" w:line="9" w:lineRule="exact"/>
        <w:rPr>
          <w:sz w:val="20"/>
          <w:szCs w:val="20"/>
          <w:color w:val="auto"/>
        </w:rPr>
      </w:pPr>
    </w:p>
    <w:p>
      <w:pPr>
        <w:ind w:left="2540" w:right="2400" w:hanging="599"/>
        <w:spacing w:after="0" w:line="250" w:lineRule="auto"/>
        <w:tabs>
          <w:tab w:leader="none" w:pos="2520" w:val="left"/>
        </w:tabs>
        <w:rPr>
          <w:sz w:val="20"/>
          <w:szCs w:val="20"/>
          <w:color w:val="auto"/>
        </w:rPr>
      </w:pPr>
      <w:r>
        <w:rPr>
          <w:rFonts w:ascii="Arial" w:cs="Arial" w:eastAsia="Arial" w:hAnsi="Arial"/>
          <w:sz w:val="18"/>
          <w:szCs w:val="18"/>
          <w:color w:val="auto"/>
        </w:rPr>
        <w:t>2014:</w:t>
        <w:tab/>
        <w:t>Acquired WiredTiger, a storage engine, to expand the breadth of use cases supported on our platform</w:t>
      </w:r>
    </w:p>
    <w:p>
      <w:pPr>
        <w:spacing w:after="0" w:line="1" w:lineRule="exact"/>
        <w:rPr>
          <w:sz w:val="20"/>
          <w:szCs w:val="20"/>
          <w:color w:val="auto"/>
        </w:rPr>
      </w:pPr>
    </w:p>
    <w:p>
      <w:pPr>
        <w:ind w:left="2540" w:right="2420" w:hanging="599"/>
        <w:spacing w:after="0" w:line="250" w:lineRule="auto"/>
        <w:tabs>
          <w:tab w:leader="none" w:pos="2520" w:val="left"/>
        </w:tabs>
        <w:rPr>
          <w:sz w:val="20"/>
          <w:szCs w:val="20"/>
          <w:color w:val="auto"/>
        </w:rPr>
      </w:pPr>
      <w:r>
        <w:rPr>
          <w:rFonts w:ascii="Arial" w:cs="Arial" w:eastAsia="Arial" w:hAnsi="Arial"/>
          <w:sz w:val="18"/>
          <w:szCs w:val="18"/>
          <w:color w:val="auto"/>
        </w:rPr>
        <w:t>2015:</w:t>
        <w:tab/>
        <w:t>Introduced MongoDB Compass, our graphical user interface and our analytics integrations, including Connector for BI</w:t>
      </w:r>
    </w:p>
    <w:p>
      <w:pPr>
        <w:spacing w:after="0" w:line="1" w:lineRule="exact"/>
        <w:rPr>
          <w:sz w:val="20"/>
          <w:szCs w:val="20"/>
          <w:color w:val="auto"/>
        </w:rPr>
      </w:pPr>
    </w:p>
    <w:p>
      <w:pPr>
        <w:ind w:left="2540" w:right="2420" w:hanging="599"/>
        <w:spacing w:after="0" w:line="261" w:lineRule="auto"/>
        <w:tabs>
          <w:tab w:leader="none" w:pos="2520" w:val="left"/>
        </w:tabs>
        <w:rPr>
          <w:sz w:val="20"/>
          <w:szCs w:val="20"/>
          <w:color w:val="auto"/>
        </w:rPr>
      </w:pPr>
      <w:r>
        <w:rPr>
          <w:rFonts w:ascii="Arial" w:cs="Arial" w:eastAsia="Arial" w:hAnsi="Arial"/>
          <w:sz w:val="18"/>
          <w:szCs w:val="18"/>
          <w:color w:val="auto"/>
        </w:rPr>
        <w:t>2016:</w:t>
        <w:tab/>
        <w:t>Launched MongoDB Atlas, our database-as-a-service, or DBaaS, offering, and released the latest version of our platform</w:t>
      </w:r>
    </w:p>
    <w:p>
      <w:pPr>
        <w:spacing w:after="0" w:line="19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generate revenue primarily from sales of subscriptions, which accounted for approximately 90% of our total revenue in both fiscal year 2017 and the three months ended April 30, 2017. Our primary subscription package is MongoDB Enterprise Advanced, which represented 71% and 68% of our subscription revenue in fiscal year 2017 and the three months ended April 30, 2017, respectively.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w:t>
      </w:r>
    </w:p>
    <w:p>
      <w:pPr>
        <w:spacing w:after="0" w:line="170"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To encourage developer usage, familiarity and adoption of our platform, we offer Community Server as an open source offering, analogous to a "freemium" offering. Community Server is a free-to-download version of our database that includes the core functionality developers need to get started with MongoDB but not all of the features of our commercial platform.</w:t>
      </w:r>
    </w:p>
    <w:p>
      <w:pPr>
        <w:spacing w:after="0" w:line="194"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Many of our enterprise customers initially get to know our software by using Community Server. As a result, our direct sales prospects are often familiar with our platform and may have already built applications using our technology. We sell subscriptions directly through our field and inside sales teams, as well as indirectly through channel partners. Our subscription offerings are generally priced on a per server basis, subject to a per server RAM limit. The majority of our subscription contracts are one year in duration and invoiced upfront, although a growing number of our customers are entering into multi-year subscriptions. When we enter into multi-year subscriptions, we typically invoice the customer on an annual basis.</w:t>
      </w:r>
    </w:p>
    <w:p>
      <w:pPr>
        <w:spacing w:after="0" w:line="170"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We introduced MongoDB Atlas in June 2016. MongoDB Atlas is our cloud hosted DBaaS offering that includes comprehensive infrastructure and management of Community Server. It represented 1%</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 our total revenue in fiscal year 2017. MongoDB Atlas is consumption-based and charged monthly to the customer based on usage. Given our platform has been downloaded from our website over 30 million times since February 2009 and over 10 million times in the last 12 months alone, our initial growth strategy for MongoDB Atlas is to convert developers and their organizations who are already using Community Server to become customers of MongoDB Atlas and enjoy the benefits of a managed offering. We have invested significantly in MongoDB Atlas and our ability to drive adoption of MongoDB Atlas is a key component of our growth strategy.</w:t>
      </w:r>
    </w:p>
    <w:p>
      <w:pPr>
        <w:spacing w:after="0" w:line="197"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also generate revenue from services, which consist primarily of fees associated with consulting and training services. Revenue from services accounted for 10% of our total revenue in fiscal year 2017. We expect to continue to invest in our services organization as we believe it plays an important role in accelerating our customers' realization of the benefits of our platform, which helps drive customer retention and expansion.</w:t>
      </w:r>
    </w:p>
    <w:p>
      <w:pPr>
        <w:spacing w:after="0" w:line="16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believe the market for our solutions is large and growing. We have made substantial investments in developing our platform and expanding our sales and marketing footprint. Worldwide, we have offices in 14 countries and our employee base has grown from 472 as of January 31, 2016 to 754 as of April 30, 2017. We intend to continue to invest heavily to grow our business to take advantage of our market opportunity rather than optimizing for profitability or cash flow in the near future.</w:t>
      </w:r>
    </w:p>
    <w:p>
      <w:pPr>
        <w:spacing w:after="0" w:line="197"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 countries, compared to over 1,700 and 3,200 customers as of January 31, 2016 and 2017, respectively. Our customers include half of the Global Fortune 100 companies. For the fiscal years ended January 31, 2015, 2016 and 2017, our total revenue was $40.8 million, $65.3 million and $101.4 million, respectively, representing year-over-year growth of 60% for fiscal year 2016 and 55% for fiscal year 2017. For the three months ended April 30, 2017, our total revenue was $32.4 million. We believe our net annual recurring revenue, or ARR expansion rate, which has been over 120% for each of the last nine fiscal quarters, demonstrates the attractiveness of our platform to our customers. See the section titled "—Cohort Analysis" below for a description of ARR and a discussion of net ARR expansion rate. Our net loss was $76.7 million, $73.5 million, $86.7 million and $19.7 million, for fiscal years 2015, 2016 and 2017 and the three months ended April 30, 2017, respectively. Our operating cash flow was $(62.0) million, $(47.0) million, $(38.1) million and $(11.7) million, for fiscal years 2015, 2016 and 2017 and the three months ended April 30, 2017, respectively. Our free cash flow was $(64.7) million, $(47.4) million, $(39.8) million and $(12.4) million, for fiscal</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years 2015, 2016 and 2017 and the three months ended April 30, 2017, respectively. See the section titled "—Liquidity and Capital Resources—Non-GAAP Free Cash Flow" below.</w:t>
      </w:r>
    </w:p>
    <w:p>
      <w:pPr>
        <w:spacing w:after="0" w:line="19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To manage our growth effectively, we must continue to improve and expand our operational, financial, and management processes and controls, and our reporting systems and procedures, which will require significant expenditures and allocation of valuable management and employee resources. We will also need to continue to hire, retain and motivate qualified personnel to support our growth. Additionally, we face intense competition in the database software market. To compete successfully, we need to continue to invest in our product offerings and our sales and marketing teams with the goal of driving customer adoption. If we are unable to successfully address these challenges, our business, results of operations and financial condition could be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Product Leadership and Maintaining Developer Mindshare</w:t>
      </w:r>
    </w:p>
    <w:p>
      <w:pPr>
        <w:spacing w:after="0" w:line="225" w:lineRule="exact"/>
        <w:rPr>
          <w:sz w:val="20"/>
          <w:szCs w:val="20"/>
          <w:color w:val="auto"/>
        </w:rPr>
      </w:pPr>
    </w:p>
    <w:p>
      <w:pPr>
        <w:ind w:right="20" w:firstLine="348"/>
        <w:spacing w:after="0" w:line="283" w:lineRule="auto"/>
        <w:rPr>
          <w:sz w:val="20"/>
          <w:szCs w:val="20"/>
          <w:color w:val="auto"/>
        </w:rPr>
      </w:pPr>
      <w:r>
        <w:rPr>
          <w:rFonts w:ascii="Arial" w:cs="Arial" w:eastAsia="Arial" w:hAnsi="Arial"/>
          <w:sz w:val="16"/>
          <w:szCs w:val="16"/>
          <w:color w:val="auto"/>
        </w:rPr>
        <w:t>We are committed to delivering market-leading products to continue to build and maintain credibility with the global software developer community. We believe we must maintain our product leadership position and the strength of our brand to drive further revenue growth. For example, we recently introduced MongoDB Atlas, an important part of our run-anywhere solution, to capitalize on the existing demand for a managed version of our Community Server offering which many companies currently self-deploy and manage in the cloud. We have also introduced an encrypted storage engine to secure data natively within our platform, allowing customers to utilize our platform for applications in highly regulated industries with specific and rigorous security requirements. We intend to continue to invest in our engineering capabilities and marketing activities to maintain our strong position in the developer community. We have spent</w:t>
      </w:r>
    </w:p>
    <w:p>
      <w:pPr>
        <w:spacing w:after="0" w:line="1"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$181.1 million on research and development since our inception. Our results of operations may fluctuate as we make these investments to drive increased customer adoption and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Our Customer Base</w:t>
      </w:r>
    </w:p>
    <w:p>
      <w:pPr>
        <w:spacing w:after="0" w:line="225"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are intensely focused on continuing to grow our customer base. We have invested, and expect to continue to invest, heavily in our sales and marketing efforts and developer community outreach, which are critical to driving customer acquisition. As of April 30, 2017, we had over 3,650 customers in over 80 countries, which spanned across organizations of all sizes and industries, compared to over 1,700 and 3,200 customers as of January 31, 2016 and 2017, respectively. All affiliated entities are counted as a single customer. As of April 30, 2017, we had over 1,300 customers that were sold through our direct sales force and channel partners, as compared to over 900 and over 1,200 such customers as of January 31, 2016 and 2017, respectively. These customers, which we refer to as our Direct Customers, accounted for 97%, 95% and 93% of our subscription revenue for the fiscal years ended January 31, 2016 and 2017 and the three months ended April 30, 2017, respectively. We are also focused on increasing the number of MongoDB Atlas customers, which was over 1,300 as of April 30, 2017, just ten months since its launch.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Retaining and Expanding Revenue from Existing Customers</w:t>
      </w:r>
    </w:p>
    <w:p>
      <w:pPr>
        <w:spacing w:after="0" w:line="225"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economic attractiveness of our subscription-based model is driven by customer renewals and increasing existing customer subscriptions over time, referred to as land-and-expand. We believe that there is a significant opportunity to drive additional sales to existing customers, and expect to invest in sales and marketing and customer success personnel and activities to achieve additional revenue growth from existing customers. As an application grows and requires additional capacity, our customers increase their subscriptions to our platform. In addition, our customers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Our goal is to increase the number of customers that standardize on our database within their organization, which can include offering centralized internal support or providing MongoDB-as-a-service internally. Over time, the average subscription amount for our Direct Customers has increased. The number of customers with $100,000 or greater in ARR was 109, 162, 241 and 265 as of January 31, 2015, 2016 and 2017 and April 30, 2017, respectively. See the section titled "—Cohort Analysis" below for a description of ARR. Our ability to increase sales to existing customers will depend on a number of factors, including customers' satisfaction or dissatisfaction with our products and services, competition, pricing, economic conditions or overall changes in our customers' spending levels.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Adoption of MongoDB Atlas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June 2016, we introduced MongoDB Atlas. This hosted cloud offering is an important part of our run-anywhere solution and allows us to generate revenue from Community Server, converting users who do not need all of the benefits of MongoDB Enterprise Advanced to customers. To accelerate adoption of this DBaaS offering, we recently introduced tools to easily migrate existing users of our Community Server offering to MongoDB Atlas. We also recently introduced a free tier for MongoDB Atlas that includes limited processing power and storage to drive usage and adoption of MongoDB Atlas among developers.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Growth and Scaling Our Business</w:t>
      </w:r>
    </w:p>
    <w:p>
      <w:pPr>
        <w:spacing w:after="0" w:line="225"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are focused on our long-term revenue potential. We believe that our market opportunity is large, and we will continue to invest significantly in scaling across all organizational functions in order to grow our operations both domestically and internationally. Any investments we make in our sales and marketing organization will occur in advance of experiencing the benefits from such investments, so it may be difficult for us to determine if we are efficiently allocating resources in those areas. We have increased our sales and marketing headcount from 174 employees as of January 31, 2016 to 296 employees as of April 30, 2017. We expect to use the proceeds from this offering, in part, to fund this growth and do not expect to be profitable in the near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Cohort Analysis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have a history of attracting new customers and generally increasing their annual spend with us over time by expanding their subscriptions to our platform. Specifically, the chart below illustrates the total ARR from each cohort over the fiscal years presented. We define ARR as the subscription revenue we would contractually expect to receive from customers over the following 12 months assuming no increases or reductions in their subscriptions. ARR excludes MongoDB Atlas, professional services and other self-service products. Each cohort represents customers who made their initial purchase from us in a given fiscal year. For example, the fiscal year 2013 cohort represents all customers who made their initial purchase from us between February 1, 2012 and January 31, 2013. The fiscal year 2013 cohort increased their initial ARR from $5.3 million to $22.1 million in fiscal year 2017, representing a multiple of 4.1x.</w:t>
      </w:r>
    </w:p>
    <w:p>
      <w:pPr>
        <w:spacing w:after="0" w:line="174" w:lineRule="exact"/>
        <w:rPr>
          <w:sz w:val="20"/>
          <w:szCs w:val="20"/>
          <w:color w:val="auto"/>
        </w:rPr>
      </w:pPr>
    </w:p>
    <w:p>
      <w:pPr>
        <w:ind w:right="40" w:firstLine="341"/>
        <w:spacing w:after="0" w:line="332" w:lineRule="auto"/>
        <w:rPr>
          <w:sz w:val="20"/>
          <w:szCs w:val="20"/>
          <w:color w:val="auto"/>
        </w:rPr>
      </w:pPr>
      <w:r>
        <w:rPr>
          <w:rFonts w:ascii="Arial" w:cs="Arial" w:eastAsia="Arial" w:hAnsi="Arial"/>
          <w:sz w:val="16"/>
          <w:szCs w:val="16"/>
          <w:color w:val="auto"/>
        </w:rPr>
        <w:t>Additionally, as of January 31, 2017, the ARR from our top 25 customers who became customers prior to fiscal year 2017 had increased 12.3x on average as compared to the initial ARR from these customers. All of these customers had ARR in excess of $500,000 as of April 30, 2017.</w:t>
      </w:r>
    </w:p>
    <w:p>
      <w:pPr>
        <w:spacing w:after="0" w:line="139"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To further illustrate the land-and-expand economics of our customer relationships, we examine the rate at which our customers increase their subscriptions with us, called net ARR expansion rate. We calculate net ARR expansion rate by dividing the ARR for a given period from customers who were also customers at the close of the same period in the prior year, the base period, by the ARR for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 period from those same customers. As of April 30, 2017, the net ARR expansion rate was 126%. The net ARR expansion rate has been over 120% for each of the last nine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123190</wp:posOffset>
            </wp:positionV>
            <wp:extent cx="5282565" cy="3378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28256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derive revenue primarily from subscriptions and, to a lesser extent, services.</w:t>
      </w:r>
    </w:p>
    <w:p>
      <w:pPr>
        <w:spacing w:after="0" w:line="225" w:lineRule="exact"/>
        <w:rPr>
          <w:sz w:val="20"/>
          <w:szCs w:val="20"/>
          <w:color w:val="auto"/>
        </w:rPr>
      </w:pPr>
    </w:p>
    <w:p>
      <w:pPr>
        <w:ind w:right="120" w:firstLine="351"/>
        <w:spacing w:after="0" w:line="335" w:lineRule="auto"/>
        <w:rPr>
          <w:sz w:val="20"/>
          <w:szCs w:val="20"/>
          <w:color w:val="auto"/>
        </w:rPr>
      </w:pPr>
      <w:r>
        <w:rPr>
          <w:rFonts w:ascii="Arial" w:cs="Arial" w:eastAsia="Arial" w:hAnsi="Arial"/>
          <w:sz w:val="15"/>
          <w:szCs w:val="15"/>
          <w:i w:val="1"/>
          <w:iCs w:val="1"/>
          <w:color w:val="auto"/>
        </w:rPr>
        <w:t xml:space="preserve">Subscription Revenue. </w:t>
      </w:r>
      <w:r>
        <w:rPr>
          <w:rFonts w:ascii="Arial" w:cs="Arial" w:eastAsia="Arial" w:hAnsi="Arial"/>
          <w:sz w:val="15"/>
          <w:szCs w:val="15"/>
          <w:color w:val="auto"/>
        </w:rPr>
        <w:t>Our subscription revenue is comprised of term licenses and hosted as-a-service solutions. Subscriptions to term licenses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technical support and access to new software versions on a when-and-if available basis. Revenue from our term licenses is recognized ratably and is typically billed annually in advance. Revenue from our hosted as-a-service solutions is primarily generated on a usage basis and is billed either in arrears or paid up front.</w:t>
      </w:r>
    </w:p>
    <w:p>
      <w:pPr>
        <w:spacing w:after="0" w:line="142"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Services Revenue. </w:t>
      </w:r>
      <w:r>
        <w:rPr>
          <w:rFonts w:ascii="Arial" w:cs="Arial" w:eastAsia="Arial" w:hAnsi="Arial"/>
          <w:sz w:val="18"/>
          <w:szCs w:val="18"/>
          <w:color w:val="auto"/>
        </w:rPr>
        <w:t>Services revenue is comprised of consulting and training services and is recognized over the period of delivery of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We recognize revenue from services agreements as services are delivered if sold on a stand-alone basis and ratably over the contractual period if sold as a bundled element along with our subscriptions.</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new subscriptions, the rate of customer renewals and expansions, delivery of professional services, the impact of significant transactions and seasonality of or fluctuations in usage for our consumption-based customers.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Cost of Subscription Revenue. </w:t>
      </w:r>
      <w:r>
        <w:rPr>
          <w:rFonts w:ascii="Arial" w:cs="Arial" w:eastAsia="Arial" w:hAnsi="Arial"/>
          <w:sz w:val="18"/>
          <w:szCs w:val="18"/>
          <w:color w:val="auto"/>
        </w:rPr>
        <w:t>Cost of subscription revenue primarily includes personnel costs, including salaries, bonuses and benefits,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for employees associated with our subscription arrangements principally related to technical support and allocated shared costs, as well as depreciation and amortization. Our cost of subscription revenue for our hosted as-a-service solutions includes third-party hosting infrastructure and overhead. We expect our cost of subscription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to increase in absolute dollars as our subscription revenue increases and, depending on the results of MongoDB Atlas, may increase as a percentage of subscription revenue as well.</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 xml:space="preserve">Cost of Services Revenue. </w:t>
      </w:r>
      <w:r>
        <w:rPr>
          <w:rFonts w:ascii="Arial" w:cs="Arial" w:eastAsia="Arial" w:hAnsi="Arial"/>
          <w:sz w:val="18"/>
          <w:szCs w:val="18"/>
          <w:color w:val="auto"/>
        </w:rPr>
        <w:t>Cost of services revenue primarily includes personnel costs, including salaries and benefits, and stock-based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associated with our professional service contracts, travel costs and allocated shared costs, as well as depreciation and amortization. We expect our cost of services revenue to increase in absolute dollars as our services revenue increases.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360"/>
        <w:spacing w:after="0"/>
        <w:tabs>
          <w:tab w:leader="none" w:pos="1420" w:val="left"/>
        </w:tabs>
        <w:rPr>
          <w:sz w:val="20"/>
          <w:szCs w:val="20"/>
          <w:color w:val="auto"/>
        </w:rPr>
      </w:pPr>
      <w:r>
        <w:rPr>
          <w:rFonts w:ascii="Arial" w:cs="Arial" w:eastAsia="Arial" w:hAnsi="Arial"/>
          <w:sz w:val="18"/>
          <w:szCs w:val="18"/>
          <w:i w:val="1"/>
          <w:iCs w:val="1"/>
          <w:color w:val="auto"/>
        </w:rPr>
        <w:t>Gross Profit.</w:t>
      </w:r>
      <w:r>
        <w:rPr>
          <w:sz w:val="20"/>
          <w:szCs w:val="20"/>
          <w:color w:val="auto"/>
        </w:rPr>
        <w:tab/>
      </w:r>
      <w:r>
        <w:rPr>
          <w:rFonts w:ascii="Arial" w:cs="Arial" w:eastAsia="Arial" w:hAnsi="Arial"/>
          <w:sz w:val="15"/>
          <w:szCs w:val="15"/>
          <w:color w:val="auto"/>
        </w:rPr>
        <w:t>Gross profit represents revenue less cost of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or gross profit as a percentage of revenue, has been and will continue to be affected by a variety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sales price of our products and services, the mix of products sold, transaction volume growth and the mix of revenue between subscriptions and services. We expect our gross margin to fluctuate over time depending on the factors described above and, to the extent MongoDB Atlas revenue increases as a percentage of total revenue, our gross margin may decline as a result of the associated hosting costs of MongoDB Atlas.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each category of operating expenses. Operating expenses also include allocated overhead costs for facilities, information technology and employee benefit costs.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primarily of personnel costs, including salaries, sales commission and benefits, bonuses and</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These expenses also include costs related to marketing programs, travel-related expenses and allocated overhead. Marketing programs consist of advertising, events, corporate communications, and brand-building and developer-community activities. We expect our sales and marketing expense to increase in absolute dollars over time as we expand our sales force and increase our marketing resources, expand into new markets and further develop our channel program.</w:t>
      </w:r>
    </w:p>
    <w:p>
      <w:pPr>
        <w:spacing w:after="0" w:line="19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consists primarily of personnel costs, including salaries, bonuses and benefits, and stock-based compensation. It also includes amortization associated with intangible acquired assets and allocated overhead. We expect our research and development expenses to continue to increase in absolute dollars, as we continue to invest in our platform and develop new products.</w:t>
      </w:r>
    </w:p>
    <w:p>
      <w:pPr>
        <w:spacing w:after="0" w:line="161"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 consists primarily of personnel costs, including salaries, bonuses and benefits, and stock-based compensation for administrative functions including finance, legal, human resources and external legal and accounting fees, as well as allocated overhead. We expect general and administrative expense to increase in absolute dollars over time as we continue to invest in the growth of our business and begin to operate as a publicly-traded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(expense), net consists primarily of interest income and gains and losses from foreign currency transactions.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Provision for income taxes consists primarily of state income taxes in the United States and income taxes in certain foreign jurisdictions in which we conduct business. At January 31, 2017, we had net operating loss, or NOL, carryforwards for federal, state and Irish income tax purposes of $175.6 million,</w:t>
      </w:r>
    </w:p>
    <w:p>
      <w:pPr>
        <w:ind w:right="20"/>
        <w:spacing w:after="0" w:line="288" w:lineRule="auto"/>
        <w:rPr>
          <w:sz w:val="20"/>
          <w:szCs w:val="20"/>
          <w:color w:val="auto"/>
        </w:rPr>
      </w:pPr>
      <w:r>
        <w:rPr>
          <w:rFonts w:ascii="Arial" w:cs="Arial" w:eastAsia="Arial" w:hAnsi="Arial"/>
          <w:sz w:val="16"/>
          <w:szCs w:val="16"/>
          <w:color w:val="auto"/>
        </w:rPr>
        <w:t>$138.6 million and $119.3 million, respectively, which begin to expire in the year ending January 31, 2028 for federal purposes and in the year ending January 31, 2021 for state purposes. Ireland allows NOLs to be carried forward indefinitely. Under Section 382 of the U.S. Internal Revenue Code of 1986, or Code, a corporation that experiences an "ownership change" is subject to a limitation on its ability to utilize its pre-change NOLs to offset future taxable income. In April 2017, we completed an analysis under Section 382 to evaluate whether there are any limitations on our NOLs through January 31, 2017 and concluded that the prior ownership changes do not limit the utilization of the NOLs before they expire, assuming sufficient future federal and state taxable income. However, it is possible that we could experience a 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tables set forth our results of operations for the periods presented in dollars and as a percentage of our total revenue:</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318"/>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6"/>
          </w:tcPr>
          <w:p>
            <w:pPr>
              <w:jc w:val="right"/>
              <w:ind w:right="19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gridSpan w:val="6"/>
          </w:tcPr>
          <w:p>
            <w:pPr>
              <w:jc w:val="right"/>
              <w:ind w:right="522"/>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19,050</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Services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shd w:val="clear" w:color="auto" w:fill="CCEEFF"/>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36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color w:val="auto"/>
                <w:vertAlign w:val="superscript"/>
              </w:rPr>
              <w:t>(1)</w:t>
            </w: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7,771</w:t>
            </w:r>
          </w:p>
        </w:tc>
        <w:tc>
          <w:tcPr>
            <w:tcW w:w="160" w:type="dxa"/>
            <w:vAlign w:val="bottom"/>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157,438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(72,738)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(85,947)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(22,020)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3"/>
              </w:rPr>
              <w:t>(19,802)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(19,461)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r>
      <w:tr>
        <w:trPr>
          <w:trHeight w:val="210"/>
        </w:trPr>
        <w:tc>
          <w:tcPr>
            <w:tcW w:w="53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(21,548</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(19,690</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18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Three Months</w:t>
            </w:r>
          </w:p>
        </w:tc>
      </w:tr>
      <w:tr>
        <w:trPr>
          <w:trHeight w:val="16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87"/>
              </w:rPr>
              <w:t>Year Ended January 31,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Ended April 30,</w:t>
            </w: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tcPr>
          <w:p>
            <w:pPr>
              <w:jc w:val="right"/>
              <w:ind w:right="172"/>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revenue—subscription</w:t>
            </w:r>
          </w:p>
        </w:tc>
        <w:tc>
          <w:tcPr>
            <w:tcW w:w="120" w:type="dxa"/>
            <w:vAlign w:val="bottom"/>
            <w:gridSpan w:val="2"/>
            <w:shd w:val="clear" w:color="auto" w:fill="CCEEFF"/>
          </w:tcPr>
          <w:p>
            <w:pPr>
              <w:jc w:val="right"/>
              <w:ind w:right="15"/>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151</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Cost of revenue—services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1,215</w:t>
            </w: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Research and development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4,034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5,755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1,245</w:t>
            </w: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1,771</w:t>
            </w:r>
          </w:p>
        </w:tc>
      </w:tr>
      <w:tr>
        <w:trPr>
          <w:trHeight w:val="142"/>
        </w:trPr>
        <w:tc>
          <w:tcPr>
            <w:tcW w:w="5020" w:type="dxa"/>
            <w:vAlign w:val="bottom"/>
          </w:tcPr>
          <w:p>
            <w:pPr>
              <w:ind w:left="140"/>
              <w:spacing w:after="0" w:line="142" w:lineRule="exact"/>
              <w:rPr>
                <w:sz w:val="20"/>
                <w:szCs w:val="20"/>
                <w:color w:val="auto"/>
              </w:rPr>
            </w:pPr>
            <w:r>
              <w:rPr>
                <w:rFonts w:ascii="Arial" w:cs="Arial" w:eastAsia="Arial" w:hAnsi="Arial"/>
                <w:sz w:val="14"/>
                <w:szCs w:val="14"/>
                <w:color w:val="auto"/>
              </w:rPr>
              <w:t>Total stock-based compensation expense</w:t>
            </w: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12,787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21,004</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7,752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4,454</w:t>
            </w:r>
          </w:p>
        </w:tc>
        <w:tc>
          <w:tcPr>
            <w:tcW w:w="160" w:type="dxa"/>
            <w:vAlign w:val="bottom"/>
          </w:tcPr>
          <w:p>
            <w:pPr>
              <w:spacing w:after="0"/>
              <w:rPr>
                <w:sz w:val="12"/>
                <w:szCs w:val="12"/>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January 31,</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Three Months Ended April 30,</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3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Revenue Data:</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revenue:</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cost of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Gross profit</w:t>
            </w: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Loss from operations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7"/>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6"/>
              </w:rPr>
              <w:t>(102)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9"/>
              </w:rPr>
              <w:t>(60)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Loss before provision for income taxes</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tcPr>
          <w:p>
            <w:pPr>
              <w:ind w:left="114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56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w w:val="99"/>
              </w:rPr>
              <w:t>(86)%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3"/>
          </w:tcPr>
          <w:p>
            <w:pPr>
              <w:jc w:val="right"/>
              <w:ind w:right="58"/>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gridSpan w:val="4"/>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Comparison of the Three Months Ended April 30, 2016 and 2017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7"/>
          </w:tcPr>
          <w:p>
            <w:pPr>
              <w:jc w:val="right"/>
              <w:ind w:right="238"/>
              <w:spacing w:after="0"/>
              <w:rPr>
                <w:sz w:val="20"/>
                <w:szCs w:val="20"/>
                <w:color w:val="auto"/>
              </w:rPr>
            </w:pPr>
            <w:r>
              <w:rPr>
                <w:rFonts w:ascii="Arial" w:cs="Arial" w:eastAsia="Arial" w:hAnsi="Arial"/>
                <w:sz w:val="14"/>
                <w:szCs w:val="14"/>
                <w:b w:val="1"/>
                <w:bCs w:val="1"/>
                <w:color w:val="auto"/>
                <w:w w:val="88"/>
              </w:rPr>
              <w:t>Three Months Ended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w w:val="77"/>
              </w:rPr>
              <w:t>(dollars in</w:t>
            </w:r>
          </w:p>
        </w:tc>
        <w:tc>
          <w:tcPr>
            <w:tcW w:w="860" w:type="dxa"/>
            <w:vAlign w:val="bottom"/>
            <w:gridSpan w:val="4"/>
          </w:tcPr>
          <w:p>
            <w:pPr>
              <w:jc w:val="right"/>
              <w:ind w:right="282"/>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19,050</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29,187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10,137</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Services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2,459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3,203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744</w:t>
            </w:r>
          </w:p>
        </w:tc>
        <w:tc>
          <w:tcPr>
            <w:tcW w:w="480" w:type="dxa"/>
            <w:vAlign w:val="bottom"/>
            <w:gridSpan w:val="3"/>
          </w:tcPr>
          <w:p>
            <w:pPr>
              <w:ind w:left="300"/>
              <w:spacing w:after="0"/>
              <w:rPr>
                <w:sz w:val="20"/>
                <w:szCs w:val="20"/>
                <w:color w:val="auto"/>
              </w:rPr>
            </w:pPr>
            <w:r>
              <w:rPr>
                <w:rFonts w:ascii="Arial" w:cs="Arial" w:eastAsia="Arial" w:hAnsi="Arial"/>
                <w:sz w:val="18"/>
                <w:szCs w:val="18"/>
                <w:color w:val="auto"/>
                <w:w w:val="79"/>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21,509</w:t>
            </w:r>
          </w:p>
        </w:tc>
        <w:tc>
          <w:tcPr>
            <w:tcW w:w="3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32,390</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10,881</w:t>
            </w:r>
          </w:p>
        </w:tc>
        <w:tc>
          <w:tcPr>
            <w:tcW w:w="64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w w:val="88"/>
              </w:rPr>
              <w:t>51%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Total revenue growth reflects increased demand for our platform and related services. Subscription revenue increased by $10.1 million, $4.5 million of which resulted from sales to new customers of which $1.1 million resulted from the launch of MongoDB Atlas, and the remaining balance resulted from sales to existing customers. Increase in services revenue was driven primarily by an increase in sales of professional services to new customers.</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0"/>
              </w:rPr>
              <w:t>Three Months Ended April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5"/>
          </w:tcPr>
          <w:p>
            <w:pPr>
              <w:jc w:val="right"/>
              <w:ind w:right="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53%</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33%</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Gross profit</w:t>
            </w:r>
          </w:p>
        </w:tc>
        <w:tc>
          <w:tcPr>
            <w:tcW w:w="1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14,579</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23,191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8,612</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59%</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2120" w:type="dxa"/>
            <w:vAlign w:val="bottom"/>
            <w:gridSpan w:val="2"/>
          </w:tcPr>
          <w:p>
            <w:pPr>
              <w:jc w:val="right"/>
              <w:ind w:right="128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2120" w:type="dxa"/>
            <w:vAlign w:val="bottom"/>
            <w:gridSpan w:val="2"/>
            <w:shd w:val="clear" w:color="auto" w:fill="CCEEFF"/>
          </w:tcPr>
          <w:p>
            <w:pPr>
              <w:jc w:val="right"/>
              <w:ind w:right="1280"/>
              <w:spacing w:after="0"/>
              <w:rPr>
                <w:sz w:val="20"/>
                <w:szCs w:val="20"/>
                <w:color w:val="auto"/>
              </w:rPr>
            </w:pPr>
            <w:r>
              <w:rPr>
                <w:rFonts w:ascii="Arial" w:cs="Arial" w:eastAsia="Arial" w:hAnsi="Arial"/>
                <w:sz w:val="18"/>
                <w:szCs w:val="18"/>
                <w:color w:val="auto"/>
              </w:rPr>
              <w:t>17%</w:t>
            </w: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increase in subscription cost of revenue was primarily due to a $1.1 million increase in third-party hosting infrastructure, primarly associated with the launch of MongoDB Atlas, and a $1.1 million increase in personnel costs associated with increased headcount in our support organization. Total headcount in our support and services organizations increased 40% from April 30, 2016 to April 30, 2017.</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Gross margin increased from 68% in the three months ended April 30, 2016 to 72% in the three months ended April 30, 2017. The increase in gross margin was primarily driven by an increase in subscription gross margin of one percentage point and an increase in services gross margin of 24 percentage points. The subscription gross margin increase was primarily driven by higher sales volume, our mix of subscriptions sold, and economies of scale in our technical support team. The services gross margin increase was primarily driven by economies of scale achieved in our services organization.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17,296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22,145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4,849</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 in sales and marketing expense was primarily due to an increase of $4.6 million in personnel costs driven by an increase in sales and marketing headcount of 49%, from 199 as of April 30, 2016 to 296 as of April 30, 2017.</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gridSpan w:val="5"/>
          </w:tcPr>
          <w:p>
            <w:pPr>
              <w:ind w:left="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13,077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1,077</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40" w:firstLine="348"/>
        <w:spacing w:after="0" w:line="370" w:lineRule="auto"/>
        <w:rPr>
          <w:sz w:val="20"/>
          <w:szCs w:val="20"/>
          <w:color w:val="auto"/>
        </w:rPr>
      </w:pPr>
      <w:r>
        <w:rPr>
          <w:rFonts w:ascii="Arial" w:cs="Arial" w:eastAsia="Arial" w:hAnsi="Arial"/>
          <w:sz w:val="15"/>
          <w:szCs w:val="15"/>
          <w:color w:val="auto"/>
        </w:rPr>
        <w:t>The increase in research and development expense was primarily driven by an increase of $1.8 million in personnel costs as we increased our R&amp;D headcount, partially offset by a decrease of $0.8 million in stock-based compensation expense due to the option repricing we effected in April 2016.</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4"/>
                <w:szCs w:val="14"/>
                <w:b w:val="1"/>
                <w:bCs w:val="1"/>
                <w:color w:val="auto"/>
                <w:w w:val="90"/>
              </w:rPr>
              <w:t>April 30,</w:t>
            </w: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4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7,303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7,771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general and administrative expense increase was primarily due to an increase in general and administrative personnel headcount, resulting in an increase of $1.5 million in personnel costs, and a $0.4 million increase in professional services-related fees, partially offset by a decrease of $1.6 million in stock-based compensation expense due to the option repricing we effected in April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4"/>
                <w:szCs w:val="14"/>
                <w:color w:val="auto"/>
              </w:rPr>
            </w:pPr>
          </w:p>
        </w:tc>
        <w:tc>
          <w:tcPr>
            <w:tcW w:w="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9"/>
              </w:rPr>
              <w:t>Change</w:t>
            </w:r>
          </w:p>
        </w:tc>
        <w:tc>
          <w:tcPr>
            <w:tcW w:w="30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60" w:type="dxa"/>
            <w:vAlign w:val="bottom"/>
          </w:tcPr>
          <w:p>
            <w:pPr>
              <w:jc w:val="right"/>
              <w:ind w:right="19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1"/>
              </w:rPr>
              <w:t>(dollars in</w:t>
            </w: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1"/>
              </w:rPr>
              <w:t>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341</w:t>
            </w:r>
          </w:p>
        </w:tc>
        <w:tc>
          <w:tcPr>
            <w:tcW w:w="8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(214)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(39)%</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decrease in other income (expense), net was primarily due to a decrease in the fair value of the preferred stock warrant liability,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Three Months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April 30,</w:t>
            </w:r>
          </w:p>
        </w:tc>
        <w:tc>
          <w:tcPr>
            <w:tcW w:w="160" w:type="dxa"/>
            <w:vAlign w:val="bottom"/>
          </w:tcPr>
          <w:p>
            <w:pPr>
              <w:spacing w:after="0"/>
              <w:rPr>
                <w:sz w:val="14"/>
                <w:szCs w:val="14"/>
                <w:color w:val="auto"/>
              </w:rPr>
            </w:pPr>
          </w:p>
        </w:tc>
        <w:tc>
          <w:tcPr>
            <w:tcW w:w="7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85"/>
              </w:rPr>
              <w:t>Change</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(dollars in</w:t>
            </w: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229</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6"/>
              </w:rPr>
              <w:t>176%</w:t>
            </w: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January 31, 2016 and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(dollars in</w:t>
            </w:r>
          </w:p>
        </w:tc>
        <w:tc>
          <w:tcPr>
            <w:tcW w:w="8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6"/>
              </w:rPr>
              <w:t>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Subscription</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58,561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56%</w:t>
            </w: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Services</w:t>
            </w:r>
          </w:p>
        </w:tc>
        <w:tc>
          <w:tcPr>
            <w:tcW w:w="2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Arial" w:cs="Arial" w:eastAsia="Arial" w:hAnsi="Arial"/>
                <w:sz w:val="18"/>
                <w:szCs w:val="18"/>
                <w:color w:val="auto"/>
                <w:w w:val="79"/>
              </w:rPr>
              <w:t>51</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65,271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88"/>
              </w:rPr>
              <w:t>55%</w:t>
            </w: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40" w:firstLine="348"/>
        <w:spacing w:after="0" w:line="259" w:lineRule="auto"/>
        <w:rPr>
          <w:sz w:val="20"/>
          <w:szCs w:val="20"/>
          <w:color w:val="auto"/>
        </w:rPr>
      </w:pPr>
      <w:r>
        <w:rPr>
          <w:rFonts w:ascii="Arial" w:cs="Arial" w:eastAsia="Arial" w:hAnsi="Arial"/>
          <w:sz w:val="18"/>
          <w:szCs w:val="18"/>
          <w:color w:val="auto"/>
        </w:rPr>
        <w:t>Total revenue growth reflects increased demand for our platform and related services. Subscription revenue increased by $32.7 million, $11.5 million of which resulted from sales to new customers and the remaining balance resulted from sales to existing customers. Increase in services revenue was driven primarily by an increase in sales of professional services to new customers.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Gross Profit and Gross Margin Percentage</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5"/>
              </w:rPr>
              <w:t>January 31,</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540" w:type="dxa"/>
            <w:vAlign w:val="bottom"/>
          </w:tcPr>
          <w:p>
            <w:pPr>
              <w:spacing w:after="0"/>
              <w:rPr>
                <w:sz w:val="20"/>
                <w:szCs w:val="20"/>
                <w:color w:val="auto"/>
              </w:rPr>
            </w:pPr>
            <w:r>
              <w:rPr>
                <w:rFonts w:ascii="Arial" w:cs="Arial" w:eastAsia="Arial" w:hAnsi="Arial"/>
                <w:sz w:val="12"/>
                <w:szCs w:val="12"/>
                <w:b w:val="1"/>
                <w:bCs w:val="1"/>
                <w:color w:val="auto"/>
                <w:w w:val="80"/>
              </w:rPr>
              <w:t>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Subscription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13,146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19,352</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47%</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Services cost of revenue</w:t>
            </w:r>
          </w:p>
        </w:tc>
        <w:tc>
          <w:tcPr>
            <w:tcW w:w="1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7,715</w:t>
            </w:r>
          </w:p>
        </w:tc>
        <w:tc>
          <w:tcPr>
            <w:tcW w:w="5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83"/>
              </w:rPr>
              <w:t>10,515</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2,800</w:t>
            </w:r>
          </w:p>
        </w:tc>
        <w:tc>
          <w:tcPr>
            <w:tcW w:w="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Arial" w:cs="Arial" w:eastAsia="Arial" w:hAnsi="Arial"/>
                <w:sz w:val="18"/>
                <w:szCs w:val="18"/>
                <w:color w:val="auto"/>
                <w:w w:val="79"/>
              </w:rPr>
              <w:t>36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cost of revenue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20,861</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3"/>
              </w:rPr>
              <w:t>29,867</w:t>
            </w:r>
          </w:p>
        </w:tc>
        <w:tc>
          <w:tcPr>
            <w:tcW w:w="5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8"/>
              </w:rPr>
              <w:t>43%</w:t>
            </w: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44,410</w:t>
            </w:r>
          </w:p>
        </w:tc>
        <w:tc>
          <w:tcPr>
            <w:tcW w:w="7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60" w:type="dxa"/>
            <w:vAlign w:val="bottom"/>
          </w:tcPr>
          <w:p>
            <w:pPr>
              <w:ind w:left="80"/>
              <w:spacing w:after="0"/>
              <w:rPr>
                <w:sz w:val="20"/>
                <w:szCs w:val="20"/>
                <w:color w:val="auto"/>
              </w:rPr>
            </w:pPr>
            <w:r>
              <w:rPr>
                <w:rFonts w:ascii="Arial" w:cs="Arial" w:eastAsia="Arial" w:hAnsi="Arial"/>
                <w:sz w:val="18"/>
                <w:szCs w:val="18"/>
                <w:color w:val="auto"/>
                <w:w w:val="83"/>
              </w:rPr>
              <w:t>71,491</w:t>
            </w:r>
          </w:p>
        </w:tc>
        <w:tc>
          <w:tcPr>
            <w:tcW w:w="540" w:type="dxa"/>
            <w:vAlign w:val="bottom"/>
          </w:tcPr>
          <w:p>
            <w:pPr>
              <w:spacing w:after="0"/>
              <w:rPr>
                <w:sz w:val="18"/>
                <w:szCs w:val="18"/>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27,081</w:t>
            </w:r>
          </w:p>
        </w:tc>
        <w:tc>
          <w:tcPr>
            <w:tcW w:w="160" w:type="dxa"/>
            <w:vAlign w:val="bottom"/>
          </w:tcPr>
          <w:p>
            <w:pPr>
              <w:spacing w:after="0"/>
              <w:rPr>
                <w:sz w:val="18"/>
                <w:szCs w:val="18"/>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88"/>
              </w:rPr>
              <w:t>61%</w:t>
            </w:r>
          </w:p>
        </w:tc>
      </w:tr>
    </w:tbl>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1"/>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w:t>
            </w:r>
          </w:p>
        </w:tc>
        <w:tc>
          <w:tcPr>
            <w:tcW w:w="260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600" w:type="dxa"/>
            <w:vAlign w:val="bottom"/>
            <w:gridSpan w:val="2"/>
          </w:tcPr>
          <w:p>
            <w:pPr>
              <w:jc w:val="right"/>
              <w:ind w:right="176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w:t>
            </w:r>
          </w:p>
        </w:tc>
        <w:tc>
          <w:tcPr>
            <w:tcW w:w="2600" w:type="dxa"/>
            <w:vAlign w:val="bottom"/>
            <w:gridSpan w:val="2"/>
            <w:shd w:val="clear" w:color="auto" w:fill="CCEEFF"/>
          </w:tcPr>
          <w:p>
            <w:pPr>
              <w:jc w:val="right"/>
              <w:ind w:right="1700"/>
              <w:spacing w:after="0"/>
              <w:rPr>
                <w:sz w:val="20"/>
                <w:szCs w:val="20"/>
                <w:color w:val="auto"/>
              </w:rPr>
            </w:pPr>
            <w:r>
              <w:rPr>
                <w:rFonts w:ascii="Arial" w:cs="Arial" w:eastAsia="Arial" w:hAnsi="Arial"/>
                <w:sz w:val="18"/>
                <w:szCs w:val="18"/>
                <w:color w:val="auto"/>
              </w:rPr>
              <w:t>(4)%</w:t>
            </w:r>
          </w:p>
        </w:tc>
      </w:tr>
    </w:tbl>
    <w:p>
      <w:pPr>
        <w:spacing w:after="0" w:line="208" w:lineRule="exact"/>
        <w:rPr>
          <w:sz w:val="20"/>
          <w:szCs w:val="20"/>
          <w:color w:val="auto"/>
        </w:rPr>
      </w:pPr>
    </w:p>
    <w:p>
      <w:pPr>
        <w:ind w:right="320" w:firstLine="348"/>
        <w:spacing w:after="0" w:line="294" w:lineRule="auto"/>
        <w:rPr>
          <w:sz w:val="20"/>
          <w:szCs w:val="20"/>
          <w:color w:val="auto"/>
        </w:rPr>
      </w:pPr>
      <w:r>
        <w:rPr>
          <w:rFonts w:ascii="Arial" w:cs="Arial" w:eastAsia="Arial" w:hAnsi="Arial"/>
          <w:sz w:val="16"/>
          <w:szCs w:val="16"/>
          <w:color w:val="auto"/>
        </w:rPr>
        <w:t>The increase in subscription cost of revenue was primarily due to a $4.2 million increase in personnel costs associated with increased headcount in our support organization, a $1.1 million increase in third-party hosting infrastructure, primarily associated with the launch of MongoDB Atlas, and a $0.3 million increase in stock-based compensation. The increase in services cost of revenue was primarily due to a $2.1 million increase in personnel costs associated with increased headcount in our services organization and a $0.2 million increase in stock-based compensation. Total headcount in our support and services organizations increased 50% from January 31, 2016 to January 31, 2017.</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Gross margin increased from 68% in fiscal year 2016 to 71% in fiscal year 2017. The increase in gross margin was primarily driven by an increase in subscription gross margin of one percentage point and an increase in services gross margin of 11 percentage points. The subscription gross margin increase was primarily driven by higher sales volume, our mix of subscriptions sold, and economies of scale in our technical support team. The services gross margin increase was primarily driven by economies of scale achieved in our services organization.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Sales and Marketing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56,613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78,584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21,971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The increase in sales and marketing expense was primarily due to an increase of $14.5 million in personnel costs, including an increase in commission expenses of $5.5 million, and an increase of $2.0 million in stock-based compensation expense, both driven by an increase in sales and marketing headcount of 61% from 174 as of January 31, 2016 to 280 as of January 31, 2017. The remainder of the increase was primarily attributable to an increase of $2.4 million in travel expenses and of $1.6 million in marketing programs.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43,465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51,772</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8,307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vMerge w:val="restart"/>
          </w:tcPr>
          <w:p>
            <w:pPr>
              <w:jc w:val="right"/>
              <w:ind w:right="812"/>
              <w:spacing w:after="0"/>
              <w:rPr>
                <w:sz w:val="20"/>
                <w:szCs w:val="20"/>
                <w:color w:val="auto"/>
              </w:rPr>
            </w:pPr>
            <w:r>
              <w:rPr>
                <w:rFonts w:ascii="Arial" w:cs="Arial" w:eastAsia="Arial" w:hAnsi="Arial"/>
                <w:sz w:val="18"/>
                <w:szCs w:val="18"/>
                <w:color w:val="auto"/>
              </w:rPr>
              <w:t>72</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increase in research and development expense was primarily driven by an increase of $5.4 million in personnel costs and an increase of $1.7 million in stock-based compensation expense, as we increased our R&amp;D headcount.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General and Administrative</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8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72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3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4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line="142" w:lineRule="exact"/>
              <w:rPr>
                <w:sz w:val="20"/>
                <w:szCs w:val="20"/>
                <w:color w:val="auto"/>
              </w:rPr>
            </w:pPr>
            <w:r>
              <w:rPr>
                <w:rFonts w:ascii="Arial" w:cs="Arial" w:eastAsia="Arial" w:hAnsi="Arial"/>
                <w:sz w:val="14"/>
                <w:szCs w:val="14"/>
                <w:b w:val="1"/>
                <w:bCs w:val="1"/>
                <w:color w:val="auto"/>
              </w:rPr>
              <w:t>(dollars in</w:t>
            </w: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27,082</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10,012</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0"/>
        </w:trPr>
        <w:tc>
          <w:tcPr>
            <w:tcW w:w="3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general and administrative expense increase was primarily due to an increase in general and administrative personnel headcount, resulting in an increase of $4.0 million in personnel costs. The increase was also driven by a $4.0 million increase in stock-based compensation expense, $2.4 million of which resulted from the option repricing we effected in April 2016, and a $1.8 million increase in facilities-related costs.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3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36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(dollars in</w:t>
            </w:r>
          </w:p>
        </w:tc>
        <w:tc>
          <w:tcPr>
            <w:tcW w:w="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$291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r>
      <w:tr>
        <w:trPr>
          <w:trHeight w:val="20"/>
        </w:trPr>
        <w:tc>
          <w:tcPr>
            <w:tcW w:w="3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48"/>
        <w:spacing w:after="0" w:line="268" w:lineRule="auto"/>
        <w:rPr>
          <w:sz w:val="20"/>
          <w:szCs w:val="20"/>
          <w:color w:val="auto"/>
        </w:rPr>
      </w:pPr>
      <w:r>
        <w:rPr>
          <w:rFonts w:ascii="Arial" w:cs="Arial" w:eastAsia="Arial" w:hAnsi="Arial"/>
          <w:sz w:val="18"/>
          <w:szCs w:val="18"/>
          <w:color w:val="auto"/>
        </w:rPr>
        <w:t>The increase in other income (expense), net was primarily due to an increase in interest income on investments and net gains from foreign currency transactions.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180" w:type="dxa"/>
            <w:vAlign w:val="bottom"/>
          </w:tcPr>
          <w:p>
            <w:pPr>
              <w:spacing w:after="0"/>
              <w:rPr>
                <w:sz w:val="14"/>
                <w:szCs w:val="14"/>
                <w:color w:val="auto"/>
              </w:rPr>
            </w:pPr>
          </w:p>
        </w:tc>
        <w:tc>
          <w:tcPr>
            <w:tcW w:w="1540" w:type="dxa"/>
            <w:vAlign w:val="bottom"/>
            <w:gridSpan w:val="5"/>
          </w:tcPr>
          <w:p>
            <w:pPr>
              <w:ind w:left="360"/>
              <w:spacing w:after="0"/>
              <w:rPr>
                <w:sz w:val="20"/>
                <w:szCs w:val="20"/>
                <w:color w:val="auto"/>
              </w:rPr>
            </w:pPr>
            <w:r>
              <w:rPr>
                <w:rFonts w:ascii="Arial" w:cs="Arial" w:eastAsia="Arial" w:hAnsi="Arial"/>
                <w:sz w:val="14"/>
                <w:szCs w:val="14"/>
                <w:b w:val="1"/>
                <w:bCs w:val="1"/>
                <w:color w:val="auto"/>
              </w:rPr>
              <w:t>January 31,</w:t>
            </w:r>
          </w:p>
        </w:tc>
        <w:tc>
          <w:tcPr>
            <w:tcW w:w="780" w:type="dxa"/>
            <w:vAlign w:val="bottom"/>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1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5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32"/>
              <w:spacing w:after="0" w:line="142" w:lineRule="exact"/>
              <w:rPr>
                <w:sz w:val="20"/>
                <w:szCs w:val="20"/>
                <w:color w:val="auto"/>
              </w:rPr>
            </w:pPr>
            <w:r>
              <w:rPr>
                <w:rFonts w:ascii="Arial" w:cs="Arial" w:eastAsia="Arial" w:hAnsi="Arial"/>
                <w:sz w:val="14"/>
                <w:szCs w:val="14"/>
                <w:b w:val="1"/>
                <w:bCs w:val="1"/>
                <w:color w:val="auto"/>
                <w:w w:val="71"/>
              </w:rPr>
              <w:t>(dollars 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c>
          <w:tcPr>
            <w:tcW w:w="8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$719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$277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5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provision for income taxes was primarily due to an increase in foreign taxes as we continued our global expansion.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following tables summarize our selected unaudited quarterly consolidated statements of operations data for each of the nine quarters in the period ended April 30, 2017. The information for each of these quarters has been prepared on the same basis as our audited annual financial statements and reflect, in the opinion of management, all adjustments of a normal, recurring nature that are necessary for the fair statement of the results of operations for these periods. This data should be read in conjunction with our audited consolidated financial statements included elsewhere in this prospectus. Historical results are not necessarily indicative of the results that may be expected in the future,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the results for the three months ended April 30, 2017 are not necessarily indicative of the results that may be expected for the full fiscal year or any other period.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right"/>
              <w:ind w:right="160"/>
              <w:spacing w:after="0" w:line="129" w:lineRule="exact"/>
              <w:rPr>
                <w:sz w:val="20"/>
                <w:szCs w:val="20"/>
                <w:color w:val="auto"/>
              </w:rPr>
            </w:pPr>
            <w:r>
              <w:rPr>
                <w:rFonts w:ascii="Arial" w:cs="Arial" w:eastAsia="Arial" w:hAnsi="Arial"/>
                <w:sz w:val="14"/>
                <w:szCs w:val="14"/>
                <w:b w:val="1"/>
                <w:bCs w:val="1"/>
                <w:color w:val="auto"/>
              </w:rPr>
              <w:t>April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July 31,</w:t>
            </w:r>
          </w:p>
        </w:tc>
        <w:tc>
          <w:tcPr>
            <w:tcW w:w="20" w:type="dxa"/>
            <w:vAlign w:val="bottom"/>
          </w:tcPr>
          <w:p>
            <w:pPr>
              <w:spacing w:after="0"/>
              <w:rPr>
                <w:sz w:val="11"/>
                <w:szCs w:val="11"/>
                <w:color w:val="auto"/>
              </w:rPr>
            </w:pPr>
          </w:p>
        </w:tc>
        <w:tc>
          <w:tcPr>
            <w:tcW w:w="800" w:type="dxa"/>
            <w:vAlign w:val="bottom"/>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88"/>
              </w:rPr>
              <w:t>October 31,</w:t>
            </w:r>
          </w:p>
        </w:tc>
        <w:tc>
          <w:tcPr>
            <w:tcW w:w="40" w:type="dxa"/>
            <w:vAlign w:val="bottom"/>
          </w:tcPr>
          <w:p>
            <w:pPr>
              <w:spacing w:after="0"/>
              <w:rPr>
                <w:sz w:val="11"/>
                <w:szCs w:val="11"/>
                <w:color w:val="auto"/>
              </w:rPr>
            </w:pPr>
          </w:p>
        </w:tc>
        <w:tc>
          <w:tcPr>
            <w:tcW w:w="820" w:type="dxa"/>
            <w:vAlign w:val="bottom"/>
            <w:gridSpan w:val="3"/>
          </w:tcPr>
          <w:p>
            <w:pPr>
              <w:jc w:val="right"/>
              <w:ind w:right="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20" w:type="dxa"/>
            <w:vAlign w:val="bottom"/>
          </w:tcPr>
          <w:p>
            <w:pPr>
              <w:spacing w:after="0"/>
              <w:rPr>
                <w:sz w:val="11"/>
                <w:szCs w:val="11"/>
                <w:color w:val="auto"/>
              </w:rPr>
            </w:pPr>
          </w:p>
        </w:tc>
        <w:tc>
          <w:tcPr>
            <w:tcW w:w="78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0"/>
              </w:rPr>
              <w:t>April 30,</w:t>
            </w:r>
          </w:p>
        </w:tc>
        <w:tc>
          <w:tcPr>
            <w:tcW w:w="80" w:type="dxa"/>
            <w:vAlign w:val="bottom"/>
          </w:tcPr>
          <w:p>
            <w:pPr>
              <w:spacing w:after="0"/>
              <w:rPr>
                <w:sz w:val="11"/>
                <w:szCs w:val="11"/>
                <w:color w:val="auto"/>
              </w:rPr>
            </w:pPr>
          </w:p>
        </w:tc>
        <w:tc>
          <w:tcPr>
            <w:tcW w:w="6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5"/>
              </w:rPr>
              <w:t>July 31,</w:t>
            </w:r>
          </w:p>
        </w:tc>
        <w:tc>
          <w:tcPr>
            <w:tcW w:w="20" w:type="dxa"/>
            <w:vAlign w:val="bottom"/>
          </w:tcPr>
          <w:p>
            <w:pPr>
              <w:spacing w:after="0"/>
              <w:rPr>
                <w:sz w:val="11"/>
                <w:szCs w:val="11"/>
                <w:color w:val="auto"/>
              </w:rPr>
            </w:pPr>
          </w:p>
        </w:tc>
        <w:tc>
          <w:tcPr>
            <w:tcW w:w="82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88"/>
              </w:rPr>
              <w:t>October 31,</w:t>
            </w:r>
          </w:p>
        </w:tc>
        <w:tc>
          <w:tcPr>
            <w:tcW w:w="40" w:type="dxa"/>
            <w:vAlign w:val="bottom"/>
          </w:tcPr>
          <w:p>
            <w:pPr>
              <w:spacing w:after="0"/>
              <w:rPr>
                <w:sz w:val="11"/>
                <w:szCs w:val="11"/>
                <w:color w:val="auto"/>
              </w:rPr>
            </w:pPr>
          </w:p>
        </w:tc>
        <w:tc>
          <w:tcPr>
            <w:tcW w:w="840" w:type="dxa"/>
            <w:vAlign w:val="bottom"/>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0"/>
              </w:rPr>
              <w:t>January 31,</w:t>
            </w:r>
          </w:p>
        </w:tc>
        <w:tc>
          <w:tcPr>
            <w:tcW w:w="2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April 30,</w:t>
            </w:r>
          </w:p>
        </w:tc>
        <w:tc>
          <w:tcPr>
            <w:tcW w:w="12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11,669</w:t>
            </w:r>
          </w:p>
        </w:tc>
        <w:tc>
          <w:tcPr>
            <w:tcW w:w="6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14,071</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15,703</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17,118</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19,050</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21,163</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23,805</w:t>
            </w:r>
          </w:p>
        </w:tc>
        <w:tc>
          <w:tcPr>
            <w:tcW w:w="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27,217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29,187</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15,921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21,509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23,610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26,305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29,934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32,390</w:t>
            </w:r>
          </w:p>
        </w:tc>
        <w:tc>
          <w:tcPr>
            <w:tcW w:w="12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9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Cost of revenue</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Subscription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4,291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4,981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20" w:type="dxa"/>
            <w:vAlign w:val="bottom"/>
            <w:shd w:val="clear" w:color="auto" w:fill="CCEEFF"/>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tcPr>
          <w:p>
            <w:pPr>
              <w:ind w:left="300"/>
              <w:spacing w:after="0"/>
              <w:rPr>
                <w:sz w:val="20"/>
                <w:szCs w:val="20"/>
                <w:color w:val="auto"/>
              </w:rPr>
            </w:pPr>
            <w:r>
              <w:rPr>
                <w:rFonts w:ascii="Arial" w:cs="Arial" w:eastAsia="Arial" w:hAnsi="Arial"/>
                <w:sz w:val="18"/>
                <w:szCs w:val="18"/>
                <w:color w:val="auto"/>
                <w:w w:val="96"/>
              </w:rPr>
              <w:t>Total cost of revenue</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23,191</w:t>
            </w:r>
          </w:p>
        </w:tc>
        <w:tc>
          <w:tcPr>
            <w:tcW w:w="1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1940" w:type="dxa"/>
            <w:vAlign w:val="bottom"/>
            <w:gridSpan w:val="2"/>
            <w:shd w:val="clear" w:color="auto" w:fill="CCEEFF"/>
          </w:tcPr>
          <w:p>
            <w:pPr>
              <w:ind w:left="140"/>
              <w:spacing w:after="0" w:line="256" w:lineRule="exact"/>
              <w:rPr>
                <w:sz w:val="20"/>
                <w:szCs w:val="20"/>
                <w:color w:val="auto"/>
              </w:rPr>
            </w:pPr>
            <w:r>
              <w:rPr>
                <w:rFonts w:ascii="Arial" w:cs="Arial" w:eastAsia="Arial" w:hAnsi="Arial"/>
                <w:sz w:val="18"/>
                <w:szCs w:val="18"/>
                <w:color w:val="auto"/>
                <w:w w:val="94"/>
              </w:rPr>
              <w:t>Sales and marketing</w:t>
            </w:r>
            <w:r>
              <w:rPr>
                <w:rFonts w:ascii="Arial" w:cs="Arial" w:eastAsia="Arial" w:hAnsi="Arial"/>
                <w:sz w:val="29"/>
                <w:szCs w:val="29"/>
                <w:color w:val="auto"/>
                <w:w w:val="94"/>
                <w:vertAlign w:val="superscript"/>
              </w:rPr>
              <w:t>(1)</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12,633</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14,356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17,296</w:t>
            </w: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18,656</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22,145</w:t>
            </w:r>
          </w:p>
        </w:tc>
        <w:tc>
          <w:tcPr>
            <w:tcW w:w="120" w:type="dxa"/>
            <w:vAlign w:val="bottom"/>
            <w:shd w:val="clear" w:color="auto" w:fill="CCEEFF"/>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Research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940" w:type="dxa"/>
            <w:vAlign w:val="bottom"/>
            <w:gridSpan w:val="2"/>
          </w:tcPr>
          <w:p>
            <w:pPr>
              <w:ind w:left="280"/>
              <w:spacing w:after="0" w:line="263" w:lineRule="exact"/>
              <w:rPr>
                <w:sz w:val="20"/>
                <w:szCs w:val="20"/>
                <w:color w:val="auto"/>
              </w:rPr>
            </w:pPr>
            <w:r>
              <w:rPr>
                <w:rFonts w:ascii="Arial" w:cs="Arial" w:eastAsia="Arial" w:hAnsi="Arial"/>
                <w:sz w:val="18"/>
                <w:szCs w:val="18"/>
                <w:color w:val="auto"/>
              </w:rPr>
              <w:t>development</w:t>
            </w:r>
            <w:r>
              <w:rPr>
                <w:rFonts w:ascii="Arial" w:cs="Arial" w:eastAsia="Arial" w:hAnsi="Arial"/>
                <w:sz w:val="29"/>
                <w:szCs w:val="29"/>
                <w:color w:val="auto"/>
                <w:vertAlign w:val="superscript"/>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11,185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10,784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10,692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10,804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13,240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13,232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13,077</w:t>
            </w:r>
          </w:p>
        </w:tc>
        <w:tc>
          <w:tcPr>
            <w:tcW w:w="120" w:type="dxa"/>
            <w:vAlign w:val="bottom"/>
          </w:tcPr>
          <w:p>
            <w:pPr>
              <w:spacing w:after="0"/>
              <w:rPr>
                <w:sz w:val="22"/>
                <w:szCs w:val="22"/>
                <w:color w:val="auto"/>
              </w:rPr>
            </w:pPr>
          </w:p>
        </w:tc>
      </w:tr>
      <w:tr>
        <w:trPr>
          <w:trHeight w:val="209"/>
        </w:trPr>
        <w:tc>
          <w:tcPr>
            <w:tcW w:w="1160" w:type="dxa"/>
            <w:vAlign w:val="bottom"/>
          </w:tcPr>
          <w:p>
            <w:pPr>
              <w:spacing w:after="0"/>
              <w:rPr>
                <w:sz w:val="18"/>
                <w:szCs w:val="18"/>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64"/>
        </w:trPr>
        <w:tc>
          <w:tcPr>
            <w:tcW w:w="1160" w:type="dxa"/>
            <w:vAlign w:val="bottom"/>
          </w:tcPr>
          <w:p>
            <w:pPr>
              <w:spacing w:after="0"/>
              <w:rPr>
                <w:sz w:val="22"/>
                <w:szCs w:val="22"/>
                <w:color w:val="auto"/>
              </w:rPr>
            </w:pPr>
          </w:p>
        </w:tc>
        <w:tc>
          <w:tcPr>
            <w:tcW w:w="1940" w:type="dxa"/>
            <w:vAlign w:val="bottom"/>
            <w:gridSpan w:val="2"/>
            <w:shd w:val="clear" w:color="auto" w:fill="CCEEFF"/>
          </w:tcPr>
          <w:p>
            <w:pPr>
              <w:ind w:left="280"/>
              <w:spacing w:after="0" w:line="263" w:lineRule="exact"/>
              <w:rPr>
                <w:sz w:val="20"/>
                <w:szCs w:val="20"/>
                <w:color w:val="auto"/>
              </w:rPr>
            </w:pPr>
            <w:r>
              <w:rPr>
                <w:rFonts w:ascii="Arial" w:cs="Arial" w:eastAsia="Arial" w:hAnsi="Arial"/>
                <w:sz w:val="18"/>
                <w:szCs w:val="18"/>
                <w:color w:val="auto"/>
              </w:rPr>
              <w:t>administrative</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20" w:type="dxa"/>
            <w:vAlign w:val="bottom"/>
            <w:shd w:val="clear" w:color="auto" w:fill="CCEEFF"/>
          </w:tcPr>
          <w:p>
            <w:pPr>
              <w:spacing w:after="0"/>
              <w:rPr>
                <w:sz w:val="22"/>
                <w:szCs w:val="22"/>
                <w:color w:val="auto"/>
              </w:rPr>
            </w:pPr>
          </w:p>
        </w:tc>
      </w:tr>
      <w:tr>
        <w:trPr>
          <w:trHeight w:val="201"/>
        </w:trPr>
        <w:tc>
          <w:tcPr>
            <w:tcW w:w="1160" w:type="dxa"/>
            <w:vAlign w:val="bottom"/>
          </w:tcPr>
          <w:p>
            <w:pPr>
              <w:spacing w:after="0"/>
              <w:rPr>
                <w:sz w:val="17"/>
                <w:szCs w:val="17"/>
                <w:color w:val="auto"/>
              </w:rPr>
            </w:pPr>
          </w:p>
        </w:tc>
        <w:tc>
          <w:tcPr>
            <w:tcW w:w="19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Total operating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1160" w:type="dxa"/>
            <w:vAlign w:val="bottom"/>
          </w:tcPr>
          <w:p>
            <w:pPr>
              <w:spacing w:after="0"/>
              <w:rPr>
                <w:sz w:val="19"/>
                <w:szCs w:val="19"/>
                <w:color w:val="auto"/>
              </w:rPr>
            </w:pPr>
          </w:p>
        </w:tc>
        <w:tc>
          <w:tcPr>
            <w:tcW w:w="1940" w:type="dxa"/>
            <w:vAlign w:val="bottom"/>
            <w:gridSpan w:val="2"/>
          </w:tcPr>
          <w:p>
            <w:pPr>
              <w:ind w:left="440"/>
              <w:spacing w:after="0"/>
              <w:rPr>
                <w:sz w:val="20"/>
                <w:szCs w:val="20"/>
                <w:color w:val="auto"/>
              </w:rPr>
            </w:pPr>
            <w:r>
              <w:rPr>
                <w:rFonts w:ascii="Arial" w:cs="Arial" w:eastAsia="Arial" w:hAnsi="Arial"/>
                <w:sz w:val="18"/>
                <w:szCs w:val="18"/>
                <w:color w:val="auto"/>
              </w:rPr>
              <w:t>expenses</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27,866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29,108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30,293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36,599</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42,993</w:t>
            </w:r>
          </w:p>
        </w:tc>
        <w:tc>
          <w:tcPr>
            <w:tcW w:w="120" w:type="dxa"/>
            <w:vAlign w:val="bottom"/>
          </w:tcPr>
          <w:p>
            <w:pPr>
              <w:spacing w:after="0"/>
              <w:rPr>
                <w:sz w:val="19"/>
                <w:szCs w:val="19"/>
                <w:color w:val="auto"/>
              </w:rPr>
            </w:pPr>
          </w:p>
        </w:tc>
      </w:tr>
      <w:tr>
        <w:trPr>
          <w:trHeight w:val="211"/>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(18,297)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(16,964)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(22,020)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(23,389)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(21,283)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(19,802)</w:t>
            </w:r>
          </w:p>
        </w:tc>
      </w:tr>
      <w:tr>
        <w:trPr>
          <w:trHeight w:val="208"/>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6"/>
              </w:rPr>
              <w:t>Other income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net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1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Loss before provision for</w:t>
            </w: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1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(18,312)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(18,341)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(17,186)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(21,465)</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(23,711)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(19,432)</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(21,354)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(19,461)</w:t>
            </w:r>
          </w:p>
        </w:tc>
      </w:tr>
      <w:tr>
        <w:trPr>
          <w:trHeight w:val="216"/>
        </w:trPr>
        <w:tc>
          <w:tcPr>
            <w:tcW w:w="116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w w:val="90"/>
              </w:rPr>
              <w:t>Provision for income taxes</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7"/>
              </w:rPr>
              <w:t>(19,277) $</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(18,454) $</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(18,469) $</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(17,286) $</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(21,548)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(23,778) $</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(19,535) $</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(21,820) $</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(19,690)</w:t>
            </w: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r>
    </w:tbl>
    <w:p>
      <w:pPr>
        <w:spacing w:after="0" w:line="192"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1"/>
          <w:szCs w:val="11"/>
          <w:color w:val="auto"/>
        </w:rPr>
      </w:pPr>
      <w:r>
        <w:rPr>
          <w:rFonts w:ascii="Arial" w:cs="Arial" w:eastAsia="Arial" w:hAnsi="Arial"/>
          <w:sz w:val="14"/>
          <w:szCs w:val="14"/>
          <w:color w:val="auto"/>
        </w:rPr>
        <w:t>Includes stock-based compensation expense as follows: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right"/>
              <w:ind w:right="417"/>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October 31,</w:t>
            </w:r>
          </w:p>
        </w:tc>
        <w:tc>
          <w:tcPr>
            <w:tcW w:w="1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1"/>
                <w:szCs w:val="11"/>
                <w:color w:val="auto"/>
              </w:rPr>
            </w:pPr>
          </w:p>
        </w:tc>
        <w:tc>
          <w:tcPr>
            <w:tcW w:w="6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7"/>
              </w:rPr>
              <w:t>April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5"/>
              </w:rPr>
              <w:t>July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October 31,</w:t>
            </w:r>
          </w:p>
        </w:tc>
        <w:tc>
          <w:tcPr>
            <w:tcW w:w="16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5"/>
              </w:rPr>
              <w:t>January 31,</w:t>
            </w:r>
          </w:p>
        </w:tc>
        <w:tc>
          <w:tcPr>
            <w:tcW w:w="160" w:type="dxa"/>
            <w:vAlign w:val="bottom"/>
          </w:tcPr>
          <w:p>
            <w:pPr>
              <w:spacing w:after="0"/>
              <w:rPr>
                <w:sz w:val="11"/>
                <w:szCs w:val="11"/>
                <w:color w:val="auto"/>
              </w:rPr>
            </w:pPr>
          </w:p>
        </w:tc>
        <w:tc>
          <w:tcPr>
            <w:tcW w:w="680" w:type="dxa"/>
            <w:vAlign w:val="bottom"/>
            <w:gridSpan w:val="2"/>
          </w:tcPr>
          <w:p>
            <w:pPr>
              <w:jc w:val="right"/>
              <w:ind w:right="15"/>
              <w:spacing w:after="0" w:line="129" w:lineRule="exact"/>
              <w:rPr>
                <w:sz w:val="20"/>
                <w:szCs w:val="20"/>
                <w:color w:val="auto"/>
              </w:rPr>
            </w:pPr>
            <w:r>
              <w:rPr>
                <w:rFonts w:ascii="Arial" w:cs="Arial" w:eastAsia="Arial" w:hAnsi="Arial"/>
                <w:sz w:val="14"/>
                <w:szCs w:val="14"/>
                <w:b w:val="1"/>
                <w:bCs w:val="1"/>
                <w:color w:val="auto"/>
              </w:rPr>
              <w:t>April 30,</w:t>
            </w:r>
          </w:p>
        </w:tc>
        <w:tc>
          <w:tcPr>
            <w:tcW w:w="1180" w:type="dxa"/>
            <w:vAlign w:val="bottom"/>
            <w:gridSpan w:val="2"/>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1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Cost of revenue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4"/>
              </w:rPr>
              <w:t>Cost of revenue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—services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Sales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8"/>
        </w:trPr>
        <w:tc>
          <w:tcPr>
            <w:tcW w:w="11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Research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General and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12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administrative</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60" w:type="dxa"/>
            <w:vAlign w:val="bottom"/>
            <w:shd w:val="clear" w:color="auto" w:fill="CCEEFF"/>
          </w:tcPr>
          <w:p>
            <w:pPr>
              <w:spacing w:after="0"/>
              <w:rPr>
                <w:sz w:val="19"/>
                <w:szCs w:val="19"/>
                <w:color w:val="auto"/>
              </w:rPr>
            </w:pPr>
          </w:p>
        </w:tc>
        <w:tc>
          <w:tcPr>
            <w:tcW w:w="1020" w:type="dxa"/>
            <w:vAlign w:val="bottom"/>
          </w:tcPr>
          <w:p>
            <w:pPr>
              <w:spacing w:after="0"/>
              <w:rPr>
                <w:sz w:val="19"/>
                <w:szCs w:val="19"/>
                <w:color w:val="auto"/>
              </w:rPr>
            </w:pPr>
          </w:p>
        </w:tc>
      </w:tr>
      <w:tr>
        <w:trPr>
          <w:trHeight w:val="201"/>
        </w:trPr>
        <w:tc>
          <w:tcPr>
            <w:tcW w:w="238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Stock-based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w w:val="94"/>
              </w:rPr>
              <w:t>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220" w:type="dxa"/>
            <w:vAlign w:val="bottom"/>
          </w:tcPr>
          <w:p>
            <w:pPr>
              <w:ind w:left="14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2,833</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4,288</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7,752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4,531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4,234</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w w:val="86"/>
              </w:rPr>
              <w:t>April 30,</w:t>
            </w:r>
          </w:p>
        </w:tc>
        <w:tc>
          <w:tcPr>
            <w:tcW w:w="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5"/>
              </w:rPr>
              <w:t>July 31,</w:t>
            </w:r>
          </w:p>
        </w:tc>
        <w:tc>
          <w:tcPr>
            <w:tcW w:w="900" w:type="dxa"/>
            <w:vAlign w:val="bottom"/>
            <w:gridSpan w:val="2"/>
          </w:tcPr>
          <w:p>
            <w:pPr>
              <w:jc w:val="right"/>
              <w:ind w:right="132"/>
              <w:spacing w:after="0" w:line="129" w:lineRule="exact"/>
              <w:rPr>
                <w:sz w:val="20"/>
                <w:szCs w:val="20"/>
                <w:color w:val="auto"/>
              </w:rPr>
            </w:pPr>
            <w:r>
              <w:rPr>
                <w:rFonts w:ascii="Arial" w:cs="Arial" w:eastAsia="Arial" w:hAnsi="Arial"/>
                <w:sz w:val="14"/>
                <w:szCs w:val="14"/>
                <w:b w:val="1"/>
                <w:bCs w:val="1"/>
                <w:color w:val="auto"/>
                <w:w w:val="85"/>
              </w:rPr>
              <w:t>October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78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w w:val="90"/>
              </w:rPr>
              <w:t>April 30,</w:t>
            </w:r>
          </w:p>
        </w:tc>
        <w:tc>
          <w:tcPr>
            <w:tcW w:w="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5"/>
              </w:rPr>
              <w:t>July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October 31,</w:t>
            </w:r>
          </w:p>
        </w:tc>
        <w:tc>
          <w:tcPr>
            <w:tcW w:w="94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w w:val="88"/>
              </w:rPr>
              <w:t>January 31,</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April 30,</w:t>
            </w:r>
          </w:p>
        </w:tc>
        <w:tc>
          <w:tcPr>
            <w:tcW w:w="2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4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480" w:type="dxa"/>
            <w:vAlign w:val="bottom"/>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700" w:type="dxa"/>
            <w:vAlign w:val="bottom"/>
          </w:tcPr>
          <w:p>
            <w:pPr>
              <w:jc w:val="right"/>
              <w:ind w:right="134"/>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7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8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9"/>
              </w:rPr>
              <w:t>Percentage of Revenue</w:t>
            </w:r>
          </w:p>
        </w:tc>
        <w:tc>
          <w:tcPr>
            <w:tcW w:w="4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Data:</w:t>
            </w:r>
          </w:p>
        </w:tc>
        <w:tc>
          <w:tcPr>
            <w:tcW w:w="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Revenue: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Cost of revenue:</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Subscription</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Services</w:t>
            </w:r>
          </w:p>
        </w:tc>
        <w:tc>
          <w:tcPr>
            <w:tcW w:w="4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Total cost of revenue</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9"/>
              </w:rPr>
              <w:t>Sales and marketing</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development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General and</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800" w:type="dxa"/>
            <w:vAlign w:val="bottom"/>
          </w:tcPr>
          <w:p>
            <w:pPr>
              <w:ind w:left="280"/>
              <w:spacing w:after="0"/>
              <w:rPr>
                <w:sz w:val="20"/>
                <w:szCs w:val="20"/>
                <w:color w:val="auto"/>
              </w:rPr>
            </w:pPr>
            <w:r>
              <w:rPr>
                <w:rFonts w:ascii="Arial" w:cs="Arial" w:eastAsia="Arial" w:hAnsi="Arial"/>
                <w:sz w:val="18"/>
                <w:szCs w:val="18"/>
                <w:color w:val="auto"/>
              </w:rPr>
              <w:t>administrative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8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Total operating</w:t>
            </w:r>
          </w:p>
        </w:tc>
        <w:tc>
          <w:tcPr>
            <w:tcW w:w="4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expenses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9"/>
                <w:szCs w:val="19"/>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w w:val="89"/>
              </w:rPr>
              <w:t>Other income (expense),</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r>
      <w:tr>
        <w:trPr>
          <w:trHeight w:val="201"/>
        </w:trPr>
        <w:tc>
          <w:tcPr>
            <w:tcW w:w="1820" w:type="dxa"/>
            <w:vAlign w:val="bottom"/>
            <w:gridSpan w:val="2"/>
          </w:tcPr>
          <w:p>
            <w:pPr>
              <w:spacing w:after="0" w:line="201" w:lineRule="exact"/>
              <w:rPr>
                <w:sz w:val="20"/>
                <w:szCs w:val="20"/>
                <w:color w:val="auto"/>
              </w:rPr>
            </w:pPr>
            <w:r>
              <w:rPr>
                <w:rFonts w:ascii="Arial" w:cs="Arial" w:eastAsia="Arial" w:hAnsi="Arial"/>
                <w:sz w:val="18"/>
                <w:szCs w:val="18"/>
                <w:color w:val="auto"/>
                <w:w w:val="91"/>
              </w:rPr>
              <w:t>Loss before provision for</w:t>
            </w:r>
          </w:p>
        </w:tc>
        <w:tc>
          <w:tcPr>
            <w:tcW w:w="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rPr>
              <w:t>income taxes</w:t>
            </w: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(148)</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(115)</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(106)</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(90)</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(99)</w:t>
            </w:r>
          </w:p>
        </w:tc>
        <w:tc>
          <w:tcPr>
            <w:tcW w:w="700" w:type="dxa"/>
            <w:vAlign w:val="bottom"/>
            <w:gridSpan w:val="2"/>
          </w:tcPr>
          <w:p>
            <w:pPr>
              <w:jc w:val="right"/>
              <w:ind w:right="72"/>
              <w:spacing w:after="0"/>
              <w:rPr>
                <w:sz w:val="20"/>
                <w:szCs w:val="20"/>
                <w:color w:val="auto"/>
              </w:rPr>
            </w:pPr>
            <w:r>
              <w:rPr>
                <w:rFonts w:ascii="Arial" w:cs="Arial" w:eastAsia="Arial" w:hAnsi="Arial"/>
                <w:sz w:val="18"/>
                <w:szCs w:val="18"/>
                <w:color w:val="auto"/>
              </w:rPr>
              <w:t>(100)</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(74)</w:t>
            </w:r>
          </w:p>
        </w:tc>
        <w:tc>
          <w:tcPr>
            <w:tcW w:w="940" w:type="dxa"/>
            <w:vAlign w:val="bottom"/>
            <w:gridSpan w:val="2"/>
          </w:tcPr>
          <w:p>
            <w:pPr>
              <w:jc w:val="right"/>
              <w:ind w:right="72"/>
              <w:spacing w:after="0"/>
              <w:rPr>
                <w:sz w:val="20"/>
                <w:szCs w:val="20"/>
                <w:color w:val="auto"/>
              </w:rPr>
            </w:pPr>
            <w:r>
              <w:rPr>
                <w:rFonts w:ascii="Arial" w:cs="Arial" w:eastAsia="Arial" w:hAnsi="Arial"/>
                <w:sz w:val="18"/>
                <w:szCs w:val="18"/>
                <w:color w:val="auto"/>
              </w:rPr>
              <w:t>(71)</w:t>
            </w: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(59)</w:t>
            </w: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r>
      <w:tr>
        <w:trPr>
          <w:trHeight w:val="210"/>
        </w:trPr>
        <w:tc>
          <w:tcPr>
            <w:tcW w:w="1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Our quarterly subscription revenue increased sequentially for all periods presented due primarily to an increase in the sales of subscription and related services. Our quarterly services revenue generally increased sequentially for all periods presented as a result of the same factors. The decline in services revenue from the second quarter to the third quarter in fiscal year 2016 was primarily the result of a reduction in sales of standalone consulting and training services. We have in the past and expect in the future to experience seasonal fluctuations in our sales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Cost of Revenue, Gross Profit and Gross Margin Trends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Cost of revenue has generally increased sequentially as a result of the increase in our subscription and services revenue. Gross profit in absolute dollar terms increased sequentially for all periods presented, primarily due to growth in revenue. Sequential fluctuations in gross margin were primarily driven by a shift in the mix of subscriptions sold to our customers, as well as timing of employee hiring as we continued to build out our technical support organization.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Expense Trends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Total operating expenses generally increased sequentially for all periods presented primarily due to the addition of personnel in connection with the expansion of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firstLine="341"/>
        <w:spacing w:after="0" w:line="332" w:lineRule="auto"/>
        <w:rPr>
          <w:sz w:val="20"/>
          <w:szCs w:val="20"/>
          <w:color w:val="auto"/>
        </w:rPr>
      </w:pPr>
      <w:r>
        <w:rPr>
          <w:rFonts w:ascii="Arial" w:cs="Arial" w:eastAsia="Arial" w:hAnsi="Arial"/>
          <w:sz w:val="16"/>
          <w:szCs w:val="16"/>
          <w:color w:val="auto"/>
        </w:rPr>
        <w:t>As of April 30, 2017, we had cash and cash equivalents and short-term investments totaling $108.8 million. Our cash and cash equivalents primarily consist of bank deposits and money market funds. Our short-term investments consist of U.S. government treasury securities.</w:t>
      </w:r>
    </w:p>
    <w:p>
      <w:pPr>
        <w:spacing w:after="0" w:line="139"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To date we have financed our operations principally through private placements of our redeemable convertible preferred stock. Through April 30, 2017, we have received net proceeds of $345.3 million from the issuance of shares of our redeemable convertible preferred stock. We believe our existing cash and cash equivalents and short-term investments will be sufficient to fund our operating and capital needs for at least the next 12 months.</w:t>
      </w:r>
    </w:p>
    <w:p>
      <w:pPr>
        <w:spacing w:after="0" w:line="161"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We have generated significant operating losses and negative cash flows from operations as reflected in our accumulated deficit and consolidated statements of cash flows. As of April 30, 2017, we had an accumulated deficit of $367.1 million.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the timing and extent of spending to support development efforts, the expansion of sales and marketing and international operation activities, the timing of new subscription introductions, and the continuing market acceptance of our subscriptions and services.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260" w:type="dxa"/>
            <w:vAlign w:val="bottom"/>
          </w:tcPr>
          <w:p>
            <w:pPr>
              <w:spacing w:after="0"/>
              <w:rPr>
                <w:sz w:val="14"/>
                <w:szCs w:val="14"/>
                <w:color w:val="auto"/>
              </w:rPr>
            </w:pPr>
          </w:p>
        </w:tc>
        <w:tc>
          <w:tcPr>
            <w:tcW w:w="18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0"/>
              </w:rPr>
              <w:t>April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2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29"/>
        </w:trPr>
        <w:tc>
          <w:tcPr>
            <w:tcW w:w="4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5"/>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(unaudited)</w:t>
            </w:r>
          </w:p>
        </w:tc>
      </w:tr>
      <w:tr>
        <w:trPr>
          <w:trHeight w:val="161"/>
        </w:trPr>
        <w:tc>
          <w:tcPr>
            <w:tcW w:w="4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  (46,961)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(10,245) $</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(11,721)</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Cash (used in) provided by investing activities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(80,422)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(2,172)</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(18,102)</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4,646</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Free Cash Flow</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To supplement our consolidated financial statements, which are prepared and presented in accordance with generally accepted accounting principles in the United States, or GAAP, we provide investors with the amount of free cash flow, which is a non-GAAP financial measure. Free cash flow represents net cash used in operating activities, excluding capital expenditures and capitalized software development costs, if any. In fiscal years 2016 and 2017 and the three months ended April 30, 2017, we did not capitalize any software development costs. Free cash flow is a measure used by management to understand and evaluate our liquidity and to generate future operating plans. The exclusion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investors and others in understanding and evaluating the strength of our liquidity and future ability to generate cash that can be used for strategic opportunities or investing in our business in the same manner as our management and board of directors.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 The following table presents a reconciliation of free cash flow to net cash used in operating activities, the most directly comparable GAAP measure, for each of the periods indicated.</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6"/>
          </w:tcPr>
          <w:p>
            <w:pPr>
              <w:jc w:val="right"/>
              <w:ind w:right="538"/>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0"/>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gridSpan w:val="6"/>
          </w:tcPr>
          <w:p>
            <w:pPr>
              <w:jc w:val="center"/>
              <w:ind w:right="258"/>
              <w:spacing w:after="0" w:line="129" w:lineRule="exact"/>
              <w:rPr>
                <w:sz w:val="20"/>
                <w:szCs w:val="20"/>
                <w:color w:val="auto"/>
              </w:rPr>
            </w:pPr>
            <w:r>
              <w:rPr>
                <w:rFonts w:ascii="Arial" w:cs="Arial" w:eastAsia="Arial" w:hAnsi="Arial"/>
                <w:sz w:val="14"/>
                <w:szCs w:val="14"/>
                <w:b w:val="1"/>
                <w:bCs w:val="1"/>
                <w:color w:val="auto"/>
                <w:w w:val="89"/>
              </w:rPr>
              <w:t>(unaudited)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6"/>
          </w:tcPr>
          <w:p>
            <w:pPr>
              <w:jc w:val="right"/>
              <w:ind w:right="522"/>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(46,961)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(38,078)</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(10,245)</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(11,721)</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2"/>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(712)</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Free cash flow</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(39,761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(10,381</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(12,433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Cash used in operating activities during the three months ended April 30, 2017 was $11.7 million primarily driven by our net loss of $19.7 million and was partially offset by non-cash charges of $4.5 million for stock-based compensation and $0.9 million for depreciation and amortization. In addition, our cash used in operating activities was further offset by an increase of $2.7 million in deferred revenue resulting from the overall growth of our sales and our expanding customer base, a decrease of $4.8 million in accounts receivable as a result of increased collection from customers, an increase of $1.2 million in accounts payable. The change in deferred revenue was partially offset by an increase of $3.0 million in prepaid expenses and other current assets, and a decrease of $3.0 million in accrued liabilities.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Cash used in operating activities during the three months ended April 30, 2016 was $10.2 million primarily driven by our net loss of $21.5 million and was partially offset by non-cash charges of $7.8 million for stock-based compensation and $1.0 million for depreciation and amortization. In addition, our cash used in operating activities was further offset by a decrease of $4.1 million in accounts receivable due to collection from customers, and an increase of $2.4 million in deferred revenue resulting from the overall growth of our sales and our expanding customer base. The change in deferred revenue was partially offset by an increase of $1.6 million in prepaid expenses and other current assets, and a decrease of $1.3 million in accrued liabilities.</w:t>
      </w:r>
    </w:p>
    <w:p>
      <w:pPr>
        <w:spacing w:after="0" w:line="17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Cash used in operating activities during the year ended January 31, 2017 was $38.1 million primarily driven by our net loss of $86.7 million and was partially offset by non-cash charges of $21.0 million for stock-based compensation and $3.8 million for depreciation and amortization. In addition, our cash used in operating activities was further offset by an increase of $35.8 million in deferred revenue resulting from the overall growth of our sales and our expanding customer base. This change in deferred revenue was partially offset by increases of $9.3 million in accounts receivable and of $6.0 million in deferred commissions, both corresponding with our increased sales and customer expansions.</w:t>
      </w:r>
    </w:p>
    <w:p>
      <w:pPr>
        <w:spacing w:after="0" w:line="170"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Cash used in operating activities during the year ended January 31, 2016 was $47.0 million primarily driven by our net loss of $73.5 million and was partially offset by non-cash charges 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$12.8 million for stock-based compensation and $4.1 million for depreciation and amortization. In addition, our cash used in operating activities was further offset by an increase of $17.7 million in deferred revenue resulting from the overall growth of our sales and our expanding customer base. This change in deferred revenue was partially offset by an increase of $10.1 million in accounts receivable corresponding with our increased sales and customer expansions.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740" w:firstLine="351"/>
        <w:spacing w:after="0" w:line="268" w:lineRule="auto"/>
        <w:rPr>
          <w:sz w:val="20"/>
          <w:szCs w:val="20"/>
          <w:color w:val="auto"/>
        </w:rPr>
      </w:pPr>
      <w:r>
        <w:rPr>
          <w:rFonts w:ascii="Arial" w:cs="Arial" w:eastAsia="Arial" w:hAnsi="Arial"/>
          <w:sz w:val="18"/>
          <w:szCs w:val="18"/>
          <w:color w:val="auto"/>
        </w:rPr>
        <w:t>Cash used in investing activities during the three months ended April 30, 2017 of $18.1 million resulted primarily from the purchase of marketable securities, net of maturities.</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Cash used in investing activities during the three months ended April 30, 2016 of $2.2 million resulted primarily from the purchase of marketable securities, net of maturities.</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Cash provided by investing activities during the year ended January 31, 2017 of $31.1 million resulted primarily from net proceeds from sales and maturities of marketable securities.</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Cash used in investing activities during the year ended January 31, 2016 of $80.4 million resulted primarily from the purchase of marketable securities, net of maturities.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$4.6 million during the three months ended April 30, 2017 was due to proceeds from the exercise of stock options.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$0.5 million during the three months ended April 30, 2016 was due to proceeds from the exercise of stock options.</w:t>
      </w:r>
    </w:p>
    <w:p>
      <w:pPr>
        <w:spacing w:after="0" w:line="24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Cash provided by financing activities of $43.1 million during the year ended January 31, 2017 was primarily due to $34.9 million in net proceeds from the issuances of our Series F redeemable convertible preferred stock, and $8.2 million of proceeds from the exercise of stock options.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provided by financing activities of $3.1 million during the year ended January 31, 2016 was due to proceeds from the exercise of stock options.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3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have in the past and expect in the future to experience seasonal fluctuations in our revenue from time to time with the fourth quarter historically being our strongest quarter for new customer sales and renewals as a result of large enterprise buying patterns. Our recent growth and the ratable nature of our subscription revenue makes this seasonality less apparent in our overall financial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31"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January 31, 2017, we did not have any relationships with any entities or financial partnerships, such as structured finance or special purpose entities that would have been established for the purpose of facilitating off-balance sheet arrangements or other purposes.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contractual obligations as of January 31, 2017:</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597"/>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w w:val="83"/>
              </w:rPr>
              <w:t>Less Than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4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1 to 3 Years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7"/>
              <w:spacing w:after="0"/>
              <w:rPr>
                <w:sz w:val="20"/>
                <w:szCs w:val="20"/>
                <w:color w:val="auto"/>
              </w:rPr>
            </w:pPr>
            <w:r>
              <w:rPr>
                <w:rFonts w:ascii="Arial" w:cs="Arial" w:eastAsia="Arial" w:hAnsi="Arial"/>
                <w:sz w:val="14"/>
                <w:szCs w:val="14"/>
                <w:b w:val="1"/>
                <w:bCs w:val="1"/>
                <w:color w:val="auto"/>
                <w:w w:val="8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 obligations</w:t>
            </w:r>
          </w:p>
        </w:tc>
        <w:tc>
          <w:tcPr>
            <w:tcW w:w="14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purchase obligations relate to non-cancellable agreements for subscription and marketing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support arrangements and consumption-based hosted as-a-service offerings; and (2) services revenue comprised of evaluation, configuration and implementation services.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revenues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as services are delivered if sold on a stand-alone basis and over the contractual subscription period if sold as a bundled element along with our subscriptions. When services commence later than the start date of the bundled subscription, as long as all other revenue recognition criteria have been met, we record a cumulative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catch up of revenue that would have been recognized over the period from the beginning of the subscription term until the commencement of services.</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support, or PCS. As our subscription offerings include a software license and PCS for which we have not established Vender Specific-Objective Evidence, or VSOE, the entire fee is recognized ratably over the term of the contract. See "—Multiple-Element Arrangements" below. With our MongoDB Atlas product, we make our software available to our customers in a hosted as-a-service offering. Generally, revenue related to our MongoDB Atlas product is recognized on a usage-basis, as determined by the frequency that the customer uses the product and based on other characteristics of the instances they utilize.</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services contracts are provisioned on a time-and-materials, fixed-fee or subscription basis. Revenue is recognized as the services are delivered on a proportional performance basis for standalone contracts sold on a time-and-materials and fixed-fee basis. When services are sold with subscription offerings they are treated as multiple-element arrangements and, pursuant to ASC 985-605-25-10, all revenue in the arrangement is recognized ratably over the term of the undelivered elements assuming all other revenue recognition criteria have been met. See "—Multiple-Element Arrangements" below.</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 dictates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would occur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shall be recognized ratably over the term of the undelivered elements assuming all other revenue recognition criteria have been met. We have not established VSOE for PCS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account for stock-based compensation expense related to stock-based awards based on the estimated fair value of the award on the grant date. We historically issued options to purchase shares of our common stock. In November 2016 we created two classes of common stock, Class A and Class B, and exchanged all of our outstanding stock options to purchase common stock for options to purchase shares of our Class B common stock. All of our stock options granted under our 2016 Plan, which was adopted December 6, 2016, have been and will be for shares of our Class A common stock. We calculate the fair value of stock options using the Black-Scholes option-pricing model. For stock-based awards issued to employees, the related stock-based compensation expense is recognized on a straight-line basis over the period in which an employee is required to provide service in exchange for the stock-based award, which is generally four years. For stock-based awards issued to non-employees,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including consultants, we record expense related to stock options based on the fair value of the options calculated using the Black-Scholes option-pricing model over the service performance period.</w:t>
      </w:r>
    </w:p>
    <w:p>
      <w:pPr>
        <w:spacing w:after="0" w:line="186"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We estimate the fair value of stock options using the Black-Scholes option-pricing model, which requires the use of subjective assumptions, including the expected term of the option, the current price of the underlying stock,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we use the simplified method to estimate the expected term for its stock options. Under the simplified method, the expected term of an option is presumed to be the mid-point between the vesting date and the end of the contractual term. Expected volatility is based on historical volatilities for publicly traded stock of comparable companies over the estimated expected term of the stock options. We assume no dividend yield because dividends on our Class B common stock are not expected to be paid in the near future, which is consistent with our history of not paying dividends on our Class B common stock.</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assumptions used to estimate the fair value of stock options granted during the periods presented: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1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Pr>
          <w:p>
            <w:pPr>
              <w:spacing w:after="0"/>
              <w:rPr>
                <w:sz w:val="14"/>
                <w:szCs w:val="14"/>
                <w:color w:val="auto"/>
              </w:rPr>
            </w:pPr>
          </w:p>
        </w:tc>
        <w:tc>
          <w:tcPr>
            <w:tcW w:w="2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Three Months Ended April 30,</w:t>
            </w:r>
          </w:p>
        </w:tc>
      </w:tr>
      <w:tr>
        <w:trPr>
          <w:trHeight w:val="142"/>
        </w:trPr>
        <w:tc>
          <w:tcPr>
            <w:tcW w:w="35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2"/>
                <w:szCs w:val="12"/>
                <w:color w:val="auto"/>
              </w:rPr>
            </w:pPr>
          </w:p>
        </w:tc>
        <w:tc>
          <w:tcPr>
            <w:tcW w:w="700" w:type="dxa"/>
            <w:vAlign w:val="bottom"/>
            <w:tcBorders>
              <w:bottom w:val="single" w:sz="8" w:color="auto"/>
            </w:tcBorders>
          </w:tcPr>
          <w:p>
            <w:pPr>
              <w:jc w:val="center"/>
              <w:ind w:left="192"/>
              <w:spacing w:after="0" w:line="142" w:lineRule="exact"/>
              <w:rPr>
                <w:sz w:val="20"/>
                <w:szCs w:val="20"/>
                <w:color w:val="auto"/>
              </w:rPr>
            </w:pPr>
            <w:r>
              <w:rPr>
                <w:rFonts w:ascii="Arial" w:cs="Arial" w:eastAsia="Arial" w:hAnsi="Arial"/>
                <w:sz w:val="14"/>
                <w:szCs w:val="14"/>
                <w:b w:val="1"/>
                <w:bCs w:val="1"/>
                <w:color w:val="auto"/>
                <w:w w:val="89"/>
              </w:rPr>
              <w:t>2016</w:t>
            </w:r>
          </w:p>
        </w:tc>
        <w:tc>
          <w:tcPr>
            <w:tcW w:w="2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3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center"/>
              <w:ind w:right="632"/>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88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5"/>
              </w:rPr>
              <w:t>6.38</w:t>
            </w:r>
          </w:p>
        </w:tc>
        <w:tc>
          <w:tcPr>
            <w:tcW w:w="142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85"/>
              </w:rPr>
              <w:t>6.08</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880" w:type="dxa"/>
            <w:vAlign w:val="bottom"/>
            <w:gridSpan w:val="2"/>
          </w:tcPr>
          <w:p>
            <w:pPr>
              <w:jc w:val="center"/>
              <w:ind w:left="352"/>
              <w:spacing w:after="0"/>
              <w:rPr>
                <w:sz w:val="20"/>
                <w:szCs w:val="20"/>
                <w:color w:val="auto"/>
              </w:rPr>
            </w:pPr>
            <w:r>
              <w:rPr>
                <w:rFonts w:ascii="Arial" w:cs="Arial" w:eastAsia="Arial" w:hAnsi="Arial"/>
                <w:sz w:val="18"/>
                <w:szCs w:val="18"/>
                <w:color w:val="auto"/>
                <w:w w:val="88"/>
              </w:rPr>
              <w:t>43%</w:t>
            </w:r>
          </w:p>
        </w:tc>
        <w:tc>
          <w:tcPr>
            <w:tcW w:w="1420" w:type="dxa"/>
            <w:vAlign w:val="bottom"/>
            <w:gridSpan w:val="3"/>
          </w:tcPr>
          <w:p>
            <w:pPr>
              <w:jc w:val="center"/>
              <w:ind w:left="376"/>
              <w:spacing w:after="0"/>
              <w:rPr>
                <w:sz w:val="20"/>
                <w:szCs w:val="20"/>
                <w:color w:val="auto"/>
              </w:rPr>
            </w:pPr>
            <w:r>
              <w:rPr>
                <w:rFonts w:ascii="Arial" w:cs="Arial" w:eastAsia="Arial" w:hAnsi="Arial"/>
                <w:sz w:val="18"/>
                <w:szCs w:val="18"/>
                <w:color w:val="auto"/>
                <w:w w:val="88"/>
              </w:rPr>
              <w:t>43%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88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87"/>
              </w:rPr>
              <w:t>1.5%</w:t>
            </w:r>
          </w:p>
        </w:tc>
        <w:tc>
          <w:tcPr>
            <w:tcW w:w="1420" w:type="dxa"/>
            <w:vAlign w:val="bottom"/>
            <w:gridSpan w:val="3"/>
            <w:shd w:val="clear" w:color="auto" w:fill="CCEEFF"/>
          </w:tcPr>
          <w:p>
            <w:pPr>
              <w:jc w:val="center"/>
              <w:ind w:left="356"/>
              <w:spacing w:after="0"/>
              <w:rPr>
                <w:sz w:val="20"/>
                <w:szCs w:val="20"/>
                <w:color w:val="auto"/>
              </w:rPr>
            </w:pPr>
            <w:r>
              <w:rPr>
                <w:rFonts w:ascii="Arial" w:cs="Arial" w:eastAsia="Arial" w:hAnsi="Arial"/>
                <w:sz w:val="18"/>
                <w:szCs w:val="18"/>
                <w:color w:val="auto"/>
                <w:w w:val="92"/>
              </w:rPr>
              <w:t>2.0%</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880" w:type="dxa"/>
            <w:vAlign w:val="bottom"/>
            <w:gridSpan w:val="2"/>
          </w:tcPr>
          <w:p>
            <w:pPr>
              <w:jc w:val="center"/>
              <w:ind w:left="352"/>
              <w:spacing w:after="0"/>
              <w:rPr>
                <w:sz w:val="20"/>
                <w:szCs w:val="20"/>
                <w:color w:val="auto"/>
              </w:rPr>
            </w:pPr>
            <w:r>
              <w:rPr>
                <w:rFonts w:ascii="Arial" w:cs="Arial" w:eastAsia="Arial" w:hAnsi="Arial"/>
                <w:sz w:val="18"/>
                <w:szCs w:val="18"/>
                <w:color w:val="auto"/>
                <w:w w:val="92"/>
              </w:rPr>
              <w:t>0%</w:t>
            </w:r>
          </w:p>
        </w:tc>
        <w:tc>
          <w:tcPr>
            <w:tcW w:w="1420" w:type="dxa"/>
            <w:vAlign w:val="bottom"/>
            <w:gridSpan w:val="3"/>
          </w:tcPr>
          <w:p>
            <w:pPr>
              <w:jc w:val="center"/>
              <w:ind w:left="356"/>
              <w:spacing w:after="0"/>
              <w:rPr>
                <w:sz w:val="20"/>
                <w:szCs w:val="20"/>
                <w:color w:val="auto"/>
              </w:rPr>
            </w:pPr>
            <w:r>
              <w:rPr>
                <w:rFonts w:ascii="Arial" w:cs="Arial" w:eastAsia="Arial" w:hAnsi="Arial"/>
                <w:sz w:val="18"/>
                <w:szCs w:val="18"/>
                <w:color w:val="auto"/>
                <w:w w:val="84"/>
              </w:rPr>
              <w:t>0%</w:t>
            </w:r>
          </w:p>
        </w:tc>
      </w:tr>
    </w:tbl>
    <w:p>
      <w:pPr>
        <w:spacing w:after="0" w:line="201" w:lineRule="exact"/>
        <w:rPr>
          <w:sz w:val="20"/>
          <w:szCs w:val="20"/>
          <w:color w:val="auto"/>
        </w:rPr>
      </w:pPr>
    </w:p>
    <w:p>
      <w:pPr>
        <w:ind w:right="80" w:firstLine="341"/>
        <w:spacing w:after="0" w:line="255" w:lineRule="auto"/>
        <w:rPr>
          <w:sz w:val="20"/>
          <w:szCs w:val="20"/>
          <w:color w:val="auto"/>
        </w:rPr>
      </w:pPr>
      <w:r>
        <w:rPr>
          <w:rFonts w:ascii="Arial" w:cs="Arial" w:eastAsia="Arial" w:hAnsi="Arial"/>
          <w:sz w:val="18"/>
          <w:szCs w:val="18"/>
          <w:color w:val="auto"/>
        </w:rPr>
        <w:t xml:space="preserve">As discussed in "Recently Adopted Accounting Pronouncements" in the notes to our consolidated financial statements included elsewhere in this prospectus we have elected to early adopt Accounting Standards Update No. 2016-09, Compensation—Stock Compensation (Topic 718): </w:t>
      </w:r>
      <w:r>
        <w:rPr>
          <w:rFonts w:ascii="Arial" w:cs="Arial" w:eastAsia="Arial" w:hAnsi="Arial"/>
          <w:sz w:val="18"/>
          <w:szCs w:val="18"/>
          <w:i w:val="1"/>
          <w:iCs w:val="1"/>
          <w:color w:val="auto"/>
        </w:rPr>
        <w:t>Improvement to Employee Share-based Payment Accounting</w:t>
      </w:r>
      <w:r>
        <w:rPr>
          <w:rFonts w:ascii="Arial" w:cs="Arial" w:eastAsia="Arial" w:hAnsi="Arial"/>
          <w:sz w:val="18"/>
          <w:szCs w:val="18"/>
          <w:color w:val="auto"/>
        </w:rPr>
        <w:t>, which, among other things, permits an entity to make an entity-wide policy election to either (1) estimate the number of awards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vest or (2) account for forfeitures when they occur. We have elected to account for forfeitures as they occur, rather than estimate expected forfeitures beginning on February 1, 2016.</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Class B common stock, we may have refinements to our estimates, which could materially impact our future stock-based compensation expense.</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Based upon an assumed initial public offering price of $ per share, the midpoint of the range set forth on the cover of this prospectus, the aggregate intrinsic value of outstanding options to purchase shares of our Class B common stock as of , 2017 was $ million.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Common Stock Valuations</w:t>
      </w:r>
    </w:p>
    <w:p>
      <w:pPr>
        <w:spacing w:after="0" w:line="225"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are required to estimate the fair value of the common stock underlying our stock option awards when performing the fair value calculations with the Black-Scholes option-pricing model. The fair value of the common stock underlying our stock option awards was determined by our Board of Directors, with input from management. All stock options granted have an exercise price per share not less than the per share fair value of our common stock underlying those options on the date of grant. We believe that our Board of Directors has the relevant experience and expertise to determine the fair value of our common stock. In the absence of a public trading market, our Board of Directors, with input from management, exercised significant judgment and considered numerous objective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subjective factors to determine the fair value of our common stock for financial reporting purposes as of the grant date of each stock option award, including the following factors:</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contemporaneous valuations;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redeemable convertible preferred stock relative to those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marketability of our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secondary stock sales;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a merger or acquisition of our business given prevailing market conditions;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industry information such as market size and growth;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and global capital market conditions.</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 xml:space="preserve">As described above, the exercise price of our stock option awards was determined by our Board of Directors, taking into account the factors described above, using a combination of valuation methodologies with varying weighting applied to each methodology as of the grant date. The valuations of our common stock were determined in accordance with the guidance provided by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67"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following table summarizes by grant date the number of shares of common stock subject to stock options and restricted stock units granted from February 1, 2016 through the date of this prospectus, as well as the associated per share exercise price for options granted and the estimated fair value per share of our common stock on the grant date.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Number of Shares</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Equity 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per Share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1"/>
        </w:trPr>
        <w:tc>
          <w:tcPr>
            <w:tcW w:w="3540" w:type="dxa"/>
            <w:vAlign w:val="bottom"/>
            <w:gridSpan w:val="4"/>
          </w:tcPr>
          <w:p>
            <w:pPr>
              <w:ind w:left="1140"/>
              <w:spacing w:after="0"/>
              <w:rPr>
                <w:sz w:val="20"/>
                <w:szCs w:val="20"/>
                <w:color w:val="auto"/>
              </w:rPr>
            </w:pPr>
            <w:r>
              <w:rPr>
                <w:rFonts w:ascii="Arial" w:cs="Arial" w:eastAsia="Arial" w:hAnsi="Arial"/>
                <w:sz w:val="14"/>
                <w:szCs w:val="14"/>
                <w:b w:val="1"/>
                <w:bCs w:val="1"/>
                <w:color w:val="auto"/>
              </w:rPr>
              <w:t>Grant Date</w:t>
            </w:r>
          </w:p>
        </w:tc>
        <w:tc>
          <w:tcPr>
            <w:tcW w:w="27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Granted</w:t>
            </w:r>
          </w:p>
        </w:tc>
        <w:tc>
          <w:tcPr>
            <w:tcW w:w="26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Options Granted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13, 2016</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6,073,462</w:t>
            </w: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July 13, 2016</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1,088,750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15, 2016</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October 5, 2016</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937,250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7, 2016</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April 5, 2017</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3,691,750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19, 2017</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tcPr>
          <w:p>
            <w:pPr>
              <w:spacing w:after="0"/>
              <w:rPr>
                <w:sz w:val="20"/>
                <w:szCs w:val="20"/>
                <w:color w:val="auto"/>
              </w:rPr>
            </w:pPr>
            <w:r>
              <w:rPr>
                <w:rFonts w:ascii="Arial" w:cs="Arial" w:eastAsia="Arial" w:hAnsi="Arial"/>
                <w:sz w:val="18"/>
                <w:szCs w:val="18"/>
                <w:color w:val="auto"/>
              </w:rPr>
              <w:t>June 6, 2017</w:t>
            </w:r>
          </w:p>
        </w:tc>
        <w:tc>
          <w:tcPr>
            <w:tcW w:w="4380" w:type="dxa"/>
            <w:vAlign w:val="bottom"/>
            <w:gridSpan w:val="3"/>
          </w:tcPr>
          <w:p>
            <w:pPr>
              <w:jc w:val="right"/>
              <w:ind w:right="260"/>
              <w:spacing w:after="0"/>
              <w:rPr>
                <w:sz w:val="20"/>
                <w:szCs w:val="20"/>
                <w:color w:val="auto"/>
              </w:rPr>
            </w:pPr>
            <w:r>
              <w:rPr>
                <w:rFonts w:ascii="Arial" w:cs="Arial" w:eastAsia="Arial" w:hAnsi="Arial"/>
                <w:sz w:val="18"/>
                <w:szCs w:val="18"/>
                <w:color w:val="auto"/>
              </w:rPr>
              <w:t>50,000</w:t>
            </w:r>
            <w:r>
              <w:rPr>
                <w:rFonts w:ascii="Arial" w:cs="Arial" w:eastAsia="Arial" w:hAnsi="Arial"/>
                <w:sz w:val="14"/>
                <w:szCs w:val="14"/>
                <w:color w:val="auto"/>
              </w:rPr>
              <w:t>(1)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13, 2017</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1,308,100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7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1480" w:type="dxa"/>
            <w:vAlign w:val="bottom"/>
            <w:gridSpan w:val="2"/>
          </w:tcPr>
          <w:p>
            <w:pPr>
              <w:ind w:left="1140"/>
              <w:spacing w:after="0"/>
              <w:rPr>
                <w:sz w:val="20"/>
                <w:szCs w:val="20"/>
                <w:color w:val="auto"/>
              </w:rPr>
            </w:pPr>
            <w:r>
              <w:rPr>
                <w:rFonts w:ascii="Arial" w:cs="Arial" w:eastAsia="Arial" w:hAnsi="Arial"/>
                <w:sz w:val="11"/>
                <w:szCs w:val="11"/>
                <w:color w:val="auto"/>
              </w:rPr>
              <w:t>(1)</w:t>
            </w:r>
          </w:p>
        </w:tc>
        <w:tc>
          <w:tcPr>
            <w:tcW w:w="2060" w:type="dxa"/>
            <w:vAlign w:val="bottom"/>
            <w:gridSpan w:val="2"/>
          </w:tcPr>
          <w:p>
            <w:pPr>
              <w:ind w:left="200"/>
              <w:spacing w:after="0"/>
              <w:rPr>
                <w:sz w:val="20"/>
                <w:szCs w:val="20"/>
                <w:color w:val="auto"/>
              </w:rPr>
            </w:pPr>
            <w:r>
              <w:rPr>
                <w:rFonts w:ascii="Arial" w:cs="Arial" w:eastAsia="Arial" w:hAnsi="Arial"/>
                <w:sz w:val="14"/>
                <w:szCs w:val="14"/>
                <w:color w:val="auto"/>
                <w:w w:val="88"/>
              </w:rPr>
              <w:t>Represents restricted stock units.</w:t>
            </w:r>
          </w:p>
        </w:tc>
        <w:tc>
          <w:tcPr>
            <w:tcW w:w="2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700" w:type="dxa"/>
            <w:vAlign w:val="bottom"/>
          </w:tcPr>
          <w:p>
            <w:pPr>
              <w:jc w:val="right"/>
              <w:ind w:right="352"/>
              <w:spacing w:after="0"/>
              <w:rPr>
                <w:sz w:val="20"/>
                <w:szCs w:val="20"/>
                <w:color w:val="auto"/>
              </w:rPr>
            </w:pPr>
            <w:r>
              <w:rPr>
                <w:rFonts w:ascii="Arial" w:cs="Arial" w:eastAsia="Arial" w:hAnsi="Arial"/>
                <w:sz w:val="18"/>
                <w:szCs w:val="18"/>
                <w:color w:val="auto"/>
              </w:rPr>
              <w:t>82</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valuations after the completion of this offering, our board of directors will determine the fair value of each share of underlying Class A common stock</w:t>
      </w:r>
    </w:p>
    <w:p>
      <w:pPr>
        <w:spacing w:after="0" w:line="38"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based on the closing price of our Class A common stock as reported on</w:t>
      </w:r>
      <w:r>
        <w:rPr>
          <w:sz w:val="20"/>
          <w:szCs w:val="20"/>
          <w:color w:val="auto"/>
        </w:rPr>
        <w:tab/>
      </w:r>
      <w:r>
        <w:rPr>
          <w:rFonts w:ascii="Arial" w:cs="Arial" w:eastAsia="Arial" w:hAnsi="Arial"/>
          <w:sz w:val="15"/>
          <w:szCs w:val="15"/>
          <w:color w:val="auto"/>
        </w:rPr>
        <w:t>as of the date of grant.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See Note 1 to our consolidated financial statements included elsewhere in this prospectus for recently adopted accounting pronouncements and new accounting pronouncements not yet adopted as of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 in the ordinary course of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60" w:firstLine="351"/>
        <w:spacing w:after="0" w:line="289" w:lineRule="auto"/>
        <w:rPr>
          <w:sz w:val="20"/>
          <w:szCs w:val="20"/>
          <w:color w:val="auto"/>
        </w:rPr>
      </w:pPr>
      <w:r>
        <w:rPr>
          <w:rFonts w:ascii="Arial" w:cs="Arial" w:eastAsia="Arial" w:hAnsi="Arial"/>
          <w:sz w:val="16"/>
          <w:szCs w:val="16"/>
          <w:color w:val="auto"/>
        </w:rPr>
        <w:t>Our cash and cash equivalents primarily equivalents primarily consist of bank deposits and money market funds, and our short-term investments consist of U.S. government treasury securities. At January 31, 2017 and April 30, 2017, we had cash, cash equivalents and short-term investments of $116.5 million and $108.8 million, respectively.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Our investments are exposed to market risk due to a fluctuation in interest rates, which may affect our interest income and the fair market value of our investments. The effect of a hypothetical 10% increase or decrease in interest rates would not have had a material impact on our historical consolidated financial statements for the years ended January 31, 2016 and 2017 and the three months ended April 30, 2017.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sales contracts are primarily denominated in U.S. dollars, British pound, or GBP, or Euros, or EUR. A portion of our operating expenses are incurred outside the United States and denominated in foreign currencies and are subject to fluctuations due to changes in foreign currency exchange rates, particularly changes in the GBP and EUR. Additionally, fluctuations in foreign currency exchange rates may cause us to recognize transaction gains and losses in our statement of operations. The effect of a hypothetical 10% change in foreign currency exchange rates applicable to our business would not have a material impact on our historical consolidated financial statements for the years ended January 31, 2016 and 2017 and the three months ended April 30, 2017. Given the impact of foreign currency exchange rates has not been material to our historical operating results, we have not entered into derivative or hedging transactions, but we may do so in the future if our exposure to foreign currency should become more significant. As our international operations grow, we will continue to reassess our approach to manage our risk relating to fluctuations in currency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231" w:lineRule="exact"/>
        <w:rPr>
          <w:sz w:val="20"/>
          <w:szCs w:val="20"/>
          <w:color w:val="auto"/>
        </w:rPr>
      </w:pPr>
    </w:p>
    <w:p>
      <w:pPr>
        <w:ind w:right="460" w:firstLine="341"/>
        <w:spacing w:after="0" w:line="255" w:lineRule="auto"/>
        <w:rPr>
          <w:sz w:val="20"/>
          <w:szCs w:val="20"/>
          <w:color w:val="auto"/>
        </w:rPr>
      </w:pPr>
      <w:r>
        <w:rPr>
          <w:rFonts w:ascii="Arial" w:cs="Arial" w:eastAsia="Arial" w:hAnsi="Arial"/>
          <w:sz w:val="18"/>
          <w:szCs w:val="18"/>
          <w:color w:val="auto"/>
        </w:rPr>
        <w:t>As an "emerging growth company," the Jump-start Our Business Start-ups, or JOBS Act, allows us to delay adoption of new or revised accounting pronouncements applicable to public companies until such pronouncements are made applicable to private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our common stock less attractive to investors.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MongoDB is the leading modern, general purpose database platform. Our platform unleashes the power of software and data for developers and the applications they build.</w:t>
      </w:r>
    </w:p>
    <w:p>
      <w:pPr>
        <w:spacing w:after="0" w:line="186"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Software applications are redefining how organizations across industries engage with their customers, operate their businesses and compete with each other. To compete effectively in today's global, data-driven market environment, organizations must provide their end-users with applications that capture and leverage the vast volumes and varieties of available data. As a result, the software developers who build and maintain these applications are increasingly influential in organizations and demand for their talent has grown substantially. Consequently, organizations have significantly increased investment in developers and their productivity has become a strategic imperative for organizations of all sizes, industries and geographies.</w:t>
      </w:r>
    </w:p>
    <w:p>
      <w:pPr>
        <w:spacing w:after="0" w:line="170"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 database is at the heart of every software application. As a result, selecting a database is a highly strategic decision that directly affects developer productivity, application performance and organizational competitiveness. We built our platform to run applications at scale across a broad range of use cases in the cloud, on-premise or in a hybrid environment. Our platform addresses the performance, scalability, flexibility and reliability demands of modern applications while maintaining the core capabilities of legacy databases. This allows software developers to build or modernize applications quickly and intuitively, making developers more productive and giving their organizations a competitive advantage.</w:t>
      </w:r>
    </w:p>
    <w:p>
      <w:pPr>
        <w:spacing w:after="0" w:line="170"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Relational databases were first developed in the 1970s and their underlying architecture remains largely unchanged even though the nature of applications, how they are deployed and their role in business have evolved dramatically. Modern software development is highly iterative and requires flexibility. Relational databases were not built to support the volume, variety and velocity of data being generated today, hindering application performance and developer productivity. In a relational database environment, developers are often required to spend significant time fixing and maintaining the linkages between modern applications and the rigid database structures that are inherent in relational offerings. Further, relational databases were built before cloud computing was popularized and were not designed for "always-on" globally distributed deployments. These factors have left developers and their organizations in need of more agile and effective database alternatives. A number of non-relational database alternatives, sometimes called NoSQL, have attempted to address the limitations of relational databases, but they have not achieved widespread developer mindshare and marketplace adoption due to technical trade-offs in their product architectures and the resulting compromises developers are required to make in application development. Based on DB-Engines' rankings, we have been the leading modern database by popularity worldwide since 2013. When we refer to a modern database, we are referring to a database that was originally commercialized after the year 2000 and that is designed for globally distributed deployments.</w:t>
      </w:r>
    </w:p>
    <w:p>
      <w:pPr>
        <w:spacing w:after="0" w:line="181" w:lineRule="exact"/>
        <w:rPr>
          <w:sz w:val="20"/>
          <w:szCs w:val="20"/>
          <w:color w:val="auto"/>
        </w:rPr>
      </w:pPr>
    </w:p>
    <w:p>
      <w:pPr>
        <w:jc w:val="both"/>
        <w:ind w:right="20" w:firstLine="351"/>
        <w:spacing w:after="0" w:line="294" w:lineRule="auto"/>
        <w:rPr>
          <w:sz w:val="20"/>
          <w:szCs w:val="20"/>
          <w:color w:val="auto"/>
        </w:rPr>
      </w:pPr>
      <w:r>
        <w:rPr>
          <w:rFonts w:ascii="Arial" w:cs="Arial" w:eastAsia="Arial" w:hAnsi="Arial"/>
          <w:sz w:val="16"/>
          <w:szCs w:val="16"/>
          <w:color w:val="auto"/>
        </w:rPr>
        <w:t>Our unique platform architecture combines the best of both relational and non-relational databases. We believe our core platform differentiation is driven by our ability to address the needs of organizations for performance, scalability, flexibility and reliability while maintaining the strengths of relational databases. Our document-based architecture enables developers to manage data in a more natural way, making it easy and intuitive for developers to rapidly and cost-effectively build, modernize, deploy and maintain applications, thereby increasing developer productivity. Customers can run our platform in any environment, depending on their operational requirements: in the cloud, on-premise or in a hybrid environment.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believe we have a highly differentiated business model. Our platform is offered under a software subscription business model, with subscription revenue accounting for 90% of our total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revenue in both fiscal year 2017 and the three months ended April 30, 2017.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and driven enterprise adoption of our subscription offering. Our software has been downloaded from our website over 30 million times since February 2009 and over 10 million times in the last 12 months alone. We provide our platform under a licensing model that protects our intellectual property and supports our software subscription business model.</w:t>
      </w:r>
    </w:p>
    <w:p>
      <w:pPr>
        <w:spacing w:after="0" w:line="174" w:lineRule="exact"/>
        <w:rPr>
          <w:sz w:val="20"/>
          <w:szCs w:val="20"/>
          <w:color w:val="auto"/>
        </w:rPr>
      </w:pPr>
    </w:p>
    <w:p>
      <w:pPr>
        <w:ind w:firstLine="348"/>
        <w:spacing w:after="0" w:line="282" w:lineRule="auto"/>
        <w:rPr>
          <w:sz w:val="20"/>
          <w:szCs w:val="20"/>
          <w:color w:val="auto"/>
        </w:rPr>
      </w:pPr>
      <w:r>
        <w:rPr>
          <w:rFonts w:ascii="Arial" w:cs="Arial" w:eastAsia="Arial" w:hAnsi="Arial"/>
          <w:sz w:val="16"/>
          <w:szCs w:val="16"/>
          <w:color w:val="auto"/>
        </w:rPr>
        <w:t>We have experienced rapid growth. As of April 30, 2017, we had over 3,650 customers across a wide range of industries and in more than 80 countries, compared to over 1,700 and 3,200 customers as of January 31, 2016 and 2017, respectively. Our customers include half of the Global Fortune 100 companies. For the fiscal years ended January 31, 2015, 2016 and 2017, our revenue was $40.8 million, $65.3 million and $101.4 million, respectively, representing year-over-year growth of 60% for fiscal year 2016 and 55% for fiscal year 2017. For the three months ended April 30, 2017, our total revenue was $32.4 million, representing a 51% increase over revenue for the three months ended April 30, 2016. We believe our net annual recurring revenue, or ARR, expansion rate, which has been over 120% for each of the last nine fiscal quarters, demonstrates the attractiveness of our platform to our customers. See the section titled "Management Discussion and Analysis of Financial Condition and Results of Operations—Cohort Analysis" for a description of ARR and a discussion of net ARR expansion rate. Our net loss was $76.7 million, $73.5 million, $86.7 million and $19.7 million, for fiscal years 2015, 2016 and 2017 and the three months ended April 30, 2017, respectively. Our operating cash flow was $(62.0) million, $(47.0) million, $(38.1) million and $(11.7) million, for fiscal years 2015, 2016 and 2017 and the three months ended April 30, 2017, respectively. Our free cash flow was $(64.7) million, $(47.4) million, $(39.8) million and $(12.4) million, for fiscal</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years 2015, 2016 and 2017 and the three months ended April 30, 2017, respectively. See the section titled "Management Discussion and Analysis of Financial Condition and Results of Operations—Liquidity and Capital Resources—Non-GAAP Free Cash Flow."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There are a number of important industry trends and market dynamics that are transforming the ways organizations utilize software applications and leverage the underlying data. These include: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Applications Are Transforming Business</w:t>
      </w:r>
    </w:p>
    <w:p>
      <w:pPr>
        <w:spacing w:after="0" w:line="225"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Software applications are redefining how organizations across industries engage with their customers, operate their businesses and compete with each other. Disruptive companies are leveraging software applications to redefine large global industries like entertainment, financial services, healthcare, hospitality, lodging, retail and transportation. At the same time, more traditional companies that historically have not primarily relied on software innovation as a key differentiator are increasingly modernizing their operations by investing significantly in software application development and hiring developers to differentiate themselves competitively.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Developers Are Strategically Important to Organizations</w:t>
      </w:r>
    </w:p>
    <w:p>
      <w:pPr>
        <w:spacing w:after="0" w:line="225"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software applications have become essential to all businesses, the software developers who build and maintain these applications are increasingly influential in organizations and demand for their talent has grown substantially. Software developers are a scarce and strategic talent pool. Developer costs, rather than hardware, computing power and storage costs, now comprise the largest portion of IT-related operating budgets. Consequently, organizations have significantly increased investment 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developers and their productivity has become a strategic imperative for organizations of all sizes, industries and geographies.</w:t>
      </w:r>
    </w:p>
    <w:p>
      <w:pPr>
        <w:spacing w:after="0" w:line="225" w:lineRule="exact"/>
        <w:rPr>
          <w:sz w:val="20"/>
          <w:szCs w:val="20"/>
          <w:color w:val="auto"/>
        </w:rPr>
      </w:pPr>
    </w:p>
    <w:p>
      <w:pPr>
        <w:jc w:val="both"/>
        <w:ind w:firstLine="351"/>
        <w:spacing w:after="0" w:line="335" w:lineRule="auto"/>
        <w:rPr>
          <w:sz w:val="20"/>
          <w:szCs w:val="20"/>
          <w:color w:val="auto"/>
        </w:rPr>
      </w:pPr>
      <w:r>
        <w:rPr>
          <w:rFonts w:ascii="Arial" w:cs="Arial" w:eastAsia="Arial" w:hAnsi="Arial"/>
          <w:sz w:val="15"/>
          <w:szCs w:val="15"/>
          <w:color w:val="auto"/>
        </w:rPr>
        <w:t>Corporate IT departments have historically dictated the technologies that developers could use. With the rising influence of developers and the prevalence of cloud-based software solutions, developers are increasingly able and empowered to make their own technology choices. Developers often turn to easy-to-try, low-friction solutions, including open source software, when evaluating and selecting the technologies they will adopt for application development or modernization.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Database Is at the Heart of Every Application</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Every software application requires a database to store, organize and process data. A database directly impacts an application's performance, scalability, flexibility and reliability. For this reason, the selection of a database is a highly strategic decision impacting application performance and organizational competitiveness. Similarly, as developers modernize or upgrade an existing application, they choose whether a new database can better meet their requirements. When developers evaluate a database, they assess both its capabilities and how efficient or cumbersome it will be to use as they build, improve and maintain their applications. Large organizations can have tens of thousands of applications and associated databases.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Volume, Variety and Velocity of Data Today Complicates Application Development</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volume, variety and velocity of data generated and accessed through applications worldwide is increasing, driven by the rise of cloud computing, the increasing prevalence of mobile, social and Internet of Things, or IoT, applications, and the low cost of storage. The Cisco Global Cloud Index estimates that 600 zettabytes, or ZBs, of data will be generated annually by all people, machines and things by 2020, up from 145 ZBs generated in 2015. Accompanying this explosion in data volume is an expansion in the variety of data, including data with different structures, often called semi-structured data, and new patterns of data, such as time-series data. End users expect personalized and seamless interactions with the applications they use, which are enabled by the underlying data. To compete successfully, organizations need to provide their end users with modern applications that capture and leverage the vast amounts and variety of data available today. This places increasing pressure on the developers who build and maintain software applications to select the right database for an application, to ensure that the database can accommodate the required volume, variety and velocity of data to deliver the desired end-user experience.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Organizations Are Modernizing their IT Infrastructure and Adopting Cloud Architectures</w:t>
      </w:r>
    </w:p>
    <w:p>
      <w:pPr>
        <w:spacing w:after="0" w:line="225"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color w:val="auto"/>
        </w:rPr>
        <w:t>Organizations worldwide are undergoing a fundamental modernization of legacy IT infrastructure and rapidly adopting cloud or hybrid architectures. According to Forrester surveys, North American and European companies will run 18% of their custom-built application software on public cloud platforms by the end of 2017. However, most organizations are actively evaluating, if not yet adopting, cloud architecture. In 2016, 92% of all organizations were evaluating, deploying or fully embracing the cloud, according to IDC. As developers re-platform existing applications, they have the opportunity to re-evaluate the underlying database platform that the application is built on to ensure that it will support the functionality required today and is flexible enough to adapt to future requirements. In addition, organizations prefer solutions that do not lock them in to any one public cloud provider, which limits their flexibility and exposes them to potential cost increases over time.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Relational and Other Existing Databases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Relational databases were first developed in the 1970s. These legacy databases became the foundational technology for mainframe and client server-based applications, providing sophisticated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efficient access to data, guarantees of data integrity and valuable enterprise-oriented features, including management tools and integrations. These core capabilities remain important today.</w:t>
      </w:r>
    </w:p>
    <w:p>
      <w:pPr>
        <w:spacing w:after="0" w:line="186"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underlying architecture of relational databases, however, remains largely unchanged even though the nature of applications, how they are deployed and their role in business have evolved dramatically. Relational databases were not built to deliver the performance, scalability, flexibility and reliability required by modern applications. These legacy databases use rigid, inflexible schemas, where data is stored in tables of rows and columns, and where even simple schema changes can be complicated. Modern software development is highly iterative and requires flexibility, and this rigid structure makes it costly and time consuming for developers to build, maintain and update applications as required. For example, developers are often required to spend significant time fixing and maintaining the linkages between modern applications and the rigid database structure inherent in relational offerings. In addition, the volume and variety of data today does not fit easily into this pre-determined row-and-column format, making it difficult and inefficient for developers to work with these applications, reducing application functionality, causing poor application performance and risking costly application downtime. Further, relational databases were built before cloud computing was popularized and were not designed for "always-on" globally distributed deployments. All of these factors hinder developer productivity and reduce organizational competitiveness, leaving developers and their organizations in need of more effective, more agile, lower cost database solutions.</w:t>
      </w:r>
    </w:p>
    <w:p>
      <w:pPr>
        <w:spacing w:after="0" w:line="177" w:lineRule="exact"/>
        <w:rPr>
          <w:sz w:val="20"/>
          <w:szCs w:val="20"/>
          <w:color w:val="auto"/>
        </w:rPr>
      </w:pPr>
    </w:p>
    <w:p>
      <w:pPr>
        <w:ind w:right="320" w:firstLine="341"/>
        <w:spacing w:after="0" w:line="256" w:lineRule="auto"/>
        <w:rPr>
          <w:sz w:val="20"/>
          <w:szCs w:val="20"/>
          <w:color w:val="auto"/>
        </w:rPr>
      </w:pPr>
      <w:r>
        <w:rPr>
          <w:rFonts w:ascii="Arial" w:cs="Arial" w:eastAsia="Arial" w:hAnsi="Arial"/>
          <w:sz w:val="18"/>
          <w:szCs w:val="18"/>
          <w:color w:val="auto"/>
        </w:rPr>
        <w:t>A number of non-relational database alternatives have attempted to address the limitations of relational databases. However, in attempting to solve the challenges of legacy relational databases, many of these vendors have made architectural choices that compromised many of the core capabilities of relational databases, limiting these vendors to a relatively narrow set of use cases. As a result, they have not achieved widespread developer mindshare and marketplace adoption.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database market is one of the largest in the software industry. According to IDC, the worldwide database software market, which it refers to as structured data management software, was $44.6 billion in 2016 and is expected to grow to $61.3 billion in 2020, representing an 8% compound annual growth rate. Legacy database vendors have historically dominated this market. We believe this market is one of the few within the enterprise technology stack that has yet to be disrupted by a modern alternative, creating our opportunity.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Unique Approach to Our Opportunity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that there are two important and highly differentiating aspects of our approach to the large and highly strategic database market.</w:t>
      </w:r>
    </w:p>
    <w:p>
      <w:pPr>
        <w:spacing w:after="0" w:line="248"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b w:val="1"/>
          <w:bCs w:val="1"/>
          <w:i w:val="1"/>
          <w:iCs w:val="1"/>
          <w:color w:val="auto"/>
        </w:rPr>
        <w:t xml:space="preserve">Our Unique Platform Architecture. </w:t>
      </w:r>
      <w:r>
        <w:rPr>
          <w:rFonts w:ascii="Arial" w:cs="Arial" w:eastAsia="Arial" w:hAnsi="Arial"/>
          <w:sz w:val="16"/>
          <w:szCs w:val="16"/>
          <w:color w:val="auto"/>
        </w:rPr>
        <w:t>Our platform architecture, called our Nexus Architecture, combines the best of both relational and non-relational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databases. Our Nexus Architecture delivers the benefits of relational databases, including sophisticated and efficient access to data, guarantees of data integrity and enterprise management tools and integrations, while providing the scalability, flexibility and always-on reliability required for modern applications. Our document-based architecture enables developers to manage data in a more natural way, making applications more agile. Our architecture is also designed to allow customers to scale horizontally using commodity hardware, providing seamless scalability and enabling "always-on" global deployments. Our design choices allow us to support a broad range of application use cases and increase the appeal for organizations to standardize on our platform, further contributing to the broad scope of our market opportunity. In fiscal year 2017, approximately 30% of our new business resulted from the migration of applications from relational databases.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b w:val="1"/>
          <w:bCs w:val="1"/>
          <w:i w:val="1"/>
          <w:iCs w:val="1"/>
          <w:color w:val="auto"/>
        </w:rPr>
        <w:t xml:space="preserve">Our Unique Business Model. </w:t>
      </w:r>
      <w:r>
        <w:rPr>
          <w:rFonts w:ascii="Arial" w:cs="Arial" w:eastAsia="Arial" w:hAnsi="Arial"/>
          <w:sz w:val="16"/>
          <w:szCs w:val="16"/>
          <w:color w:val="auto"/>
        </w:rPr>
        <w:t>We believe we have a highly differentiated business model that combines the developer mindshare and adoption benefits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open source with the economic benefits of a proprietary software subscription business model.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This allows developers to evaluate our platform in a frictionless manner, which we believe has contributed to our platform's popularity among developers and driven enterprise adoption of our subscription offering. Community Server has been downloaded from our website over 30 million times since February 2009 and over 10 million times in the last 12 months alone. Unlike software companies built around third-party open source projects, we own the intellectual property of our offerings since we are the creators of the software, enabling our proprietary software subscription business model. Subscription revenue accounted for 90% of our total revenue in both fiscal year 2017 and the three months ended April 30, 2017. Owning the intellectual property of our offering also allows us to retain control over our future product roadmap, including the determination of which features are included in our free or paid offerings. In addition, by offering Community Server under the GNU Affero General Public License Version 3, or the AGPL, we limit the appeal to other parties, including public cloud vendors, of monetizing our software without licensing it from us, further supporting our software subscription business model. The economic attractiveness of our subscription-based model is driven by customer renewals and increasing existing customer subscriptions over time, referred to as land-and-expand.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MongoDB is the leading, modern database platform, built to run applications at scale across a broad range of use cases in the cloud, on-premise or in a hybrid environment. Our primary subscription package is MongoDB Enterprise Advanced, our comprehensive offering for enterprise customers that can be run in the cloud, on-premise or in a hybrid environment. MongoDB Enterprise Advanced includes our proprietary database server, advanced security, enterprise management capabilities, our graphical user interface, analytics integrations, technical support and a commercial license to our platform. We also offer MongoDB Atlas, our cloud hosted database-as-a-service, or DBaaS, offering that includes comprehensive infrastructure and management of our Community Server offering. The key differentiators of our platform include:</w:t>
      </w:r>
    </w:p>
    <w:p>
      <w:pPr>
        <w:spacing w:after="0" w:line="188" w:lineRule="exact"/>
        <w:rPr>
          <w:sz w:val="20"/>
          <w:szCs w:val="20"/>
          <w:color w:val="auto"/>
        </w:rPr>
      </w:pPr>
    </w:p>
    <w:p>
      <w:pPr>
        <w:jc w:val="both"/>
        <w:ind w:left="1080" w:right="140" w:hanging="532"/>
        <w:spacing w:after="0" w:line="256"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Built a Modern Platform for Applications. </w:t>
      </w:r>
      <w:r>
        <w:rPr>
          <w:rFonts w:ascii="Arial" w:cs="Arial" w:eastAsia="Arial" w:hAnsi="Arial"/>
          <w:sz w:val="18"/>
          <w:szCs w:val="18"/>
          <w:color w:val="auto"/>
        </w:rPr>
        <w:t>Our founders were frustrated by the challenges of working with legacy database offerings.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was built to address these challenges while maintaining the best aspects of relational databases, allowing developers both to build new, modern applications that could not be built on relational databases and to more quickly and easily modernize existing applications. Core features and capabilities of our platform include:</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620" w:right="14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Performance</w:t>
      </w:r>
      <w:r>
        <w:rPr>
          <w:rFonts w:ascii="Arial" w:cs="Arial" w:eastAsia="Arial" w:hAnsi="Arial"/>
          <w:sz w:val="18"/>
          <w:szCs w:val="18"/>
          <w:color w:val="auto"/>
        </w:rPr>
        <w:t>. We deliver the extreme throughput and predictable low-latency required by the most demanding applications and leverage</w:t>
      </w:r>
      <w:r>
        <w:rPr>
          <w:rFonts w:ascii="Arial" w:cs="Arial" w:eastAsia="Arial" w:hAnsi="Arial"/>
          <w:sz w:val="18"/>
          <w:szCs w:val="18"/>
          <w:i w:val="1"/>
          <w:iCs w:val="1"/>
          <w:color w:val="auto"/>
        </w:rPr>
        <w:t xml:space="preserve"> </w:t>
      </w:r>
      <w:r>
        <w:rPr>
          <w:rFonts w:ascii="Arial" w:cs="Arial" w:eastAsia="Arial" w:hAnsi="Arial"/>
          <w:sz w:val="18"/>
          <w:szCs w:val="18"/>
          <w:color w:val="auto"/>
        </w:rPr>
        <w:t>modern server architectures, delivering millions of operations per second.</w:t>
      </w:r>
    </w:p>
    <w:p>
      <w:pPr>
        <w:spacing w:after="0" w:line="199" w:lineRule="exact"/>
        <w:rPr>
          <w:rFonts w:ascii="Arial" w:cs="Arial" w:eastAsia="Arial" w:hAnsi="Arial"/>
          <w:sz w:val="18"/>
          <w:szCs w:val="18"/>
          <w:color w:val="auto"/>
        </w:rPr>
      </w:pPr>
    </w:p>
    <w:p>
      <w:pPr>
        <w:ind w:left="1620" w:right="540" w:hanging="532"/>
        <w:spacing w:after="0" w:line="33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i w:val="1"/>
          <w:iCs w:val="1"/>
          <w:color w:val="auto"/>
        </w:rPr>
        <w:t>Scalability</w:t>
      </w:r>
      <w:r>
        <w:rPr>
          <w:rFonts w:ascii="Arial" w:cs="Arial" w:eastAsia="Arial" w:hAnsi="Arial"/>
          <w:sz w:val="16"/>
          <w:szCs w:val="16"/>
          <w:color w:val="auto"/>
        </w:rPr>
        <w:t>. Our architecture scales horizontally across thousands of servers, supporting petabytes of data and millions of users in a</w:t>
      </w:r>
      <w:r>
        <w:rPr>
          <w:rFonts w:ascii="Arial" w:cs="Arial" w:eastAsia="Arial" w:hAnsi="Arial"/>
          <w:sz w:val="16"/>
          <w:szCs w:val="16"/>
          <w:i w:val="1"/>
          <w:iCs w:val="1"/>
          <w:color w:val="auto"/>
        </w:rPr>
        <w:t xml:space="preserve"> </w:t>
      </w:r>
      <w:r>
        <w:rPr>
          <w:rFonts w:ascii="Arial" w:cs="Arial" w:eastAsia="Arial" w:hAnsi="Arial"/>
          <w:sz w:val="16"/>
          <w:szCs w:val="16"/>
          <w:color w:val="auto"/>
        </w:rPr>
        <w:t>globally distributed environment. It is easy to add capacity to our platform in a modular, predictable and cost-efficient manner.</w:t>
      </w:r>
    </w:p>
    <w:p>
      <w:pPr>
        <w:spacing w:after="0" w:line="152" w:lineRule="exact"/>
        <w:rPr>
          <w:rFonts w:ascii="Arial" w:cs="Arial" w:eastAsia="Arial" w:hAnsi="Arial"/>
          <w:sz w:val="16"/>
          <w:szCs w:val="16"/>
          <w:color w:val="auto"/>
        </w:rPr>
      </w:pPr>
    </w:p>
    <w:p>
      <w:pPr>
        <w:ind w:left="1620" w:right="24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Flexibility</w:t>
      </w:r>
      <w:r>
        <w:rPr>
          <w:rFonts w:ascii="Arial" w:cs="Arial" w:eastAsia="Arial" w:hAnsi="Arial"/>
          <w:sz w:val="18"/>
          <w:szCs w:val="18"/>
          <w:color w:val="auto"/>
        </w:rPr>
        <w:t>. Our document-based architecture easily accommodates the variety of data required by modern applications. It also makes it</w:t>
      </w:r>
      <w:r>
        <w:rPr>
          <w:rFonts w:ascii="Arial" w:cs="Arial" w:eastAsia="Arial" w:hAnsi="Arial"/>
          <w:sz w:val="18"/>
          <w:szCs w:val="18"/>
          <w:i w:val="1"/>
          <w:iCs w:val="1"/>
          <w:color w:val="auto"/>
        </w:rPr>
        <w:t xml:space="preserve"> </w:t>
      </w:r>
      <w:r>
        <w:rPr>
          <w:rFonts w:ascii="Arial" w:cs="Arial" w:eastAsia="Arial" w:hAnsi="Arial"/>
          <w:sz w:val="18"/>
          <w:szCs w:val="18"/>
          <w:color w:val="auto"/>
        </w:rPr>
        <w:t>easy for developers to prototype, iterate on and add new functionality to their applications.</w:t>
      </w:r>
    </w:p>
    <w:p>
      <w:pPr>
        <w:spacing w:after="0" w:line="212" w:lineRule="exact"/>
        <w:rPr>
          <w:rFonts w:ascii="Arial" w:cs="Arial" w:eastAsia="Arial" w:hAnsi="Arial"/>
          <w:sz w:val="18"/>
          <w:szCs w:val="18"/>
          <w:color w:val="auto"/>
        </w:rPr>
      </w:pPr>
    </w:p>
    <w:p>
      <w:pPr>
        <w:ind w:left="1620" w:right="480" w:hanging="532"/>
        <w:spacing w:after="0" w:line="268"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Reliability</w:t>
      </w:r>
      <w:r>
        <w:rPr>
          <w:rFonts w:ascii="Arial" w:cs="Arial" w:eastAsia="Arial" w:hAnsi="Arial"/>
          <w:sz w:val="18"/>
          <w:szCs w:val="18"/>
          <w:color w:val="auto"/>
        </w:rPr>
        <w:t>. Our platform includes the critical, advanced security features and fault-tolerance that enterprises demand. It was built to</w:t>
      </w:r>
      <w:r>
        <w:rPr>
          <w:rFonts w:ascii="Arial" w:cs="Arial" w:eastAsia="Arial" w:hAnsi="Arial"/>
          <w:sz w:val="18"/>
          <w:szCs w:val="18"/>
          <w:i w:val="1"/>
          <w:iCs w:val="1"/>
          <w:color w:val="auto"/>
        </w:rPr>
        <w:t xml:space="preserve"> </w:t>
      </w:r>
      <w:r>
        <w:rPr>
          <w:rFonts w:ascii="Arial" w:cs="Arial" w:eastAsia="Arial" w:hAnsi="Arial"/>
          <w:sz w:val="18"/>
          <w:szCs w:val="18"/>
          <w:color w:val="auto"/>
        </w:rPr>
        <w:t>operate in a globally distributed environment for "always-on" applications.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0"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Built Our Platform for Developers. </w:t>
      </w:r>
      <w:r>
        <w:rPr>
          <w:rFonts w:ascii="Arial" w:cs="Arial" w:eastAsia="Arial" w:hAnsi="Arial"/>
          <w:sz w:val="16"/>
          <w:szCs w:val="16"/>
          <w:color w:val="auto"/>
        </w:rPr>
        <w:t>MongoDB was built by developers for developers. We architected our platform with robust functionality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made it easy and intuitive for developers to build, modernize, deploy and maintain applications rapidly and cost-effectively, thereby increasing developer productivity. Our document-based architecture enables developers to manage and interact with data in a more natural way. As a result, developers can focus on the application and end-user experience as they do not have to spend significant time fixing and maintaining the linkages between the application and a rigid relational database structure. We also offer drivers in all leading programming languages, allowing developers to interact with our platform using the programming language of their choice, further increasing developer productivity. All of this has led to increased application agility, higher levels of developer productivity and high levels of developer adoption and engagement.</w:t>
      </w:r>
    </w:p>
    <w:p>
      <w:pPr>
        <w:spacing w:after="0" w:line="199" w:lineRule="exact"/>
        <w:rPr>
          <w:rFonts w:ascii="Arial" w:cs="Arial" w:eastAsia="Arial" w:hAnsi="Arial"/>
          <w:sz w:val="16"/>
          <w:szCs w:val="16"/>
          <w:color w:val="auto"/>
        </w:rPr>
      </w:pPr>
    </w:p>
    <w:p>
      <w:pPr>
        <w:ind w:left="1080" w:right="40" w:hanging="532"/>
        <w:spacing w:after="0" w:line="294"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Allow Customers to Run Any Application Anywhere. </w:t>
      </w:r>
      <w:r>
        <w:rPr>
          <w:rFonts w:ascii="Arial" w:cs="Arial" w:eastAsia="Arial" w:hAnsi="Arial"/>
          <w:sz w:val="16"/>
          <w:szCs w:val="16"/>
          <w:color w:val="auto"/>
        </w:rPr>
        <w:t>As a general purpose database, we support applications across a wide range of use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cases. Our software is easily configurable, allowing customers to adjust settings and parameters to optimize performance for a specific application and use case. Customers can run our platform in any environment, depending on their operational requirements: in the cloud, on-premise or in a hybrid environment. In addition, customers can deploy our platform in any of the public cloud alternatives, providing them with increased flexibility and cost-optimization opportunities by preventing public cloud vendor lock-in.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Customer Benefits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platform delivers the following key business benefits for our customers:</w:t>
      </w:r>
    </w:p>
    <w:p>
      <w:pPr>
        <w:spacing w:after="0" w:line="239" w:lineRule="exact"/>
        <w:rPr>
          <w:sz w:val="20"/>
          <w:szCs w:val="20"/>
          <w:color w:val="auto"/>
        </w:rPr>
      </w:pPr>
    </w:p>
    <w:p>
      <w:pPr>
        <w:ind w:left="1080" w:right="160" w:hanging="532"/>
        <w:spacing w:after="0" w:line="29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Maximize Competitive Advantage through Software and Data. </w:t>
      </w:r>
      <w:r>
        <w:rPr>
          <w:rFonts w:ascii="Arial" w:cs="Arial" w:eastAsia="Arial" w:hAnsi="Arial"/>
          <w:sz w:val="16"/>
          <w:szCs w:val="16"/>
          <w:color w:val="auto"/>
        </w:rPr>
        <w:t>Our platform is built to support modern applications, allowing organizations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harness the full power of software and data to drive competitive advantage. Developers use our platform to build new, operational and customer-facing applications, including applications that cannot be built on relational databases. As a result, our platform can help drive our customers' ability to compete, improve end-user satisfaction, increase their revenue and gain market share.</w:t>
      </w:r>
    </w:p>
    <w:p>
      <w:pPr>
        <w:spacing w:after="0" w:line="180" w:lineRule="exact"/>
        <w:rPr>
          <w:rFonts w:ascii="Arial" w:cs="Arial" w:eastAsia="Arial" w:hAnsi="Arial"/>
          <w:sz w:val="16"/>
          <w:szCs w:val="16"/>
          <w:color w:val="auto"/>
        </w:rPr>
      </w:pPr>
    </w:p>
    <w:p>
      <w:pPr>
        <w:ind w:left="1080" w:right="38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 Developer Productivity. </w:t>
      </w:r>
      <w:r>
        <w:rPr>
          <w:rFonts w:ascii="Arial" w:cs="Arial" w:eastAsia="Arial" w:hAnsi="Arial"/>
          <w:sz w:val="16"/>
          <w:szCs w:val="16"/>
          <w:color w:val="auto"/>
        </w:rPr>
        <w:t>By empowering developers to build or modernize applications quickly and cost-efficiently, we enable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developers' agility, accelerating the time-to-revenue for new products. Our platform's document-based architecture and intuitive drivers make developing and iterating on applications very efficient on our platform, increasing developer productivity.</w:t>
      </w:r>
    </w:p>
    <w:p>
      <w:pPr>
        <w:spacing w:after="0" w:line="187" w:lineRule="exact"/>
        <w:rPr>
          <w:rFonts w:ascii="Arial" w:cs="Arial" w:eastAsia="Arial" w:hAnsi="Arial"/>
          <w:sz w:val="16"/>
          <w:szCs w:val="16"/>
          <w:color w:val="auto"/>
        </w:rPr>
      </w:pPr>
    </w:p>
    <w:p>
      <w:pPr>
        <w:ind w:left="1080" w:right="24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 High Reliability for Mission-Critical Deployments. </w:t>
      </w:r>
      <w:r>
        <w:rPr>
          <w:rFonts w:ascii="Arial" w:cs="Arial" w:eastAsia="Arial" w:hAnsi="Arial"/>
          <w:sz w:val="18"/>
          <w:szCs w:val="18"/>
          <w:color w:val="auto"/>
        </w:rPr>
        <w:t>Our platform is designed to support mission-critical applications by being fault-tolerant and always-on, reducing downtime for our customers and minimizing the risk of lost revenue. Also, given the competitive criticality of applications today, we designed our platform to enable better end-user experiences.</w:t>
      </w:r>
    </w:p>
    <w:p>
      <w:pPr>
        <w:spacing w:after="0" w:line="207"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 Total Cost of Ownership. </w:t>
      </w:r>
      <w:r>
        <w:rPr>
          <w:rFonts w:ascii="Arial" w:cs="Arial" w:eastAsia="Arial" w:hAnsi="Arial"/>
          <w:sz w:val="16"/>
          <w:szCs w:val="16"/>
          <w:color w:val="auto"/>
        </w:rPr>
        <w:t>The speed and efficiency of application development using our platform, coupled with decreased developer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resources required for application maintenance, can result in a dramatic reduction in the total cost of ownership for enterprises. In addition, our platform runs on commodity hardware, requires less oversight and management from operations personnel and can operate in the cloud or other low-cost environments, leading to reduced application-related overhead costs for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pursuing our large market opportunity with growth strategies that include:</w:t>
      </w:r>
    </w:p>
    <w:p>
      <w:pPr>
        <w:spacing w:after="0" w:line="239" w:lineRule="exact"/>
        <w:rPr>
          <w:sz w:val="20"/>
          <w:szCs w:val="20"/>
          <w:color w:val="auto"/>
        </w:rPr>
      </w:pPr>
    </w:p>
    <w:p>
      <w:pPr>
        <w:ind w:left="1080" w:right="2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New Customers. </w:t>
      </w:r>
      <w:r>
        <w:rPr>
          <w:rFonts w:ascii="Arial" w:cs="Arial" w:eastAsia="Arial" w:hAnsi="Arial"/>
          <w:sz w:val="18"/>
          <w:szCs w:val="18"/>
          <w:color w:val="auto"/>
        </w:rPr>
        <w:t>We believe there is a substantial opportunity to continue to grow our customer base. We benefit from word-of-mouth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awareness and frictionless usage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94" w:lineRule="auto"/>
        <w:rPr>
          <w:sz w:val="20"/>
          <w:szCs w:val="20"/>
          <w:color w:val="auto"/>
        </w:rPr>
      </w:pPr>
      <w:r>
        <w:rPr>
          <w:rFonts w:ascii="Arial" w:cs="Arial" w:eastAsia="Arial" w:hAnsi="Arial"/>
          <w:sz w:val="16"/>
          <w:szCs w:val="16"/>
          <w:color w:val="auto"/>
        </w:rPr>
        <w:t>experimentation by the developer community through our Community Server offering. As a result, our direct sales prospects are often familiar with our platform and may have already built applications using our technology.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83" w:lineRule="exact"/>
        <w:rPr>
          <w:sz w:val="20"/>
          <w:szCs w:val="20"/>
          <w:color w:val="auto"/>
        </w:rPr>
      </w:pPr>
    </w:p>
    <w:p>
      <w:pPr>
        <w:ind w:left="1080" w:right="20" w:hanging="532"/>
        <w:spacing w:after="0" w:line="294"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Usage of MongoDB Atlas. </w:t>
      </w:r>
      <w:r>
        <w:rPr>
          <w:rFonts w:ascii="Arial" w:cs="Arial" w:eastAsia="Arial" w:hAnsi="Arial"/>
          <w:sz w:val="16"/>
          <w:szCs w:val="16"/>
          <w:color w:val="auto"/>
        </w:rPr>
        <w:t>In June 2016, we introduced MongoDB Atlas, our DBaaS offering. This hosted cloud offering is an important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of our run-anywhere solution and allows us to generate revenue from Community Server, converting users who do not need all of the benefits of MongoDB Enterprise Advanced into customers. To accelerate adoption of this hosted cloud offering, we recently introduced tools to easily migrate existing users of our Community Server offering to become customers of MongoDB Atlas. We also recently introduced a free tier for MongoDB Atlas that includes limited processing power and storage to drive developer usage and adoption of MongoDB Atlas.</w:t>
      </w:r>
    </w:p>
    <w:p>
      <w:pPr>
        <w:spacing w:after="0" w:line="196"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Sales Within Our Customer Base. </w:t>
      </w:r>
      <w:r>
        <w:rPr>
          <w:rFonts w:ascii="Arial" w:cs="Arial" w:eastAsia="Arial" w:hAnsi="Arial"/>
          <w:sz w:val="16"/>
          <w:szCs w:val="16"/>
          <w:color w:val="auto"/>
        </w:rPr>
        <w:t>We seek to grow our sales with our customers in several ways. As an application grows and requires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capacity, our customers increase their subscriptions to our platform. In addition, our customers may expand their subscriptions to our platform as they migrate additional existing applications or build new applications, either within the same department or in other lines of business or geographies. Also, as customers modernize their IT infrastructure and move to the cloud, they may migrate applications from legacy databases. Even within our largest customers, we believe we currently represent a small percentage of their overall spend on databases, reflecting our small market penetration. Our goal is to increase the number of customers that standardize on our database platform within their organization, which can include offering centralized internal support for developers within the organization or the deployment of an internal MongoDB-as-a-service offering. Our net ARR expansion rate, which has been over 120% for each of the last nine fiscal quarters, demonstrates our ability to expand within existing customers.</w:t>
      </w:r>
    </w:p>
    <w:p>
      <w:pPr>
        <w:spacing w:after="0" w:line="187"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Extend Product Leadership and Introduce New Products. </w:t>
      </w:r>
      <w:r>
        <w:rPr>
          <w:rFonts w:ascii="Arial" w:cs="Arial" w:eastAsia="Arial" w:hAnsi="Arial"/>
          <w:sz w:val="16"/>
          <w:szCs w:val="16"/>
          <w:color w:val="auto"/>
        </w:rPr>
        <w:t>We intend to continue to invest in our product offerings with the goal of becoming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widely deployed database in the world. We direct our product innovation toward initiatives intended to drive customer adoption and expansion and increase developer productivity. For example, we have introduced an encrypted storage engine to secure data natively within our platform, allowing customers to utilize our platform for applications in highly regulated industries with specific and rigorous security requirements. In addition, we introduced enhancements to our platform to enable applications based on network, or graph, operations. Previously, these types of applications required a specialized, niche database. Since introducing our graph capabilities, enterprises can standardize these applications, alongside other applications, on our platform and their developers do not need to learn and manage an additional database platform.</w:t>
      </w:r>
    </w:p>
    <w:p>
      <w:pPr>
        <w:spacing w:after="0" w:line="185" w:lineRule="exact"/>
        <w:rPr>
          <w:rFonts w:ascii="Arial" w:cs="Arial" w:eastAsia="Arial" w:hAnsi="Arial"/>
          <w:sz w:val="16"/>
          <w:szCs w:val="16"/>
          <w:color w:val="auto"/>
        </w:rPr>
      </w:pPr>
    </w:p>
    <w:p>
      <w:pPr>
        <w:ind w:left="1080" w:right="140" w:hanging="532"/>
        <w:spacing w:after="0" w:line="29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Foster the MongoDB Developer Community. </w:t>
      </w:r>
      <w:r>
        <w:rPr>
          <w:rFonts w:ascii="Arial" w:cs="Arial" w:eastAsia="Arial" w:hAnsi="Arial"/>
          <w:sz w:val="16"/>
          <w:szCs w:val="16"/>
          <w:color w:val="auto"/>
        </w:rPr>
        <w:t>We have attracted a large and growing community of highly engaged developers, who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downloaded our Community Server offering over 30 million times from our website alone since February 2009. We believe that the engagement of developers increases our brand awareness. Many of these developers become proponents of MongoDB within their organizations, which may result in new enterprise customers selecting our platform as well as expansion opportunities within existing customers. Historically, we have invested in our community through active sponsorship of user groups, our annual user conference, MongoDB World, MongoDB University and other community-centered events. As of April 30, 2017, there were 116 meetup groups dedicated to MongoDB with over 55,000 members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worldwide, and people registered in over 730,000 MongoDB University courses to increase their familiarity and productivity with our platform.</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intend to continue to invest in the MongoDB developer community.</w:t>
      </w:r>
    </w:p>
    <w:p>
      <w:pPr>
        <w:spacing w:after="0" w:line="232" w:lineRule="exact"/>
        <w:rPr>
          <w:sz w:val="20"/>
          <w:szCs w:val="20"/>
          <w:color w:val="auto"/>
        </w:rPr>
      </w:pPr>
    </w:p>
    <w:p>
      <w:pPr>
        <w:ind w:left="1080" w:right="20" w:hanging="532"/>
        <w:spacing w:after="0" w:line="255"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and Cultivate Our Partner Ecosystem. </w:t>
      </w:r>
      <w:r>
        <w:rPr>
          <w:rFonts w:ascii="Arial" w:cs="Arial" w:eastAsia="Arial" w:hAnsi="Arial"/>
          <w:sz w:val="18"/>
          <w:szCs w:val="18"/>
          <w:color w:val="auto"/>
        </w:rPr>
        <w:t>We have built a partner ecosystem of over 1,000 independent software vendors, systems integrators,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added resellers and technology partners. Our partner ecosystem provides us with significant benefits, including lead generation, new customer acquisition, accelerated deployment and customer support. Our system integrator partners have also been valuable in working with organizations to migrate applications to our platform. We intend to continue to expand and enhance our partner relationships to grow our market presence and drive greater sales efficiency.</w:t>
      </w:r>
    </w:p>
    <w:p>
      <w:pPr>
        <w:spacing w:after="0" w:line="223"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Internationally. </w:t>
      </w:r>
      <w:r>
        <w:rPr>
          <w:rFonts w:ascii="Arial" w:cs="Arial" w:eastAsia="Arial" w:hAnsi="Arial"/>
          <w:sz w:val="16"/>
          <w:szCs w:val="16"/>
          <w:color w:val="auto"/>
        </w:rPr>
        <w:t>We believe there is significant opportunity to continue to expand the use of our platform outside the United States.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fiscal year ended January 31, 2017 and the three months ended April 30, 2017, total revenue generated outside of the United States was 35% and 34%, respectively, of our total revenue. We intend to continue to expand our sales and drive adoption of our platform globally.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Culture</w:t>
      </w:r>
    </w:p>
    <w:p>
      <w:pPr>
        <w:spacing w:after="0" w:line="231"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believe our culture is critical to our success and has delivered tangible financial and operational benefits for our customers, our employees and our stockholders. Our values guide our business, our product development, our practices and our brand. They are what we look for in every employee. As our company continues to evolve and grow, these six values remain constant:</w:t>
      </w:r>
    </w:p>
    <w:p>
      <w:pPr>
        <w:spacing w:after="0" w:line="208" w:lineRule="exact"/>
        <w:rPr>
          <w:sz w:val="20"/>
          <w:szCs w:val="20"/>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Think Big, Go Far. </w:t>
      </w:r>
      <w:r>
        <w:rPr>
          <w:rFonts w:ascii="Arial" w:cs="Arial" w:eastAsia="Arial" w:hAnsi="Arial"/>
          <w:sz w:val="18"/>
          <w:szCs w:val="18"/>
          <w:color w:val="auto"/>
        </w:rPr>
        <w:t>We are big dreamers with a passion for creativity. We eagerly pursue new opportunities and markets through innovation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disruption. We have a pioneering spirit—always ready to forge new paths and take smart risks.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It Matter. </w:t>
      </w:r>
      <w:r>
        <w:rPr>
          <w:rFonts w:ascii="Arial" w:cs="Arial" w:eastAsia="Arial" w:hAnsi="Arial"/>
          <w:sz w:val="18"/>
          <w:szCs w:val="18"/>
          <w:color w:val="auto"/>
        </w:rPr>
        <w:t>We are relentless in our pursuit of meaningful impact. We think strategically and are clear on what we are and are not trying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 We accomplish an amazing amount of important work, and we are obsessed with follow through.</w:t>
      </w:r>
    </w:p>
    <w:p>
      <w:pPr>
        <w:spacing w:after="0" w:line="212" w:lineRule="exact"/>
        <w:rPr>
          <w:rFonts w:ascii="Arial" w:cs="Arial" w:eastAsia="Arial" w:hAnsi="Arial"/>
          <w:sz w:val="18"/>
          <w:szCs w:val="18"/>
          <w:color w:val="auto"/>
        </w:rPr>
      </w:pPr>
    </w:p>
    <w:p>
      <w:pPr>
        <w:ind w:left="1080" w:right="140" w:hanging="532"/>
        <w:spacing w:after="0" w:line="323"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Embrace the Power of Differences. </w:t>
      </w:r>
      <w:r>
        <w:rPr>
          <w:rFonts w:ascii="Arial" w:cs="Arial" w:eastAsia="Arial" w:hAnsi="Arial"/>
          <w:sz w:val="15"/>
          <w:szCs w:val="15"/>
          <w:color w:val="auto"/>
        </w:rPr>
        <w:t>We commit to creating a culture of inclusion by seeking and valuing employees from different backgrounds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circumstances. This is cultivated by learning from and respecting each other's differences. We firmly believe that everyone deserves to feel valued and safe in the workplace, and we acknowledge that underrepresented groups may not always feel this way. We recognize that a diverse workforce is the best way to broaden our perspectives, foster innovation and enable a sustainable competitive advantage.</w:t>
      </w:r>
    </w:p>
    <w:p>
      <w:pPr>
        <w:spacing w:after="0" w:line="165" w:lineRule="exact"/>
        <w:rPr>
          <w:rFonts w:ascii="Arial" w:cs="Arial" w:eastAsia="Arial" w:hAnsi="Arial"/>
          <w:sz w:val="15"/>
          <w:szCs w:val="15"/>
          <w:color w:val="auto"/>
        </w:rPr>
      </w:pPr>
    </w:p>
    <w:p>
      <w:pPr>
        <w:ind w:left="10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 Together. </w:t>
      </w:r>
      <w:r>
        <w:rPr>
          <w:rFonts w:ascii="Arial" w:cs="Arial" w:eastAsia="Arial" w:hAnsi="Arial"/>
          <w:sz w:val="18"/>
          <w:szCs w:val="18"/>
          <w:color w:val="auto"/>
        </w:rPr>
        <w:t>We achieve amazing things by connecting and leveraging the diversity of skills, experiences and backgrounds of our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 We discuss things thoroughly, but prioritize commitment over consensus. We are good listeners and always communicate with clarity and respect. We create and support a positive, inclusive and accepting environment.</w:t>
      </w:r>
    </w:p>
    <w:p>
      <w:pPr>
        <w:spacing w:after="0" w:line="207"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 Intellectually Honest. </w:t>
      </w:r>
      <w:r>
        <w:rPr>
          <w:rFonts w:ascii="Arial" w:cs="Arial" w:eastAsia="Arial" w:hAnsi="Arial"/>
          <w:sz w:val="18"/>
          <w:szCs w:val="18"/>
          <w:color w:val="auto"/>
        </w:rPr>
        <w:t>We embrace reality. We apply high-quality thinking and rigor. We have courage in our convictions but work hard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ensure biases or personal beliefs do not get in the way of finding the best solutions.</w:t>
      </w:r>
    </w:p>
    <w:p>
      <w:pPr>
        <w:spacing w:after="0" w:line="212"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Own What You Do. </w:t>
      </w:r>
      <w:r>
        <w:rPr>
          <w:rFonts w:ascii="Arial" w:cs="Arial" w:eastAsia="Arial" w:hAnsi="Arial"/>
          <w:sz w:val="18"/>
          <w:szCs w:val="18"/>
          <w:color w:val="auto"/>
        </w:rPr>
        <w:t>We take ownership and are accountable for everything that we do. We empower and we are empowered to make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happen, and balance independence with interdependence. We demand excellence from ourselves. We each play our own part in making MongoDB a great place to work.</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31" w:lineRule="exact"/>
        <w:rPr>
          <w:sz w:val="20"/>
          <w:szCs w:val="20"/>
          <w:color w:val="auto"/>
        </w:rPr>
      </w:pPr>
    </w:p>
    <w:p>
      <w:pPr>
        <w:ind w:right="180" w:firstLine="348"/>
        <w:spacing w:after="0" w:line="253" w:lineRule="auto"/>
        <w:rPr>
          <w:sz w:val="20"/>
          <w:szCs w:val="20"/>
          <w:color w:val="auto"/>
        </w:rPr>
      </w:pPr>
      <w:r>
        <w:rPr>
          <w:rFonts w:ascii="Arial" w:cs="Arial" w:eastAsia="Arial" w:hAnsi="Arial"/>
          <w:sz w:val="18"/>
          <w:szCs w:val="18"/>
          <w:color w:val="auto"/>
        </w:rPr>
        <w:t>We built MongoDB to be a modern, general purpose database platform. We believe that organizations should be able to run our platform anywhere: from a developer's laptop, to an enterprise data center, or in the public cloud. Our core offerings are MongoDB Enterprise Advanced, MongoDB Atlas and Community Server. MongoDB Enterprise Advanced is our comprehensive offering for enterprise customers that can be run in the cloud, on-premise or in a hybrid environment, and includes our proprietary database server, enterprise management capabilities, our graphical user interface, analytics integrations, technical support and a commercial license to our platform. To encourage developer usage, familiarity and adoption of our platform, we offer Community Server as an open source offering, analogous to a "freemium" offering. Community Server is a free-to-download version of our database that does not include all of the features of our commercial platform. MongoDB Atlas is our cloud hosted DBaaS offering that includes comprehensive infrastructure and management of Community Server.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Enterprise Advanced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subscription package, MongoDB Enterprise Advanced, includes a commercial license to our platform and the following:</w:t>
      </w:r>
    </w:p>
    <w:p>
      <w:pPr>
        <w:spacing w:after="0" w:line="239" w:lineRule="exact"/>
        <w:rPr>
          <w:sz w:val="20"/>
          <w:szCs w:val="20"/>
          <w:color w:val="auto"/>
        </w:rPr>
      </w:pPr>
    </w:p>
    <w:p>
      <w:pPr>
        <w:ind w:left="1080" w:hanging="532"/>
        <w:spacing w:after="0" w:line="256"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MongoDB Enterprise Database Server. </w:t>
      </w:r>
      <w:r>
        <w:rPr>
          <w:rFonts w:ascii="Arial" w:cs="Arial" w:eastAsia="Arial" w:hAnsi="Arial"/>
          <w:sz w:val="18"/>
          <w:szCs w:val="18"/>
          <w:color w:val="auto"/>
        </w:rPr>
        <w:t>The MongoDB enterprise database server, called Enterprise Server, is our proprietary database. It stores,</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organizes and processes data and facilitates access and changes to the data. Enterprise Server includes advanced security features, auditing functionality and enterprise-standard authentication and authorization. Enterprise Server also includes encrypted and in-memory storage engines to enable a wide range of workloads.</w:t>
      </w:r>
    </w:p>
    <w:p>
      <w:pPr>
        <w:spacing w:after="0" w:line="224"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Enterprise Management Capabilities. </w:t>
      </w:r>
      <w:r>
        <w:rPr>
          <w:rFonts w:ascii="Arial" w:cs="Arial" w:eastAsia="Arial" w:hAnsi="Arial"/>
          <w:sz w:val="18"/>
          <w:szCs w:val="18"/>
          <w:color w:val="auto"/>
        </w:rPr>
        <w:t>MongoDB Enterprise Advanced provides Cloud Manager Premium and Ops Manager, our sophisticated</w:t>
      </w:r>
      <w:r>
        <w:rPr>
          <w:rFonts w:ascii="Arial" w:cs="Arial" w:eastAsia="Arial" w:hAnsi="Arial"/>
          <w:sz w:val="18"/>
          <w:szCs w:val="18"/>
          <w:i w:val="1"/>
          <w:iCs w:val="1"/>
          <w:color w:val="auto"/>
        </w:rPr>
        <w:t xml:space="preserve"> </w:t>
      </w:r>
      <w:r>
        <w:rPr>
          <w:rFonts w:ascii="Arial" w:cs="Arial" w:eastAsia="Arial" w:hAnsi="Arial"/>
          <w:sz w:val="18"/>
          <w:szCs w:val="18"/>
          <w:color w:val="auto"/>
        </w:rPr>
        <w:t>suite of management tools that allows operations teams to run, manage and configure MongoDB according to their needs. This includes the ability to monitor and alert on over 100 system metrics, to back up data and restore it to any point in time for disaster recovery, and to automate common operational tasks such as upgrades, scaling and configuration changes. MongoDB Enterprise Advance customers can choose either our Cloud Manager Premium product (for customers who want to manage our platform via the cloud) or Ops Manager (generally for those with on-premise deployments).</w:t>
      </w:r>
    </w:p>
    <w:p>
      <w:pPr>
        <w:spacing w:after="0" w:line="211" w:lineRule="exact"/>
        <w:rPr>
          <w:rFonts w:ascii="Arial" w:cs="Arial" w:eastAsia="Arial" w:hAnsi="Arial"/>
          <w:sz w:val="18"/>
          <w:szCs w:val="18"/>
          <w:color w:val="auto"/>
        </w:rPr>
      </w:pPr>
    </w:p>
    <w:p>
      <w:pPr>
        <w:ind w:left="1080" w:right="20" w:hanging="532"/>
        <w:spacing w:after="0" w:line="255"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Graphical User Interface. </w:t>
      </w:r>
      <w:r>
        <w:rPr>
          <w:rFonts w:ascii="Arial" w:cs="Arial" w:eastAsia="Arial" w:hAnsi="Arial"/>
          <w:sz w:val="18"/>
          <w:szCs w:val="18"/>
          <w:color w:val="auto"/>
        </w:rPr>
        <w:t>We have developed a graphical user interface product, called Compass, to help developers and database administrators</w:t>
      </w:r>
      <w:r>
        <w:rPr>
          <w:rFonts w:ascii="Arial" w:cs="Arial" w:eastAsia="Arial" w:hAnsi="Arial"/>
          <w:sz w:val="18"/>
          <w:szCs w:val="18"/>
          <w:i w:val="1"/>
          <w:iCs w:val="1"/>
          <w:color w:val="auto"/>
        </w:rPr>
        <w:t xml:space="preserve"> </w:t>
      </w:r>
      <w:r>
        <w:rPr>
          <w:rFonts w:ascii="Arial" w:cs="Arial" w:eastAsia="Arial" w:hAnsi="Arial"/>
          <w:sz w:val="18"/>
          <w:szCs w:val="18"/>
          <w:color w:val="auto"/>
        </w:rPr>
        <w:t>work with the database visually and to provide a familiar experience for those accustomed to relational databases. Users of Compass can interact with data more easily, and it allows them to visualize the schema of data and to construct ad hoc queries, which can be useful for performance tuning and debugging. For example, Compass users can view and optimize query performance, helping them make better decisions about indexing and document validation.</w:t>
      </w:r>
    </w:p>
    <w:p>
      <w:pPr>
        <w:spacing w:after="0" w:line="210" w:lineRule="exact"/>
        <w:rPr>
          <w:rFonts w:ascii="Arial" w:cs="Arial" w:eastAsia="Arial" w:hAnsi="Arial"/>
          <w:sz w:val="18"/>
          <w:szCs w:val="18"/>
          <w:color w:val="auto"/>
        </w:rPr>
      </w:pPr>
    </w:p>
    <w:p>
      <w:pPr>
        <w:ind w:left="1080" w:right="140" w:hanging="532"/>
        <w:spacing w:after="0" w:line="298"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Analytics Integrations. </w:t>
      </w:r>
      <w:r>
        <w:rPr>
          <w:rFonts w:ascii="Arial" w:cs="Arial" w:eastAsia="Arial" w:hAnsi="Arial"/>
          <w:sz w:val="16"/>
          <w:szCs w:val="16"/>
          <w:color w:val="auto"/>
        </w:rPr>
        <w:t>We provide integrations to allow data and business analysts to analyze data in applications running on our platform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their existing business intelligence and analytics tools. For integration with business intelligence products like Tableau, analysts can use our MongoDB Connector for BI product. We also provide open source connectors for Spark and Hadoop, which are often used for data warehouse analysis. Our analytics integrations ensure that enterprises can efficiently extract significant value from applications built on our platform.</w:t>
      </w:r>
    </w:p>
    <w:p>
      <w:pPr>
        <w:spacing w:after="0" w:line="193"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Technical Support. </w:t>
      </w:r>
      <w:r>
        <w:rPr>
          <w:rFonts w:ascii="Arial" w:cs="Arial" w:eastAsia="Arial" w:hAnsi="Arial"/>
          <w:sz w:val="18"/>
          <w:szCs w:val="18"/>
          <w:color w:val="auto"/>
        </w:rPr>
        <w:t>As part of our MongoDB Enterprise Advanced subscription, we also provide technical support to customers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period. Our technical support is designed to maximize customer success. We provide customers with around-the-clock (24x365) technical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700"/>
        <w:spacing w:after="0" w:line="268" w:lineRule="auto"/>
        <w:rPr>
          <w:sz w:val="20"/>
          <w:szCs w:val="20"/>
          <w:color w:val="auto"/>
        </w:rPr>
      </w:pPr>
      <w:r>
        <w:rPr>
          <w:rFonts w:ascii="Arial" w:cs="Arial" w:eastAsia="Arial" w:hAnsi="Arial"/>
          <w:sz w:val="18"/>
          <w:szCs w:val="18"/>
          <w:color w:val="auto"/>
        </w:rPr>
        <w:t>support with an enterprise-grade service level agreement. Customers use our technical support to ask database performance questions or troubleshoot issues.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components of our platform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2212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66130" cy="2212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MongoDB Enterprise Advanced represented 64% of our total revenue in fiscal year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MongoDB Atlas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June 2016, we introduced MongoDB Atlas, our hosted DBaaS offering which we run and manage in the public cloud. MongoDB Atlas is based on Community Server and provides customers with an elastic, managed offering that includes automated provisioning and healing, comprehensive system monitoring, managed backup and restore, default security and other features that reduce operational complexity and increase application resiliency. MongoDB Atlas allows customers to remove themselves from the complexity of managing the database and related underlying infrastructure, so they can instead focus on the application and end-user experience. MongoDB Atlas is available on Amazon Web Services, Inc., or AWS, Google Cloud Platform, or GCP, and Microsoft Azure, allowing customers to select their public cloud provider and avoid vendor lock-in. To drive usage and adoption by developers, we recently introduced a free tier for MongoDB Atlas that includes limited processing power and storage.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Community Server</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Community Server is a free-to-download version of our database that includes the core functionality that developers need to get started with MongoDB but not all of the features of our commercial platform. Community Server is available under a license that protects our intellectual property and supports our subscription business model. We plan to continue to convert Community Server users to paying customers of our more robust, commercial offerings. Our Community Server had been downloaded over 30 million times from our website alone since February 2009.</w:t>
      </w:r>
    </w:p>
    <w:p>
      <w:pPr>
        <w:spacing w:after="0" w:line="167"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generate revenue from our Community Server through MongoDB Atlas and our MongoDB Professional package. Our MongoDB Professional package includes access to our graphical user interface product, Compass, our Cloud Manager Premium management suite and technical support, but it does not include a commercial license to our platform.</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offer commercial technical support for customers of our paid, commercial offerings. We offer commercial support in our two subscription packages, MongoDB Enterprise Advanced and MongoDB Professional. In addition, for customers that request greater technical support, we contract with them to provide additional support personnel. Although we offer documentation to drive adoption of best practices, we offer limited support for users of Community Server.</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31" w:lineRule="exact"/>
        <w:rPr>
          <w:sz w:val="20"/>
          <w:szCs w:val="20"/>
          <w:color w:val="auto"/>
        </w:rPr>
      </w:pPr>
    </w:p>
    <w:p>
      <w:pPr>
        <w:ind w:right="200" w:firstLine="348"/>
        <w:spacing w:after="0" w:line="291" w:lineRule="auto"/>
        <w:rPr>
          <w:sz w:val="20"/>
          <w:szCs w:val="20"/>
          <w:color w:val="auto"/>
        </w:rPr>
      </w:pPr>
      <w:r>
        <w:rPr>
          <w:rFonts w:ascii="Arial" w:cs="Arial" w:eastAsia="Arial" w:hAnsi="Arial"/>
          <w:sz w:val="16"/>
          <w:szCs w:val="16"/>
          <w:color w:val="auto"/>
        </w:rPr>
        <w:t>We provide professional services to our customers, including consulting and training, with the goal of making customer deployments of our platform successful, thereby increasing customer retention and driving customer revenue expansion. Given that we have designed our platform to be easy to deploy, our services typically do not involve implementation and are designed to facilitate a more rapid and successful deployment of MongoDB by our customers. While representing approximately 10% of our revenue in each of the last two fiscal years, professional services is an important part of our customer retention and expansion strategy. Customers who purchase professional services have typically increased their subscription with us to higher levels and done so more quickly than customers who have not engaged our professional services.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jc w:val="both"/>
        <w:ind w:right="160" w:firstLine="341"/>
        <w:spacing w:after="0" w:line="306" w:lineRule="auto"/>
        <w:rPr>
          <w:sz w:val="20"/>
          <w:szCs w:val="20"/>
          <w:color w:val="auto"/>
        </w:rPr>
      </w:pPr>
      <w:r>
        <w:rPr>
          <w:rFonts w:ascii="Arial" w:cs="Arial" w:eastAsia="Arial" w:hAnsi="Arial"/>
          <w:sz w:val="16"/>
          <w:szCs w:val="16"/>
          <w:color w:val="auto"/>
        </w:rPr>
        <w:t>As of April 30, 2017, we had over 3,650 customers in more than 80 countries around the world, including 265 customers with $100,000 or greater in ARR. All affiliated entities are counted as a single customer. No single customer represented more than 5% of our revenue in fiscal year 2017. Our platform has been adopted across many vertical markets, including financial services, technology, media, telecommunications, government, retail and healthcare.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Database Platform Technology</w:t>
      </w:r>
    </w:p>
    <w:p>
      <w:pPr>
        <w:spacing w:after="0" w:line="231"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designed our platform to address the performance, scalability, flexibility and reliability demands of modern applications while maintaining the core capabilities of relational databases. We also architected our platform to be easy and intuitive for developers, thereby increasing their productivity and allowing them to spend more time focusing on application development and the end-user experience. We built our platform to run in the cloud, on-premise or in a hybrid environment. Our software is easily configurable, allowing customers to adjust settings and parameters to optimize performance for a specific application and use case.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Our platform is based on our proprietary intellectual property, and our customers benefit from the following key technical design choices we have made:</w:t>
      </w:r>
    </w:p>
    <w:p>
      <w:pPr>
        <w:spacing w:after="0" w:line="262" w:lineRule="exact"/>
        <w:rPr>
          <w:sz w:val="20"/>
          <w:szCs w:val="20"/>
          <w:color w:val="auto"/>
        </w:rPr>
      </w:pPr>
    </w:p>
    <w:p>
      <w:pPr>
        <w:ind w:left="1080" w:right="6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Nexus Architecture. </w:t>
      </w:r>
      <w:r>
        <w:rPr>
          <w:rFonts w:ascii="Arial" w:cs="Arial" w:eastAsia="Arial" w:hAnsi="Arial"/>
          <w:sz w:val="18"/>
          <w:szCs w:val="18"/>
          <w:color w:val="auto"/>
        </w:rPr>
        <w:t>Our platform architecture, which we call our Nexus Architecture, combines the best of relational and non-relational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databases and enables us to support a broad range of use cases.</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1620" w:right="20" w:hanging="532"/>
        <w:spacing w:after="0" w:line="256" w:lineRule="auto"/>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Users of our platform realize the core capabilities of relational databases: sophisticated and easy access to data, guarantees of data integrity and enterprise management tools and integrations. We provide sophisticated and efficient access to data using our expressive query language and secondary indices. We ensure data integrity by providing data governance capabilities and strong data consistency, which ensures access to the most up-to-date data.</w:t>
      </w:r>
    </w:p>
    <w:p>
      <w:pPr>
        <w:spacing w:after="0" w:line="210"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Our platform delivers the key benefits of modern database platforms: performance, scalability, flexibility and always-on reliability required by global deployments. Leveraging the benefits of our document data model, we provide developers with the flexibility to incorporate the variety of data required for modern applications and to improve and maintain applications as those requirements evolve.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148590</wp:posOffset>
            </wp:positionV>
            <wp:extent cx="5866130" cy="32245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66130" cy="322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80" w:right="20" w:hanging="532"/>
        <w:spacing w:after="0" w:line="29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Easy-to-Use Drivers and Integrations. </w:t>
      </w:r>
      <w:r>
        <w:rPr>
          <w:rFonts w:ascii="Arial" w:cs="Arial" w:eastAsia="Arial" w:hAnsi="Arial"/>
          <w:sz w:val="16"/>
          <w:szCs w:val="16"/>
          <w:color w:val="auto"/>
        </w:rPr>
        <w:t>A driver is an access layer that sits between the database and an application. We provide drivers in over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different programming languages (e.g., Java, Python), which allow developers to interact with our platform using the programming language of their choice. The drivers are customized for each language, providing a natural and intuitive experience for developers, thereby increasing developer productivity. We also provide connectors for Spark and Hadoop, which are often used for data warehouse analysis.</w:t>
      </w:r>
    </w:p>
    <w:p>
      <w:pPr>
        <w:spacing w:after="0" w:line="193" w:lineRule="exact"/>
        <w:rPr>
          <w:rFonts w:ascii="Arial" w:cs="Arial" w:eastAsia="Arial" w:hAnsi="Arial"/>
          <w:sz w:val="16"/>
          <w:szCs w:val="16"/>
          <w:color w:val="auto"/>
        </w:rPr>
      </w:pPr>
    </w:p>
    <w:p>
      <w:pPr>
        <w:ind w:left="1080" w:hanging="532"/>
        <w:spacing w:after="0" w:line="290"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Pluggable Storage Engine Architecture. </w:t>
      </w:r>
      <w:r>
        <w:rPr>
          <w:rFonts w:ascii="Arial" w:cs="Arial" w:eastAsia="Arial" w:hAnsi="Arial"/>
          <w:sz w:val="16"/>
          <w:szCs w:val="16"/>
          <w:color w:val="auto"/>
        </w:rPr>
        <w:t>A storage engine is the component of the database that is responsible for managing how data is stored,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in memory and on disk. Selecting the right storage engine can significantly impact the performance of an application. We have implemented a pluggable storage engine architecture, allowing developers to choose the appropriate storage engine for their application. Developers can choose from our selection of storage engines or develop one of their own, although the vast majority of our customers use one of our storage engines. This pluggable storage engine architecture and our selection of available storage engines allows us to support a wide range of use cases. In addition, our pluggable storage engine architecture provides us with flexibility to adapt our platform to capture opportunities created from new technology trends or use cases.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sales and marketing teams work together closely to drive awareness and adoption of our platform, accelerate customer acquisition and generate and increase revenue from customers. While we sell to organizations of all sizes across a broad range of industries, our key focus is on enterprises that invest more heavily in software application development and deployment. These organizations have a greater need for databases and, in the largest enterprises, can have tens of thousands of applications and associated databases. We plan to continue to invest in our direct sales force to grow our larger enterprise subscription base, both domestically and internationally.</w:t>
      </w:r>
    </w:p>
    <w:p>
      <w:pPr>
        <w:spacing w:after="0" w:line="197"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go-to-market model is primarily focused on driving awareness and usage of our platform among software developers with the goal of converting that usage into paid consumption of our platform. We are a pioneer of developer evangelism and education and have cultivated a large, highly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engaged global developer community. We foster developer engagement through community events and conferences to demonstrate how developers can create or modernize applications quickly and intuitively using our platform. We intend to continue to cultivate our relationships with developers through continued investment in and growth of our MongoDB Advocacy Hub, User Groups and MongoDB University. We also have a partner ecosystem of global system integrators, value-added resellers and independent software vendors, which we collectively refer to as strategic partners.</w:t>
      </w:r>
    </w:p>
    <w:p>
      <w:pPr>
        <w:spacing w:after="0" w:line="167"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have embraced the trend toward open source software in order to drive developer awareness of, engagement with and adoption of our platform. We created our Community Server offering to let developers use, experiment and evaluate our platform frictionlessly, which we believe has contributed to our platform's popularity. We believe that developers are often advocates for us because of our developer-focused approach. As a result, our direct sales prospects are often familiar with our platform and may have already built applications using our technology. In order to assess the most likely commercial prospects, we employ a process-oriented and data-driven approach to sales. We also utilize advanced marketing technologies and processes to drive awareness and engagement and educate and convert prospects into customers. As customers expand their usage of our platform, our relationships with them often evolve to include technology and business leaders within their organizations and our goal is get organizations to standardize on our platform. Once our customers reach a certain spending level with us, we support them with customer success advocates to ensure their satisfaction and expand their usage of our platform.</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sales and marketing organization includes sales development, inside sales, field sales, sales engineering and marketing personnel. As of April 30, 2017, we had 296 employees in our sales and marketing organization.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research and development efforts are focused on enhancing our existing products and developing new products to extend our product leadership, increase our market penetration and deepen our relationships with our customers. Our research and development organization is built around small development teams. Our small development teams foster greater agility, which enables us to develop new, innovative products and make rapid changes to our infrastructure that increase resiliency and operational efficiency.</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research and development teams are organized into three primary groups: the server team, the cloud team and the drivers and integrations team.</w:t>
      </w:r>
    </w:p>
    <w:p>
      <w:pPr>
        <w:spacing w:after="0" w:line="248"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April 30, 2017, we had 191 employees in our research and development organization. We intend to continue to invest in our research and development capabilities to extend our platform. Research and development expense totaled $33.3 million, $43.5 million, $51.8 million and $13.1 million in fiscal years 2015, 2016 and 2017 and the three months ended April 30, 2017,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worldwide database software market is rapidly evolving and highly competitive. We believe that the principal competitive factors in our market are:</w:t>
      </w:r>
    </w:p>
    <w:p>
      <w:pPr>
        <w:spacing w:after="0" w:line="262"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mindshare with software developers and IT executives;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capabilities, including flexibility, scalability, performance, security and reliability;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flexible deployment model, including in the cloud, on-premise or in a hybrid environment;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ease of deployment;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breadth of use cases supported;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ease of integration with existing IT infrastructure;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robustness of professional services and customer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size of customer base and level of user adoption;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we compete favorably on the basis of the factors listed above.</w:t>
      </w:r>
    </w:p>
    <w:p>
      <w:pPr>
        <w:spacing w:after="0" w:line="225" w:lineRule="exact"/>
        <w:rPr>
          <w:sz w:val="20"/>
          <w:szCs w:val="20"/>
          <w:color w:val="auto"/>
        </w:rPr>
      </w:pPr>
    </w:p>
    <w:p>
      <w:pPr>
        <w:ind w:firstLine="348"/>
        <w:spacing w:after="0" w:line="370" w:lineRule="auto"/>
        <w:rPr>
          <w:sz w:val="20"/>
          <w:szCs w:val="20"/>
          <w:color w:val="auto"/>
        </w:rPr>
      </w:pPr>
      <w:r>
        <w:rPr>
          <w:rFonts w:ascii="Arial" w:cs="Arial" w:eastAsia="Arial" w:hAnsi="Arial"/>
          <w:sz w:val="15"/>
          <w:szCs w:val="15"/>
          <w:color w:val="auto"/>
        </w:rPr>
        <w:t>We primarily compete with established relational database software providers such as IBM, Microsoft, Oracle and other similar companies. We also compete with non-relational database software providers and certain cloud providers such as AWS, GCP and Microsoft Azure that offer basic database functionality.</w:t>
      </w:r>
    </w:p>
    <w:p>
      <w:pPr>
        <w:spacing w:after="0" w:line="11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Some of our actual and potential competitors, in particular the legacy relational database providers, have advantages over us, such as longer operating histories, more established relationships with current or potential customers and commercial partners, significantly greater financial, technical, marketing or other resources, stronger brand recognition, larger intellectual property portfolios and broader global distribution and presence. Such competitors may make their products available at a low cost or no cost basis in order to enhance their overall relationships with current or potential customers. Our competitors may also be able to respond more quickly and effectively than we can to new or changing opportunities, technologies, standards or customer requirements. In addition, some of our larger competitors have substantially broader offerings and can bundle competing products with hardware or other software offerings, including their cloud computing and customer relationship management platforms. In addition, some large software and internet companies may seek to enter our market. With the introduction of new technologies and new market entrants, we expect competition to intensify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We rely on a combination of patent, copyright, trademark and trade secret laws in the United States and other jurisdictions, as well as license agreements and other contractual protections, to protect our proprietary technology. We also rely on a number of registered and unregistered trademarks to protect our brand.</w:t>
      </w:r>
    </w:p>
    <w:p>
      <w:pPr>
        <w:spacing w:after="0" w:line="116" w:lineRule="exact"/>
        <w:rPr>
          <w:sz w:val="20"/>
          <w:szCs w:val="20"/>
          <w:color w:val="auto"/>
        </w:rPr>
      </w:pPr>
    </w:p>
    <w:p>
      <w:pPr>
        <w:jc w:val="both"/>
        <w:ind w:right="200" w:firstLine="341"/>
        <w:spacing w:after="0" w:line="259" w:lineRule="auto"/>
        <w:rPr>
          <w:sz w:val="20"/>
          <w:szCs w:val="20"/>
          <w:color w:val="auto"/>
        </w:rPr>
      </w:pPr>
      <w:r>
        <w:rPr>
          <w:rFonts w:ascii="Arial" w:cs="Arial" w:eastAsia="Arial" w:hAnsi="Arial"/>
          <w:sz w:val="18"/>
          <w:szCs w:val="18"/>
          <w:color w:val="auto"/>
        </w:rPr>
        <w:t>As of June 30, 2017, in the United States, we had been issued seven patents, which expire between 2030 and 2033, and had 34 patent applications pending for examination, 4 allowed patent applications and 4 pending provisional applications. In addition, as of June 30, 2017, we had 11 registered trademarks in the United States and two pending trademark applications in the United States.</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Unlike software companies built around open source projects, we own the intellectual property of our offerings, allowing us to retain control over our future product roadmap, including the determination of which features are included in our free or paid offerings. We offer Community Server under the AGPL. The AGPL permits users to run the database without charge but subject to certain terms and conditions. The AGPL requires users to make publicly available the source code for any modified version of the database that they distribute, run as a service or otherwise make available to end users. By contrast, we offer our Enterprise Server database under a commercial license that does not have this requirement and this is one of the reasons some organizations elect to buy a subscription including a commercial license to our platform. In addition, by offering Community Server under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AGPL, we limit the appeal to other parties, including public cloud vendors, of monetizing our software without licensing it from us, further supporting our software subscription business model.</w:t>
      </w:r>
    </w:p>
    <w:p>
      <w:pPr>
        <w:spacing w:after="0" w:line="186" w:lineRule="exact"/>
        <w:rPr>
          <w:sz w:val="20"/>
          <w:szCs w:val="20"/>
          <w:color w:val="auto"/>
        </w:rPr>
      </w:pPr>
    </w:p>
    <w:p>
      <w:pPr>
        <w:jc w:val="both"/>
        <w:ind w:right="60" w:firstLine="351"/>
        <w:spacing w:after="0" w:line="256" w:lineRule="auto"/>
        <w:rPr>
          <w:sz w:val="20"/>
          <w:szCs w:val="20"/>
          <w:color w:val="auto"/>
        </w:rPr>
      </w:pPr>
      <w:r>
        <w:rPr>
          <w:rFonts w:ascii="Arial" w:cs="Arial" w:eastAsia="Arial" w:hAnsi="Arial"/>
          <w:sz w:val="18"/>
          <w:szCs w:val="18"/>
          <w:color w:val="auto"/>
        </w:rPr>
        <w:t>In addition, we seek to protect our intellectual property rights by implementing a policy that requires our employees and independent contractors involved in development of intellectual property on our behalf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231"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As of April 30, 2017, we had a total of 754 employees, including 246 employees located outside the United States. None of our employees are represented by a labor union or covered by a collective bargaining agreement. We have not experienced any work stoppages, and we consider our relations with our employees to be good.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principal executive office is located in New York, New York and consists of approximately 63,722 square feet of space under a lease that expires in December 2018. We also lease space in Dublin, Ireland, our international headquarters, under a lease that expires in December 2026. We lease 27 other offices around the world for our employees, including in Palo Alto, Austin, London, Sydney and Gurgaon, India.</w:t>
      </w:r>
    </w:p>
    <w:p>
      <w:pPr>
        <w:spacing w:after="0" w:line="16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We lease all of our facilities and do not own any real property. 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certain information with respect to our executive officers and directors, including their ages as of April 30, 2017:</w:t>
      </w:r>
    </w:p>
    <w:p>
      <w:pPr>
        <w:sectPr>
          <w:pgSz w:w="11900" w:h="16838" w:orient="portrait"/>
          <w:cols w:equalWidth="0" w:num="1">
            <w:col w:w="11400"/>
          </w:cols>
          <w:pgMar w:left="240" w:top="131" w:right="259" w:bottom="1440" w:gutter="0" w:footer="0" w:header="0"/>
        </w:sectPr>
      </w:pPr>
    </w:p>
    <w:p>
      <w:pPr>
        <w:spacing w:after="0" w:line="244" w:lineRule="exact"/>
        <w:rPr>
          <w:sz w:val="20"/>
          <w:szCs w:val="20"/>
          <w:color w:val="auto"/>
        </w:rPr>
      </w:pPr>
    </w:p>
    <w:p>
      <w:pPr>
        <w:ind w:left="1140"/>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Dev Ittycheria</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Eliot Horowitz</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Michael Gordon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Carlos Delatorre</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Meagen Eisenberg</w:t>
      </w:r>
    </w:p>
    <w:p>
      <w:pPr>
        <w:spacing w:after="0" w:line="219" w:lineRule="exact"/>
        <w:rPr>
          <w:sz w:val="20"/>
          <w:szCs w:val="20"/>
          <w:color w:val="auto"/>
        </w:rPr>
      </w:pPr>
    </w:p>
    <w:p>
      <w:pPr>
        <w:ind w:left="1140"/>
        <w:spacing w:after="0"/>
        <w:rPr>
          <w:sz w:val="20"/>
          <w:szCs w:val="20"/>
          <w:color w:val="auto"/>
        </w:rPr>
      </w:pPr>
      <w:r>
        <w:rPr>
          <w:rFonts w:ascii="Arial" w:cs="Arial" w:eastAsia="Arial" w:hAnsi="Arial"/>
          <w:sz w:val="18"/>
          <w:szCs w:val="18"/>
          <w:b w:val="1"/>
          <w:bCs w:val="1"/>
          <w:i w:val="1"/>
          <w:iCs w:val="1"/>
          <w:color w:val="auto"/>
        </w:rPr>
        <w:t>Non-Employee Directors</w:t>
      </w:r>
    </w:p>
    <w:p>
      <w:pPr>
        <w:ind w:left="1140"/>
        <w:spacing w:after="0" w:line="200" w:lineRule="auto"/>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(1)(2)</w:t>
      </w:r>
    </w:p>
    <w:p>
      <w:pPr>
        <w:ind w:left="1140"/>
        <w:spacing w:after="0" w:line="185" w:lineRule="auto"/>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(3)</w:t>
      </w:r>
    </w:p>
    <w:p>
      <w:pPr>
        <w:ind w:left="1140"/>
        <w:spacing w:after="0" w:line="184" w:lineRule="auto"/>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(3)</w:t>
      </w:r>
    </w:p>
    <w:p>
      <w:pPr>
        <w:ind w:left="1140"/>
        <w:spacing w:after="0" w:line="185" w:lineRule="auto"/>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(1)(2)</w:t>
      </w:r>
    </w:p>
    <w:p>
      <w:pPr>
        <w:ind w:left="1140"/>
        <w:spacing w:after="0"/>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16510</wp:posOffset>
            </wp:positionV>
            <wp:extent cx="151765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0"/>
          <w:szCs w:val="20"/>
          <w:color w:val="auto"/>
        </w:rPr>
      </w:pPr>
    </w:p>
    <w:p>
      <w:pPr>
        <w:ind w:left="1680" w:hanging="531"/>
        <w:spacing w:after="0"/>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Member of our compensation committee.</w:t>
      </w:r>
    </w:p>
    <w:p>
      <w:pPr>
        <w:spacing w:after="0" w:line="122" w:lineRule="exact"/>
        <w:rPr>
          <w:rFonts w:ascii="Arial" w:cs="Arial" w:eastAsia="Arial" w:hAnsi="Arial"/>
          <w:sz w:val="11"/>
          <w:szCs w:val="11"/>
          <w:color w:val="auto"/>
        </w:rPr>
      </w:pPr>
    </w:p>
    <w:p>
      <w:pPr>
        <w:ind w:left="1680" w:hanging="531"/>
        <w:spacing w:after="0"/>
        <w:tabs>
          <w:tab w:leader="none" w:pos="1680" w:val="left"/>
        </w:tabs>
        <w:numPr>
          <w:ilvl w:val="0"/>
          <w:numId w:val="49"/>
        </w:numPr>
        <w:rPr>
          <w:rFonts w:ascii="Arial" w:cs="Arial" w:eastAsia="Arial" w:hAnsi="Arial"/>
          <w:sz w:val="10"/>
          <w:szCs w:val="10"/>
          <w:color w:val="auto"/>
        </w:rPr>
      </w:pPr>
      <w:r>
        <w:rPr>
          <w:rFonts w:ascii="Arial" w:cs="Arial" w:eastAsia="Arial" w:hAnsi="Arial"/>
          <w:sz w:val="12"/>
          <w:szCs w:val="12"/>
          <w:color w:val="auto"/>
        </w:rPr>
        <w:t>Member of our nominating and corporate governance committee.</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49"/>
        </w:numPr>
        <w:rPr>
          <w:rFonts w:ascii="Arial" w:cs="Arial" w:eastAsia="Arial" w:hAnsi="Arial"/>
          <w:sz w:val="11"/>
          <w:szCs w:val="11"/>
          <w:color w:val="auto"/>
        </w:rPr>
      </w:pPr>
      <w:r>
        <w:rPr>
          <w:rFonts w:ascii="Arial" w:cs="Arial" w:eastAsia="Arial" w:hAnsi="Arial"/>
          <w:sz w:val="14"/>
          <w:szCs w:val="14"/>
          <w:color w:val="auto"/>
        </w:rPr>
        <w:t>Member of our audit committee.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23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0</wp:posOffset>
            </wp:positionV>
            <wp:extent cx="579755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202" w:lineRule="exact"/>
        <w:rPr>
          <w:sz w:val="20"/>
          <w:szCs w:val="20"/>
          <w:color w:val="auto"/>
        </w:rPr>
      </w:pPr>
    </w:p>
    <w:p>
      <w:pPr>
        <w:ind w:left="160"/>
        <w:spacing w:after="0"/>
        <w:tabs>
          <w:tab w:leader="none" w:pos="560" w:val="left"/>
        </w:tabs>
        <w:rPr>
          <w:sz w:val="20"/>
          <w:szCs w:val="20"/>
          <w:color w:val="auto"/>
        </w:rPr>
      </w:pPr>
      <w:r>
        <w:rPr>
          <w:rFonts w:ascii="Arial" w:cs="Arial" w:eastAsia="Arial" w:hAnsi="Arial"/>
          <w:sz w:val="16"/>
          <w:szCs w:val="16"/>
          <w:color w:val="auto"/>
        </w:rPr>
        <w:t>50</w:t>
        <w:tab/>
        <w:t>President, Chief Executive Officer and Director</w:t>
      </w:r>
    </w:p>
    <w:p>
      <w:pPr>
        <w:spacing w:after="0" w:line="38" w:lineRule="exact"/>
        <w:rPr>
          <w:sz w:val="20"/>
          <w:szCs w:val="20"/>
          <w:color w:val="auto"/>
        </w:rPr>
      </w:pPr>
    </w:p>
    <w:p>
      <w:pPr>
        <w:ind w:left="580" w:hanging="41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Chief Technology Officer, Co-Founder and Director</w:t>
      </w:r>
    </w:p>
    <w:p>
      <w:pPr>
        <w:spacing w:after="0" w:line="32" w:lineRule="exact"/>
        <w:rPr>
          <w:rFonts w:ascii="Arial" w:cs="Arial" w:eastAsia="Arial" w:hAnsi="Arial"/>
          <w:sz w:val="16"/>
          <w:szCs w:val="16"/>
          <w:color w:val="auto"/>
        </w:rPr>
      </w:pPr>
    </w:p>
    <w:p>
      <w:pPr>
        <w:ind w:left="580" w:hanging="412"/>
        <w:spacing w:after="0"/>
        <w:tabs>
          <w:tab w:leader="none" w:pos="5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Chief Financial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Chief Revenue Officer</w:t>
      </w:r>
    </w:p>
    <w:p>
      <w:pPr>
        <w:spacing w:after="0" w:line="9" w:lineRule="exact"/>
        <w:rPr>
          <w:rFonts w:ascii="Arial" w:cs="Arial" w:eastAsia="Arial" w:hAnsi="Arial"/>
          <w:sz w:val="18"/>
          <w:szCs w:val="18"/>
          <w:color w:val="auto"/>
        </w:rPr>
      </w:pPr>
    </w:p>
    <w:p>
      <w:pPr>
        <w:ind w:left="580" w:hanging="41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-541020</wp:posOffset>
            </wp:positionV>
            <wp:extent cx="579755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-266700</wp:posOffset>
            </wp:positionV>
            <wp:extent cx="579755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6985</wp:posOffset>
            </wp:positionV>
            <wp:extent cx="5797550" cy="274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97550" cy="274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80" w:hanging="41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Chairman of the Board and Co-Founder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580" w:hanging="412"/>
        <w:spacing w:after="0"/>
        <w:tabs>
          <w:tab w:leader="none" w:pos="5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-777240</wp:posOffset>
            </wp:positionV>
            <wp:extent cx="579755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-451485</wp:posOffset>
            </wp:positionV>
            <wp:extent cx="579755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97550" cy="163195"/>
                    </a:xfrm>
                    <a:prstGeom prst="rect">
                      <a:avLst/>
                    </a:prstGeom>
                    <a:noFill/>
                  </pic:spPr>
                </pic:pic>
              </a:graphicData>
            </a:graphic>
          </wp:anchor>
        </w:drawing>
        <w:drawing>
          <wp:anchor simplePos="0" relativeHeight="251657728" behindDoc="1" locked="0" layoutInCell="0" allowOverlap="1">
            <wp:simplePos x="0" y="0"/>
            <wp:positionH relativeFrom="column">
              <wp:posOffset>-2821305</wp:posOffset>
            </wp:positionH>
            <wp:positionV relativeFrom="paragraph">
              <wp:posOffset>-125730</wp:posOffset>
            </wp:positionV>
            <wp:extent cx="579755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299" w:lineRule="exact"/>
        <w:rPr>
          <w:sz w:val="20"/>
          <w:szCs w:val="20"/>
          <w:color w:val="auto"/>
        </w:rPr>
      </w:pPr>
    </w:p>
    <w:p>
      <w:pPr>
        <w:sectPr>
          <w:pgSz w:w="11900" w:h="16838" w:orient="portrait"/>
          <w:cols w:equalWidth="0" w:num="2">
            <w:col w:w="5220" w:space="380"/>
            <w:col w:w="5800"/>
          </w:cols>
          <w:pgMar w:left="240" w:top="131" w:right="259"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Dev Ittycheria </w:t>
      </w:r>
      <w:r>
        <w:rPr>
          <w:rFonts w:ascii="Arial" w:cs="Arial" w:eastAsia="Arial" w:hAnsi="Arial"/>
          <w:sz w:val="16"/>
          <w:szCs w:val="16"/>
          <w:color w:val="auto"/>
        </w:rPr>
        <w:t>has served as our President and Chief Executive Officer and as a member of our board of directors since September 2014.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he co-founded and for which he served as Chief Executive Officer. Mr. Ittycheria currently serves on the board of directors of athenahealth, Inc., a public cloud-based services company, and Datadog, Inc., a software company. From January 2010 to August 2014, Mr. Ittycheria served on the board of directors of Bazaarvoice, Inc., a public software company. Mr. Ittycheria received his B.S. in Electrical Engineering from Rutgers University. We believe that Mr. Ittycheria is qualified to serve on our board of directors because of his experience building and leading high growth businesses, his service on the boards of multiple public companies and his expertise and insight into corporate matters as our Chief Executive Officer.</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Eliot Horowitz </w:t>
      </w:r>
      <w:r>
        <w:rPr>
          <w:rFonts w:ascii="Arial" w:cs="Arial" w:eastAsia="Arial" w:hAnsi="Arial"/>
          <w:sz w:val="16"/>
          <w:szCs w:val="16"/>
          <w:color w:val="auto"/>
        </w:rPr>
        <w:t>is one of our co-founders and has served as our Chief Technology Officer since January 2008. Prior to founding MongoDB, Mr. Horowitz co-founded ShopWiki Corp., an online retail search engine, in January 2005, where he served as the Chief Technology Officer until its sale in November 2010.</w:t>
      </w:r>
    </w:p>
    <w:p>
      <w:pPr>
        <w:spacing w:after="0" w:line="361" w:lineRule="auto"/>
        <w:rPr>
          <w:sz w:val="20"/>
          <w:szCs w:val="20"/>
          <w:color w:val="auto"/>
        </w:rPr>
      </w:pPr>
      <w:r>
        <w:rPr>
          <w:rFonts w:ascii="Arial" w:cs="Arial" w:eastAsia="Arial" w:hAnsi="Arial"/>
          <w:sz w:val="15"/>
          <w:szCs w:val="15"/>
          <w:color w:val="auto"/>
        </w:rPr>
        <w:t>Mr. Horowitz serves on the advisory board of the NYC Tech Talent Pipeline. Mr. Horowitz received his B.S. in Computer Science from Brown University. We believe that Mr. Horowitz is qualified to serve on our board of directors due to his deep understanding of our business and his knowledge of the software industry.</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Michael Gordon </w:t>
      </w:r>
      <w:r>
        <w:rPr>
          <w:rFonts w:ascii="Arial" w:cs="Arial" w:eastAsia="Arial" w:hAnsi="Arial"/>
          <w:sz w:val="16"/>
          <w:szCs w:val="16"/>
          <w:color w:val="auto"/>
        </w:rPr>
        <w:t>has served as our Chief Financial Officer since July 2015. Prior to joining us, Mr. Gordon worked at Yodle, Inc., a local online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Share Our Strength, a non-profit, anti-hunger organization. Mr. Gordon received his A.B. from Harvard College and his M.B.A. from Harvard Business School.</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i w:val="1"/>
          <w:iCs w:val="1"/>
          <w:color w:val="auto"/>
        </w:rPr>
        <w:t xml:space="preserve">Carlos Delatorre </w:t>
      </w:r>
      <w:r>
        <w:rPr>
          <w:rFonts w:ascii="Arial" w:cs="Arial" w:eastAsia="Arial" w:hAnsi="Arial"/>
          <w:sz w:val="18"/>
          <w:szCs w:val="18"/>
          <w:color w:val="auto"/>
        </w:rPr>
        <w:t>has served as our Chief Revenue Officer since December 2014. Prior to joining us, Mr. Delatorre served as Senior Vice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at ClearSlide, Inc., a provider of sales management software, from January 2013 to December 2014. Prior to that, he was Vice President of Sales for DynamicOps, Inc., a software company, from June 2011 through its acquisition by VMware, Inc. in January 2013. Mr. Delatorre received his B.A. in Resource Management and his M.B.A. in finance from Troy University.</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Meagen Eisenberg </w:t>
      </w:r>
      <w:r>
        <w:rPr>
          <w:rFonts w:ascii="Arial" w:cs="Arial" w:eastAsia="Arial" w:hAnsi="Arial"/>
          <w:sz w:val="18"/>
          <w:szCs w:val="18"/>
          <w:color w:val="auto"/>
        </w:rPr>
        <w:t>has served as our Chief Marketing Officer since March 2015. Prior to joining us, Ms. Eisenberg served as Vice President of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and Demand Generation at DocuSign, Inc., a technology company, where she worked from December 2011 to March 2015. Ms. Eisenberg received her B.S. in Management Information Systems with a minor in Computer Science from California Polytechnic University at San Luis Obispo and her M.B.A., with a focus on marketing and strategy, from Yale School of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i w:val="1"/>
          <w:iCs w:val="1"/>
          <w:color w:val="auto"/>
        </w:rPr>
        <w:t xml:space="preserve">Kevin P. Ryan </w:t>
      </w:r>
      <w:r>
        <w:rPr>
          <w:rFonts w:ascii="Arial" w:cs="Arial" w:eastAsia="Arial" w:hAnsi="Arial"/>
          <w:sz w:val="16"/>
          <w:szCs w:val="16"/>
          <w:color w:val="auto"/>
        </w:rPr>
        <w:t>is one of our co-founders and has served as a member of our board of directors since March 2008. Until February 2016, Mr. Ryan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chairman of Gilt Groupe, an e-commerce company that he co-founded in April 2007. Mr. Ryan also co-founded Business Insider Inc. that was sold in September 2015, as well as Nomad Health, Inc. and Workframe, Inc., where he serves as Chairman. From July 1996 to July 2005, Mr. Ryan served as President and later as Chief Executive Officer at DoubleClick, Inc., a digital advertising company. Mr. Ryan serves on various educational and non-profit boards, including Yale Corporation, The Partnership for New York City, where he is Vice Chairman, the Partnership for New York City's Innovation Council, where he is Chairman, the CFR Committee on Foreign Affairs, The Trust for Governors Island and TECH:NYC. We believe that Mr. Ryan is qualified to serve on our board of directors based on his experience founding and leading innovative technology companies.</w:t>
      </w:r>
    </w:p>
    <w:p>
      <w:pPr>
        <w:spacing w:after="0" w:line="172"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i w:val="1"/>
          <w:iCs w:val="1"/>
          <w:color w:val="auto"/>
        </w:rPr>
        <w:t xml:space="preserve">Roelof Botha </w:t>
      </w:r>
      <w:r>
        <w:rPr>
          <w:rFonts w:ascii="Arial" w:cs="Arial" w:eastAsia="Arial" w:hAnsi="Arial"/>
          <w:sz w:val="16"/>
          <w:szCs w:val="16"/>
          <w:color w:val="auto"/>
        </w:rPr>
        <w:t>has served as a member of our board of directors since December 2013. Since January 2003, Mr. Botha has served in various positions at</w:t>
      </w:r>
      <w:r>
        <w:rPr>
          <w:rFonts w:ascii="Arial" w:cs="Arial" w:eastAsia="Arial" w:hAnsi="Arial"/>
          <w:sz w:val="16"/>
          <w:szCs w:val="16"/>
          <w:i w:val="1"/>
          <w:iCs w:val="1"/>
          <w:color w:val="auto"/>
        </w:rPr>
        <w:t xml:space="preserve"> </w:t>
      </w:r>
      <w:r>
        <w:rPr>
          <w:rFonts w:ascii="Arial" w:cs="Arial" w:eastAsia="Arial" w:hAnsi="Arial"/>
          <w:sz w:val="16"/>
          <w:szCs w:val="16"/>
          <w:color w:val="auto"/>
        </w:rPr>
        <w:t>Sequoia Capital, a venture capital firm, including as a Managing Member of Sequoia Capital Operations, LLC since 2007. From March 2000 to January 2003, Mr. Botha served in various positions at PayPal, Inc., a public online payments company, including as Chief Financial Officer. Mr. Botha currently serves on the board of directors of Square, Inc., a public provider of payments, financial and marketing services, and on the board of directors of Natera, Inc., a public genetic testing company, as well as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experience serving on the boards of directors of public companies.</w:t>
      </w:r>
    </w:p>
    <w:p>
      <w:pPr>
        <w:spacing w:after="0" w:line="17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 xml:space="preserve">Hope Cochran </w:t>
      </w:r>
      <w:r>
        <w:rPr>
          <w:rFonts w:ascii="Arial" w:cs="Arial" w:eastAsia="Arial" w:hAnsi="Arial"/>
          <w:sz w:val="18"/>
          <w:szCs w:val="18"/>
          <w:color w:val="auto"/>
        </w:rPr>
        <w:t>has served as a member of our board of directors since December 2016. Ms. Cochran has served as a venture partner at Madrona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Group since January 2017. From</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September 2013 to June 2016, Ms. Cochran served as the Chief Financial Officer of the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human resources company that she founded. Ms. Cochran has served on the board of directors of</w:t>
      </w:r>
    </w:p>
    <w:p>
      <w:pPr>
        <w:spacing w:after="0" w:line="3"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Hasbro, Inc., a public toy and board game company, since June 2016. Ms. Cochran received her B.A. in Economics and Music from Stanford University. We believe that Ms. Cochran is qualified to serve on our board of directors based on her financial and operating background in the technology and telecom sectors and her experience serving on the board of directors of a public company.</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Charles M. Hazard, Jr. </w:t>
      </w:r>
      <w:r>
        <w:rPr>
          <w:rFonts w:ascii="Arial" w:cs="Arial" w:eastAsia="Arial" w:hAnsi="Arial"/>
          <w:sz w:val="16"/>
          <w:szCs w:val="16"/>
          <w:color w:val="auto"/>
        </w:rPr>
        <w:t>has served as a member of our board of directors since October 2009. Mr. Hazard is a co-founder and has served as a General Partner</w:t>
      </w:r>
      <w:r>
        <w:rPr>
          <w:rFonts w:ascii="Arial" w:cs="Arial" w:eastAsia="Arial" w:hAnsi="Arial"/>
          <w:sz w:val="16"/>
          <w:szCs w:val="16"/>
          <w:i w:val="1"/>
          <w:iCs w:val="1"/>
          <w:color w:val="auto"/>
        </w:rPr>
        <w:t xml:space="preserve"> </w:t>
      </w:r>
      <w:r>
        <w:rPr>
          <w:rFonts w:ascii="Arial" w:cs="Arial" w:eastAsia="Arial" w:hAnsi="Arial"/>
          <w:sz w:val="16"/>
          <w:szCs w:val="16"/>
          <w:color w:val="auto"/>
        </w:rPr>
        <w:t>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Greylock Partners,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172"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i w:val="1"/>
          <w:iCs w:val="1"/>
          <w:color w:val="auto"/>
        </w:rPr>
        <w:t xml:space="preserve">Tom Killalea </w:t>
      </w:r>
      <w:r>
        <w:rPr>
          <w:rFonts w:ascii="Arial" w:cs="Arial" w:eastAsia="Arial" w:hAnsi="Arial"/>
          <w:sz w:val="16"/>
          <w:szCs w:val="16"/>
          <w:color w:val="auto"/>
        </w:rPr>
        <w:t>has served as a member of our board of directors since December 2015. Mr. Killalea has been an advisor to private technology-driven</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since November 2014 and is the owner and President of Aoinle, LLC, a consulting firm. From May 1998 to November 2014, Mr. Killalea served in various leadership roles at Amazon.com, Inc., an electronic commerce and cloud computing company, most recently as its Vice President of Technology for the Kindle Content Ecosystem from January 2008 to November 2014. He also served as its Vice President of Infrastructure and Distributed Systems from 2003 to 2008 and prior to that as Chief Information Security Officer and Vice President of Security. Mr. Killalea currently serves on the board of directors of Capital One Financial Corp., a public company. Mr. Killalea previously served on the board of directors of Xoom Corporation from March 2015 until its acquisition by PayPal, Inc. in November 2015. Mr. Killalea received his B.Ed. in Education from the National University of Ireland, and his B.S. in Computer Science from Trinity College Dublin. We believe that Mr. Killalea is qualified to serve on our board of directors based on his product, technology and security experience, as well as his experience advising leading technology companies.</w:t>
      </w:r>
    </w:p>
    <w:p>
      <w:pPr>
        <w:spacing w:after="0" w:line="17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i w:val="1"/>
          <w:iCs w:val="1"/>
          <w:color w:val="auto"/>
        </w:rPr>
        <w:t xml:space="preserve">John McMahon </w:t>
      </w:r>
      <w:r>
        <w:rPr>
          <w:rFonts w:ascii="Arial" w:cs="Arial" w:eastAsia="Arial" w:hAnsi="Arial"/>
          <w:sz w:val="16"/>
          <w:szCs w:val="16"/>
          <w:color w:val="auto"/>
        </w:rPr>
        <w:t>has served as a member of our board of directors since October 2016. From April 2008 to September 2011, Mr. McMahon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startups, including Sprinklr Inc., Snowflake Computing Inc. and Cybereason Inc. In the past, Mr. McMahon has served on the board of directors or as an executive consultant for AppDynamics, Inc., Glassdoor, Inc., Sumo Logic, Inc. and HubSpot, Inc. Mr. McMahon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received his BSEE in Electrical Engineering from New Jersey Institute of Technology. We believe that Mr. McMahon is qualified to serve on our board of directors due to his deep software sales experience.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board of directors currently consists of eight members. All of our directors currently serve on the board of directors pursuant to the provisions of a voting agreement between us and several of our stockholders. This agreement will terminate upon the closing of this offering, after which there will be no further contractual obligations regarding the election of our directors.</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which will be effective immediately prior to the closing of this offering, our board of directors will be divided into three classes, Class I, Class II and Class III, with members of each class serving staggered three-year terms. Effective upon the closing of this offering, our board of directors will be divided into the following classes:</w:t>
      </w:r>
    </w:p>
    <w:p>
      <w:pPr>
        <w:spacing w:after="0" w:line="161"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 which will consist of</w:t>
            </w:r>
          </w:p>
        </w:tc>
        <w:tc>
          <w:tcPr>
            <w:tcW w:w="5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800" w:type="dxa"/>
            <w:vAlign w:val="bottom"/>
          </w:tcPr>
          <w:p>
            <w:pPr>
              <w:ind w:left="22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first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53"/>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 which will consist of</w:t>
            </w:r>
          </w:p>
        </w:tc>
        <w:tc>
          <w:tcPr>
            <w:tcW w:w="5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0" w:type="dxa"/>
            <w:vAlign w:val="bottom"/>
          </w:tcPr>
          <w:p>
            <w:pPr>
              <w:ind w:left="28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ind w:right="72"/>
              <w:spacing w:after="0"/>
              <w:rPr>
                <w:sz w:val="20"/>
                <w:szCs w:val="20"/>
                <w:color w:val="auto"/>
              </w:rPr>
            </w:pPr>
            <w:r>
              <w:rPr>
                <w:rFonts w:ascii="Arial" w:cs="Arial" w:eastAsia="Arial" w:hAnsi="Arial"/>
                <w:sz w:val="18"/>
                <w:szCs w:val="18"/>
                <w:color w:val="auto"/>
                <w:w w:val="91"/>
              </w:rPr>
              <w:t>, whose terms will expire at our second annual meeting of stockholders to be held after</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7"/>
              </w:rPr>
              <w:t>the closing of this offering; and</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r>
        <w:trPr>
          <w:trHeight w:val="439"/>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240"/>
              <w:spacing w:after="0"/>
              <w:rPr>
                <w:sz w:val="20"/>
                <w:szCs w:val="20"/>
                <w:color w:val="auto"/>
              </w:rPr>
            </w:pPr>
            <w:r>
              <w:rPr>
                <w:rFonts w:ascii="Arial" w:cs="Arial" w:eastAsia="Arial" w:hAnsi="Arial"/>
                <w:sz w:val="18"/>
                <w:szCs w:val="18"/>
                <w:color w:val="auto"/>
              </w:rPr>
              <w:t>Class III, which will consist of</w:t>
            </w:r>
          </w:p>
        </w:tc>
        <w:tc>
          <w:tcPr>
            <w:tcW w:w="5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800" w:type="dxa"/>
            <w:vAlign w:val="bottom"/>
          </w:tcPr>
          <w:p>
            <w:pPr>
              <w:ind w:left="340"/>
              <w:spacing w:after="0"/>
              <w:rPr>
                <w:sz w:val="20"/>
                <w:szCs w:val="20"/>
                <w:color w:val="auto"/>
              </w:rPr>
            </w:pPr>
            <w:r>
              <w:rPr>
                <w:rFonts w:ascii="Arial" w:cs="Arial" w:eastAsia="Arial" w:hAnsi="Arial"/>
                <w:sz w:val="18"/>
                <w:szCs w:val="18"/>
                <w:color w:val="auto"/>
              </w:rPr>
              <w:t>and</w:t>
            </w:r>
          </w:p>
        </w:tc>
        <w:tc>
          <w:tcPr>
            <w:tcW w:w="6520" w:type="dxa"/>
            <w:vAlign w:val="bottom"/>
          </w:tcPr>
          <w:p>
            <w:pPr>
              <w:jc w:val="right"/>
              <w:spacing w:after="0"/>
              <w:rPr>
                <w:sz w:val="20"/>
                <w:szCs w:val="20"/>
                <w:color w:val="auto"/>
              </w:rPr>
            </w:pPr>
            <w:r>
              <w:rPr>
                <w:rFonts w:ascii="Arial" w:cs="Arial" w:eastAsia="Arial" w:hAnsi="Arial"/>
                <w:sz w:val="18"/>
                <w:szCs w:val="18"/>
                <w:color w:val="auto"/>
                <w:w w:val="93"/>
              </w:rPr>
              <w:t>, whose terms will expire at our third annual meeting of stockholders to be held after the</w:t>
            </w:r>
          </w:p>
        </w:tc>
      </w:tr>
      <w:tr>
        <w:trPr>
          <w:trHeight w:val="222"/>
        </w:trPr>
        <w:tc>
          <w:tcPr>
            <w:tcW w:w="300" w:type="dxa"/>
            <w:vAlign w:val="bottom"/>
          </w:tcPr>
          <w:p>
            <w:pPr>
              <w:spacing w:after="0"/>
              <w:rPr>
                <w:sz w:val="19"/>
                <w:szCs w:val="19"/>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closing of this offering.</w:t>
            </w: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20" w:type="dxa"/>
            <w:vAlign w:val="bottom"/>
          </w:tcPr>
          <w:p>
            <w:pPr>
              <w:spacing w:after="0"/>
              <w:rPr>
                <w:sz w:val="19"/>
                <w:szCs w:val="19"/>
                <w:color w:val="auto"/>
              </w:rPr>
            </w:pPr>
          </w:p>
        </w:tc>
      </w:tr>
    </w:tbl>
    <w:p>
      <w:pPr>
        <w:spacing w:after="0" w:line="210" w:lineRule="exact"/>
        <w:rPr>
          <w:sz w:val="20"/>
          <w:szCs w:val="20"/>
          <w:color w:val="auto"/>
        </w:rPr>
      </w:pPr>
    </w:p>
    <w:p>
      <w:pPr>
        <w:ind w:firstLine="341"/>
        <w:spacing w:after="0" w:line="296" w:lineRule="auto"/>
        <w:rPr>
          <w:sz w:val="20"/>
          <w:szCs w:val="20"/>
          <w:color w:val="auto"/>
        </w:rPr>
      </w:pPr>
      <w:r>
        <w:rPr>
          <w:rFonts w:ascii="Arial" w:cs="Arial" w:eastAsia="Arial" w:hAnsi="Arial"/>
          <w:sz w:val="16"/>
          <w:szCs w:val="16"/>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The authorized size of our board of directors is currently nine members, and may be changed only by resolution by a majority of the board of directors. We expect that additional directorships resulting from an increase in the number of directors will be distributed among the three classes so that, as nearly as possible, each class will consist of one-third of the directors. This classification of the board of directors may have the effect of delaying or preventing changes in our control or management. Our directors may be removed for cause by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voting stock.</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00" w:firstLine="351"/>
        <w:spacing w:after="0" w:line="302" w:lineRule="auto"/>
        <w:rPr>
          <w:sz w:val="20"/>
          <w:szCs w:val="20"/>
          <w:color w:val="auto"/>
        </w:rPr>
      </w:pPr>
      <w:r>
        <w:rPr>
          <w:rFonts w:ascii="Arial" w:cs="Arial" w:eastAsia="Arial" w:hAnsi="Arial"/>
          <w:sz w:val="15"/>
          <w:szCs w:val="15"/>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Cochran and Messrs. Ryan, Botha, Hazard, Killalea and McMahon, representing six of our eight directors, are "independent directors" as defined under</w:t>
      </w:r>
    </w:p>
    <w:p>
      <w:pPr>
        <w:spacing w:after="0" w:line="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current rules and regulations of the SEC and the listing standards of the .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"Certain Relationships and Related Party Transactions."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in connection with this offering, each of which has the composition and responsibilities described below. From time to time, our board of directors may establish other committees to facilitate the management of our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the closing of this offering, our audit committee will consist of three directors, Ms. Cochran and Messrs. Botha and Hazard. Our board of directors has determined that Ms. Cochran and Messrs. Botha and Hazard satisfy the independence requirements for audit committee members under the listing standards of</w:t>
      </w:r>
    </w:p>
    <w:p>
      <w:pPr>
        <w:ind w:right="120"/>
        <w:spacing w:after="0" w:line="281" w:lineRule="auto"/>
        <w:rPr>
          <w:sz w:val="20"/>
          <w:szCs w:val="20"/>
          <w:color w:val="auto"/>
        </w:rPr>
      </w:pPr>
      <w:r>
        <w:rPr>
          <w:rFonts w:ascii="Arial" w:cs="Arial" w:eastAsia="Arial" w:hAnsi="Arial"/>
          <w:sz w:val="16"/>
          <w:szCs w:val="16"/>
          <w:color w:val="auto"/>
        </w:rPr>
        <w:t>the and Rule 10A-3 of the Securities Exchange Act of 1934, as amended, or the Exchange Act. Each member of our audit committee meets the financial literacy requirements under the rules and regulations of and the SEC. Ms. Cochran is the chairman of the audit committee, and our board of directors has</w:t>
      </w:r>
    </w:p>
    <w:p>
      <w:pPr>
        <w:spacing w:after="0" w:line="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determined that she is an audit committee "financial expert" as defined by Item 407(d) of Regulation S-K under the Securities Act. The principal duties and responsibilities of our audit committee include, among other things:</w:t>
      </w:r>
    </w:p>
    <w:p>
      <w:pPr>
        <w:spacing w:after="0" w:line="205" w:lineRule="exact"/>
        <w:rPr>
          <w:sz w:val="20"/>
          <w:szCs w:val="20"/>
          <w:color w:val="auto"/>
        </w:rPr>
      </w:pPr>
    </w:p>
    <w:p>
      <w:pPr>
        <w:ind w:left="1080" w:right="5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systems of internal control and financial statement audits;</w:t>
      </w:r>
    </w:p>
    <w:p>
      <w:pPr>
        <w:spacing w:after="0" w:line="21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199"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38" w:lineRule="exact"/>
        <w:rPr>
          <w:rFonts w:ascii="Arial" w:cs="Arial" w:eastAsia="Arial" w:hAnsi="Arial"/>
          <w:sz w:val="18"/>
          <w:szCs w:val="18"/>
          <w:color w:val="auto"/>
        </w:rPr>
      </w:pPr>
    </w:p>
    <w:p>
      <w:pPr>
        <w:ind w:left="1080" w:right="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66"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86" w:lineRule="exact"/>
        <w:rPr>
          <w:sz w:val="20"/>
          <w:szCs w:val="20"/>
          <w:color w:val="auto"/>
        </w:rPr>
      </w:pPr>
    </w:p>
    <w:p>
      <w:pPr>
        <w:ind w:left="360"/>
        <w:spacing w:after="0"/>
        <w:tabs>
          <w:tab w:leader="none" w:pos="10160" w:val="left"/>
        </w:tabs>
        <w:rPr>
          <w:sz w:val="20"/>
          <w:szCs w:val="20"/>
          <w:color w:val="auto"/>
        </w:rPr>
      </w:pPr>
      <w:r>
        <w:rPr>
          <w:rFonts w:ascii="Arial" w:cs="Arial" w:eastAsia="Arial" w:hAnsi="Arial"/>
          <w:sz w:val="16"/>
          <w:szCs w:val="16"/>
          <w:color w:val="auto"/>
        </w:rPr>
        <w:t>Our audit committee will operate under a written charter that satisfies the applicable rules of the SEC and the listing standards of the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Upon the closing of this offering, our compensation committee will consist of three directors, Messrs. Killalea, McMahon and Ryan. Our board of directors has determined that each of the compensation committee members is a non-employee member of our board of directors as defined in Rule 16b-3 under the Exchange Act and an outside director as that term is defined in Section 162(m) of the Internal Revenue Code of 1986, as amended, or the Code. Mr. Ryan will be the chairman of the compensation committee. The composition of our compensation committee meets the requirements for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286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444"/>
        </w:trPr>
        <w:tc>
          <w:tcPr>
            <w:tcW w:w="4120" w:type="dxa"/>
            <w:vAlign w:val="bottom"/>
            <w:gridSpan w:val="2"/>
          </w:tcPr>
          <w:p>
            <w:pPr>
              <w:spacing w:after="0"/>
              <w:rPr>
                <w:sz w:val="20"/>
                <w:szCs w:val="20"/>
                <w:color w:val="auto"/>
              </w:rPr>
            </w:pPr>
            <w:r>
              <w:rPr>
                <w:rFonts w:ascii="Arial" w:cs="Arial" w:eastAsia="Arial" w:hAnsi="Arial"/>
                <w:sz w:val="18"/>
                <w:szCs w:val="18"/>
                <w:color w:val="auto"/>
                <w:w w:val="93"/>
              </w:rPr>
              <w:t>independence under the current listing standards of the</w:t>
            </w:r>
          </w:p>
        </w:tc>
        <w:tc>
          <w:tcPr>
            <w:tcW w:w="6300" w:type="dxa"/>
            <w:vAlign w:val="bottom"/>
          </w:tcPr>
          <w:p>
            <w:pPr>
              <w:ind w:left="260"/>
              <w:spacing w:after="0"/>
              <w:rPr>
                <w:sz w:val="20"/>
                <w:szCs w:val="20"/>
                <w:color w:val="auto"/>
              </w:rPr>
            </w:pPr>
            <w:r>
              <w:rPr>
                <w:rFonts w:ascii="Arial" w:cs="Arial" w:eastAsia="Arial" w:hAnsi="Arial"/>
                <w:sz w:val="18"/>
                <w:szCs w:val="18"/>
                <w:color w:val="auto"/>
                <w:w w:val="88"/>
              </w:rPr>
              <w:t>and current SEC rules and regulations. The principal duties and responsibilities of our</w:t>
            </w: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w w:val="95"/>
              </w:rPr>
              <w:t>compensation committee include, among other things:</w:t>
            </w:r>
          </w:p>
        </w:tc>
        <w:tc>
          <w:tcPr>
            <w:tcW w:w="6300" w:type="dxa"/>
            <w:vAlign w:val="bottom"/>
          </w:tcPr>
          <w:p>
            <w:pPr>
              <w:spacing w:after="0"/>
              <w:rPr>
                <w:sz w:val="19"/>
                <w:szCs w:val="19"/>
                <w:color w:val="auto"/>
              </w:rPr>
            </w:pPr>
          </w:p>
        </w:tc>
      </w:tr>
    </w:tbl>
    <w:p>
      <w:pPr>
        <w:spacing w:after="0" w:line="223" w:lineRule="exact"/>
        <w:rPr>
          <w:sz w:val="20"/>
          <w:szCs w:val="20"/>
          <w:color w:val="auto"/>
        </w:rPr>
      </w:pPr>
    </w:p>
    <w:p>
      <w:pPr>
        <w:ind w:left="1080" w:right="3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compensatory arrangements of our executive officers and other senior management;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reviewing, adopting, amending or terminating and approving incentive compensation and equity plans and other benefit programs; and</w:t>
      </w:r>
    </w:p>
    <w:p>
      <w:pPr>
        <w:spacing w:after="0" w:line="275" w:lineRule="exact"/>
        <w:rPr>
          <w:rFonts w:ascii="Arial" w:cs="Arial" w:eastAsia="Arial" w:hAnsi="Arial"/>
          <w:sz w:val="16"/>
          <w:szCs w:val="16"/>
          <w:color w:val="auto"/>
        </w:rPr>
      </w:pPr>
    </w:p>
    <w:p>
      <w:pPr>
        <w:ind w:left="1080" w:right="48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86" w:lineRule="exact"/>
        <w:rPr>
          <w:sz w:val="20"/>
          <w:szCs w:val="20"/>
          <w:color w:val="auto"/>
        </w:rPr>
      </w:pPr>
    </w:p>
    <w:p>
      <w:pPr>
        <w:ind w:left="360"/>
        <w:spacing w:after="0"/>
        <w:tabs>
          <w:tab w:leader="none" w:pos="10800" w:val="left"/>
        </w:tabs>
        <w:rPr>
          <w:sz w:val="20"/>
          <w:szCs w:val="20"/>
          <w:color w:val="auto"/>
        </w:rPr>
      </w:pPr>
      <w:r>
        <w:rPr>
          <w:rFonts w:ascii="Arial" w:cs="Arial" w:eastAsia="Arial" w:hAnsi="Arial"/>
          <w:sz w:val="16"/>
          <w:szCs w:val="16"/>
          <w:color w:val="auto"/>
        </w:rPr>
        <w:t>Our compensation committee will operate under a written charter that satisfies the applicable rules of the SEC and the listing standards of the</w:t>
      </w:r>
      <w:r>
        <w:rPr>
          <w:sz w:val="20"/>
          <w:szCs w:val="20"/>
          <w:color w:val="auto"/>
        </w:rPr>
        <w:tab/>
      </w:r>
      <w:r>
        <w:rPr>
          <w:rFonts w:ascii="Arial" w:cs="Arial" w:eastAsia="Arial" w:hAnsi="Arial"/>
          <w:sz w:val="14"/>
          <w:szCs w:val="14"/>
          <w:color w:val="auto"/>
        </w:rPr>
        <w: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Upon the closing of this offering, our nominating and corporate governance committee will consist of three directors, Messrs. Killalea, McMahon and Ryan. Mr. Killalea will be the chairman of the nominating and corporate governance committee. The composition of our nominating and governance committee meets</w:t>
      </w:r>
    </w:p>
    <w:p>
      <w:pPr>
        <w:ind w:right="700"/>
        <w:spacing w:after="0" w:line="261" w:lineRule="auto"/>
        <w:rPr>
          <w:sz w:val="20"/>
          <w:szCs w:val="20"/>
          <w:color w:val="auto"/>
        </w:rPr>
      </w:pPr>
      <w:r>
        <w:rPr>
          <w:rFonts w:ascii="Arial" w:cs="Arial" w:eastAsia="Arial" w:hAnsi="Arial"/>
          <w:sz w:val="18"/>
          <w:szCs w:val="18"/>
          <w:color w:val="auto"/>
        </w:rPr>
        <w:t>the requirements for independence under the current listing standards of the and current SEC rules and regulations. The nominating and corporate governance committee's responsibilities include, among other things:</w:t>
      </w:r>
    </w:p>
    <w:p>
      <w:pPr>
        <w:spacing w:after="0" w:line="205" w:lineRule="exact"/>
        <w:rPr>
          <w:sz w:val="20"/>
          <w:szCs w:val="20"/>
          <w:color w:val="auto"/>
        </w:rPr>
      </w:pPr>
    </w:p>
    <w:p>
      <w:pPr>
        <w:ind w:left="1080" w:right="96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reviewing the performance of our board of directors, including committees of the board of directors, and management;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directors and orientation of new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nominating and governance committee will operate under a written charter that satisfies the applicable rules of the SEC and the listing standards of</w:t>
      </w:r>
    </w:p>
    <w:p>
      <w:pPr>
        <w:spacing w:after="0" w:line="3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In connection with this offering, we intend to adopt an amended and restated Code of Conduct, applicable to all of our employees, executive officers and directors. Following the closing of this offering, the Code of Conduct will be available on our website at www.mongodb.com. The nominating and corporate governance committee of our board of directors will be responsible for overseeing the Code of Conduct and must approve any waivers of the Code of Conduct for employees, executive officers and directors. We expect that any amendments to the Code of Conduct, or any waivers of its requirements, will be disclosed on our</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website (www.mongodb.com) as required by applicable law or the listing standards of the . The inclusion of our website address in this prospectus does not include or incorporate by reference into this prospectus the information on or accessible through our website.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of any entity that has one or more executive officers serving on our board of directors or compensation committee. None of the members of our compensation committee is an officer or employee of our company, nor have they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Historically, we have provided equity-based compensation to our independent directors who are not employees or affiliated with our largest investors for the time and effort necessary to serve as a member of our board of directors. In addition, our non-employee directors are entitled to reimbursement of direct expenses incurred in connection with attending meetings of our board of directors or committees thereof.</w:t>
      </w:r>
    </w:p>
    <w:p>
      <w:pPr>
        <w:spacing w:after="0" w:line="194" w:lineRule="exact"/>
        <w:rPr>
          <w:sz w:val="20"/>
          <w:szCs w:val="20"/>
          <w:color w:val="auto"/>
        </w:rPr>
      </w:pPr>
    </w:p>
    <w:p>
      <w:pPr>
        <w:ind w:right="200" w:firstLine="348"/>
        <w:spacing w:after="0" w:line="284" w:lineRule="auto"/>
        <w:rPr>
          <w:sz w:val="20"/>
          <w:szCs w:val="20"/>
          <w:color w:val="auto"/>
        </w:rPr>
      </w:pPr>
      <w:r>
        <w:rPr>
          <w:rFonts w:ascii="Arial" w:cs="Arial" w:eastAsia="Arial" w:hAnsi="Arial"/>
          <w:sz w:val="16"/>
          <w:szCs w:val="16"/>
          <w:color w:val="auto"/>
        </w:rPr>
        <w:t>The following table sets forth information regarding the compensation earned for service on our board of directors during the year ended January 31, 2017 by our directors who were not also our named executive officers. Dev Ittycheria, our President and Chief Executive Officer, and Eliot Horowitz, our Chief Technology Officer and co-founder, are also members of our board of directors, but did not receive any additional compensation for service as a director.</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Mr. Ittycheria's compensation as a named executive officer is set forth below under "Executive Compensation—Summary Compensation Table for Fiscal Year Ended January 31, 2017." Mr. Horowitz is not a named executive officer for the fiscal year ended January 31, 2017.</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w w:val="98"/>
              </w:rPr>
              <w:t>Fees Earned or</w:t>
            </w:r>
          </w:p>
        </w:tc>
        <w:tc>
          <w:tcPr>
            <w:tcW w:w="16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Option Awards</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tcPr>
          <w:p>
            <w:pPr>
              <w:ind w:left="100"/>
              <w:spacing w:after="0"/>
              <w:rPr>
                <w:sz w:val="20"/>
                <w:szCs w:val="20"/>
                <w:color w:val="auto"/>
              </w:rPr>
            </w:pPr>
            <w:r>
              <w:rPr>
                <w:rFonts w:ascii="Arial" w:cs="Arial" w:eastAsia="Arial" w:hAnsi="Arial"/>
                <w:sz w:val="14"/>
                <w:szCs w:val="14"/>
                <w:b w:val="1"/>
                <w:bCs w:val="1"/>
                <w:color w:val="auto"/>
                <w:w w:val="98"/>
              </w:rPr>
              <w:t>Paid in Cash ($)</w:t>
            </w:r>
          </w:p>
        </w:tc>
        <w:tc>
          <w:tcPr>
            <w:tcW w:w="1300" w:type="dxa"/>
            <w:vAlign w:val="bottom"/>
            <w:gridSpan w:val="2"/>
          </w:tcPr>
          <w:p>
            <w:pPr>
              <w:jc w:val="right"/>
              <w:ind w:right="276"/>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(1)(2)</w:t>
            </w:r>
          </w:p>
        </w:tc>
        <w:tc>
          <w:tcPr>
            <w:tcW w:w="520" w:type="dxa"/>
            <w:vAlign w:val="bottom"/>
          </w:tcPr>
          <w:p>
            <w:pPr>
              <w:spacing w:after="0"/>
              <w:rPr>
                <w:sz w:val="15"/>
                <w:szCs w:val="15"/>
                <w:color w:val="auto"/>
              </w:rPr>
            </w:pPr>
          </w:p>
        </w:tc>
        <w:tc>
          <w:tcPr>
            <w:tcW w:w="130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Kevin P. Ryan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Roelof Botha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Hope Cochran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Charles M. Hazard, Jr.</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Eliot Horowitz</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tcPr>
          <w:p>
            <w:pPr>
              <w:spacing w:after="0"/>
              <w:rPr>
                <w:sz w:val="20"/>
                <w:szCs w:val="20"/>
                <w:color w:val="auto"/>
              </w:rPr>
            </w:pPr>
            <w:r>
              <w:rPr>
                <w:rFonts w:ascii="Arial" w:cs="Arial" w:eastAsia="Arial" w:hAnsi="Arial"/>
                <w:sz w:val="18"/>
                <w:szCs w:val="18"/>
                <w:color w:val="auto"/>
              </w:rPr>
              <w:t>Tom Killalea</w:t>
            </w:r>
          </w:p>
        </w:tc>
        <w:tc>
          <w:tcPr>
            <w:tcW w:w="1160" w:type="dxa"/>
            <w:vAlign w:val="bottom"/>
          </w:tcPr>
          <w:p>
            <w:pPr>
              <w:ind w:left="980"/>
              <w:spacing w:after="0"/>
              <w:rPr>
                <w:sz w:val="20"/>
                <w:szCs w:val="20"/>
                <w:color w:val="auto"/>
              </w:rPr>
            </w:pPr>
            <w:r>
              <w:rPr>
                <w:rFonts w:ascii="Arial" w:cs="Arial" w:eastAsia="Arial" w:hAnsi="Arial"/>
                <w:sz w:val="18"/>
                <w:szCs w:val="18"/>
                <w:color w:val="auto"/>
                <w:w w:val="88"/>
              </w:rPr>
              <w:t>—</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84,920</w:t>
            </w:r>
            <w:r>
              <w:rPr>
                <w:rFonts w:ascii="Arial" w:cs="Arial" w:eastAsia="Arial" w:hAnsi="Arial"/>
                <w:sz w:val="14"/>
                <w:szCs w:val="14"/>
                <w:color w:val="auto"/>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84,920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McMahon</w:t>
            </w:r>
          </w:p>
        </w:tc>
        <w:tc>
          <w:tcPr>
            <w:tcW w:w="1160" w:type="dxa"/>
            <w:vAlign w:val="bottom"/>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5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00" w:hanging="531"/>
        <w:spacing w:after="0" w:line="278" w:lineRule="auto"/>
        <w:tabs>
          <w:tab w:leader="none" w:pos="1680" w:val="left"/>
        </w:tabs>
        <w:numPr>
          <w:ilvl w:val="0"/>
          <w:numId w:val="63"/>
        </w:numPr>
        <w:rPr>
          <w:rFonts w:ascii="Arial" w:cs="Arial" w:eastAsia="Arial" w:hAnsi="Arial"/>
          <w:sz w:val="10"/>
          <w:szCs w:val="10"/>
          <w:color w:val="auto"/>
        </w:rPr>
      </w:pPr>
      <w:r>
        <w:rPr>
          <w:rFonts w:ascii="Arial" w:cs="Arial" w:eastAsia="Arial" w:hAnsi="Arial"/>
          <w:sz w:val="12"/>
          <w:szCs w:val="12"/>
          <w:color w:val="auto"/>
        </w:rPr>
        <w:t>This column reflects the full grant date fair value of options granted during the year measured pursuant to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director will perform the requisite service for the award to vest in full as required by SEC rules. The assumptions we used in valuing options are described in note 9 to our consolidated financial statements included elsewhere in this prospectus.</w:t>
      </w:r>
    </w:p>
    <w:p>
      <w:pPr>
        <w:spacing w:after="0" w:line="89" w:lineRule="exact"/>
        <w:rPr>
          <w:rFonts w:ascii="Arial" w:cs="Arial" w:eastAsia="Arial" w:hAnsi="Arial"/>
          <w:sz w:val="10"/>
          <w:szCs w:val="10"/>
          <w:color w:val="auto"/>
        </w:rPr>
      </w:pPr>
    </w:p>
    <w:p>
      <w:pPr>
        <w:ind w:left="1680" w:right="260" w:hanging="531"/>
        <w:spacing w:after="0" w:line="239" w:lineRule="auto"/>
        <w:tabs>
          <w:tab w:leader="none" w:pos="1680" w:val="left"/>
        </w:tabs>
        <w:numPr>
          <w:ilvl w:val="0"/>
          <w:numId w:val="63"/>
        </w:numPr>
        <w:rPr>
          <w:rFonts w:ascii="Arial" w:cs="Arial" w:eastAsia="Arial" w:hAnsi="Arial"/>
          <w:sz w:val="11"/>
          <w:szCs w:val="11"/>
          <w:color w:val="auto"/>
        </w:rPr>
      </w:pPr>
      <w:r>
        <w:rPr>
          <w:rFonts w:ascii="Arial" w:cs="Arial" w:eastAsia="Arial" w:hAnsi="Arial"/>
          <w:sz w:val="14"/>
          <w:szCs w:val="14"/>
          <w:color w:val="auto"/>
        </w:rPr>
        <w:t>The table below shows the aggregate number of option awards outstanding, and granted for such individual's service as a director, for each of our directors who is not a named executive officer as of January 31, 2017:</w:t>
      </w:r>
    </w:p>
    <w:p>
      <w:pPr>
        <w:spacing w:after="0" w:line="126" w:lineRule="exact"/>
        <w:rPr>
          <w:sz w:val="20"/>
          <w:szCs w:val="20"/>
          <w:color w:val="auto"/>
        </w:rPr>
      </w:pPr>
    </w:p>
    <w:tbl>
      <w:tblPr>
        <w:tblLayout w:type="fixed"/>
        <w:tblInd w:w="1720" w:type="dxa"/>
        <w:tblCellMar>
          <w:top w:w="0" w:type="dxa"/>
          <w:left w:w="0" w:type="dxa"/>
          <w:bottom w:w="0" w:type="dxa"/>
          <w:right w:w="0" w:type="dxa"/>
        </w:tblCellMar>
      </w:tblPr>
      <w:tr>
        <w:trPr>
          <w:trHeight w:val="253"/>
        </w:trPr>
        <w:tc>
          <w:tcPr>
            <w:tcW w:w="63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22"/>
                <w:szCs w:val="22"/>
                <w:b w:val="1"/>
                <w:bCs w:val="1"/>
                <w:color w:val="auto"/>
                <w:vertAlign w:val="superscript"/>
              </w:rPr>
              <w:t>(a)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63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Kevin P. Ryan</w:t>
            </w:r>
          </w:p>
        </w:tc>
        <w:tc>
          <w:tcPr>
            <w:tcW w:w="1620" w:type="dxa"/>
            <w:vAlign w:val="bottom"/>
            <w:gridSpan w:val="2"/>
            <w:shd w:val="clear" w:color="auto" w:fill="CCEEFF"/>
          </w:tcPr>
          <w:p>
            <w:pPr>
              <w:ind w:left="132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Roelof Botha</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Hope Cochran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Charles M. Hazard, Jr.</w:t>
            </w:r>
          </w:p>
        </w:tc>
        <w:tc>
          <w:tcPr>
            <w:tcW w:w="1620" w:type="dxa"/>
            <w:vAlign w:val="bottom"/>
            <w:gridSpan w:val="2"/>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Eliot Horowitz</w:t>
            </w:r>
          </w:p>
        </w:tc>
        <w:tc>
          <w:tcPr>
            <w:tcW w:w="1620" w:type="dxa"/>
            <w:vAlign w:val="bottom"/>
            <w:gridSpan w:val="2"/>
            <w:shd w:val="clear" w:color="auto" w:fill="CCEEFF"/>
          </w:tcPr>
          <w:p>
            <w:pPr>
              <w:ind w:left="1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tcPr>
          <w:p>
            <w:pPr>
              <w:spacing w:after="0" w:line="149" w:lineRule="exact"/>
              <w:rPr>
                <w:sz w:val="20"/>
                <w:szCs w:val="20"/>
                <w:color w:val="auto"/>
              </w:rPr>
            </w:pPr>
            <w:r>
              <w:rPr>
                <w:rFonts w:ascii="Arial" w:cs="Arial" w:eastAsia="Arial" w:hAnsi="Arial"/>
                <w:sz w:val="14"/>
                <w:szCs w:val="14"/>
                <w:color w:val="auto"/>
              </w:rPr>
              <w:t>Tom Killalea</w:t>
            </w:r>
          </w:p>
        </w:tc>
        <w:tc>
          <w:tcPr>
            <w:tcW w:w="1620" w:type="dxa"/>
            <w:vAlign w:val="bottom"/>
            <w:gridSpan w:val="2"/>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John McMahon</w:t>
            </w:r>
          </w:p>
        </w:tc>
        <w:tc>
          <w:tcPr>
            <w:tcW w:w="1620" w:type="dxa"/>
            <w:vAlign w:val="bottom"/>
            <w:gridSpan w:val="2"/>
            <w:shd w:val="clear" w:color="auto" w:fill="CCEEFF"/>
          </w:tcPr>
          <w:p>
            <w:pPr>
              <w:ind w:left="1020"/>
              <w:spacing w:after="0" w:line="149" w:lineRule="exact"/>
              <w:rPr>
                <w:sz w:val="20"/>
                <w:szCs w:val="20"/>
                <w:color w:val="auto"/>
              </w:rPr>
            </w:pPr>
            <w:r>
              <w:rPr>
                <w:rFonts w:ascii="Arial" w:cs="Arial" w:eastAsia="Arial" w:hAnsi="Arial"/>
                <w:sz w:val="11"/>
                <w:szCs w:val="11"/>
                <w:color w:val="auto"/>
              </w:rPr>
              <w:t>100,000</w:t>
            </w:r>
            <w:r>
              <w:rPr>
                <w:rFonts w:ascii="Arial" w:cs="Arial" w:eastAsia="Arial" w:hAnsi="Arial"/>
                <w:sz w:val="17"/>
                <w:szCs w:val="17"/>
                <w:color w:val="auto"/>
                <w:vertAlign w:val="superscript"/>
              </w:rPr>
              <w:t>(d)</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42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540" w:hanging="540"/>
        <w:spacing w:after="0" w:line="239" w:lineRule="auto"/>
        <w:tabs>
          <w:tab w:leader="none" w:pos="2260" w:val="left"/>
        </w:tabs>
        <w:numPr>
          <w:ilvl w:val="0"/>
          <w:numId w:val="64"/>
        </w:numPr>
        <w:rPr>
          <w:rFonts w:ascii="Arial" w:cs="Arial" w:eastAsia="Arial" w:hAnsi="Arial"/>
          <w:sz w:val="11"/>
          <w:szCs w:val="11"/>
          <w:color w:val="auto"/>
        </w:rPr>
      </w:pPr>
      <w:r>
        <w:rPr>
          <w:rFonts w:ascii="Arial" w:cs="Arial" w:eastAsia="Arial" w:hAnsi="Arial"/>
          <w:sz w:val="14"/>
          <w:szCs w:val="14"/>
          <w:color w:val="auto"/>
        </w:rPr>
        <w:t>All options in this table are exercisable immediately upon the date of grant, subject to a repurchase right in our favor that lapses in accordance with the options' respective vesting schedules.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9" w:lineRule="exact"/>
        <w:rPr>
          <w:sz w:val="20"/>
          <w:szCs w:val="20"/>
          <w:color w:val="auto"/>
        </w:rPr>
      </w:pPr>
    </w:p>
    <w:p>
      <w:pPr>
        <w:ind w:left="2260" w:right="12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A common stock underlying this option vest on December 7, 2017, with the remainder vesting in 36 equal monthly installments thereafter, subject to the director's continuous service through each such vesting date. This option was granted under the 2016 Plan (as defined herein).</w:t>
      </w:r>
    </w:p>
    <w:p>
      <w:pPr>
        <w:spacing w:after="0" w:line="66" w:lineRule="exact"/>
        <w:rPr>
          <w:rFonts w:ascii="Arial" w:cs="Arial" w:eastAsia="Arial" w:hAnsi="Arial"/>
          <w:sz w:val="10"/>
          <w:szCs w:val="10"/>
          <w:color w:val="auto"/>
        </w:rPr>
      </w:pPr>
    </w:p>
    <w:p>
      <w:pPr>
        <w:ind w:left="226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vested on December 3, 2016, with the remainder vesting in 36 equal monthly installments thereafter, subject to the director's continuous service through each such vesting date. This option was granted under the 2008 Plan (as defined herein).</w:t>
      </w:r>
    </w:p>
    <w:p>
      <w:pPr>
        <w:spacing w:after="0" w:line="66" w:lineRule="exact"/>
        <w:rPr>
          <w:rFonts w:ascii="Arial" w:cs="Arial" w:eastAsia="Arial" w:hAnsi="Arial"/>
          <w:sz w:val="10"/>
          <w:szCs w:val="10"/>
          <w:color w:val="auto"/>
        </w:rPr>
      </w:pPr>
    </w:p>
    <w:p>
      <w:pPr>
        <w:ind w:left="2260" w:right="240" w:hanging="540"/>
        <w:spacing w:after="0" w:line="318" w:lineRule="auto"/>
        <w:tabs>
          <w:tab w:leader="none" w:pos="2260" w:val="left"/>
        </w:tabs>
        <w:numPr>
          <w:ilvl w:val="1"/>
          <w:numId w:val="65"/>
        </w:numPr>
        <w:rPr>
          <w:rFonts w:ascii="Arial" w:cs="Arial" w:eastAsia="Arial" w:hAnsi="Arial"/>
          <w:sz w:val="10"/>
          <w:szCs w:val="10"/>
          <w:color w:val="auto"/>
        </w:rPr>
      </w:pPr>
      <w:r>
        <w:rPr>
          <w:rFonts w:ascii="Arial" w:cs="Arial" w:eastAsia="Arial" w:hAnsi="Arial"/>
          <w:sz w:val="12"/>
          <w:szCs w:val="12"/>
          <w:color w:val="auto"/>
        </w:rPr>
        <w:t>25% of the shares of Class B common stock underlying this option vest on October 5, 2017, with the remainder vesting in 36 equal monthly installments thereafter, subject to the director's continuous service through each such vesting date. This option was granted under the 2008 Plan.</w:t>
      </w:r>
    </w:p>
    <w:p>
      <w:pPr>
        <w:spacing w:after="0" w:line="134" w:lineRule="exact"/>
        <w:rPr>
          <w:rFonts w:ascii="Arial" w:cs="Arial" w:eastAsia="Arial" w:hAnsi="Arial"/>
          <w:sz w:val="10"/>
          <w:szCs w:val="10"/>
          <w:color w:val="auto"/>
        </w:rPr>
      </w:pPr>
    </w:p>
    <w:p>
      <w:pPr>
        <w:ind w:left="1680" w:right="20" w:hanging="531"/>
        <w:spacing w:after="0" w:line="239" w:lineRule="auto"/>
        <w:tabs>
          <w:tab w:leader="none" w:pos="1680" w:val="left"/>
        </w:tabs>
        <w:numPr>
          <w:ilvl w:val="0"/>
          <w:numId w:val="66"/>
        </w:numPr>
        <w:rPr>
          <w:rFonts w:ascii="Arial" w:cs="Arial" w:eastAsia="Arial" w:hAnsi="Arial"/>
          <w:sz w:val="11"/>
          <w:szCs w:val="11"/>
          <w:color w:val="auto"/>
        </w:rPr>
      </w:pPr>
      <w:r>
        <w:rPr>
          <w:rFonts w:ascii="Arial" w:cs="Arial" w:eastAsia="Arial" w:hAnsi="Arial"/>
          <w:sz w:val="14"/>
          <w:szCs w:val="14"/>
          <w:color w:val="auto"/>
        </w:rPr>
        <w:t>This amount reflects the incremental fair value attributable to the modification of an option previously granted to this director. The exercise price of this previously granted option was reduced in April 2016 from $8.68 to $3.25.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intend to adopt a non-employee director compensation policy in connection with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Fiscal Year Ended January 31, 2017</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following table sets forth information regarding compensation earned with respect to the fiscal year ended January 31, 2017 by our principal executive officer and the next two most highly compensated executive officers for the fiscal year ended January 31, 2017, whom we refer to as our named executive officers for the fiscal year ended January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86"/>
              </w:rPr>
              <w:t>Awards</w:t>
            </w:r>
          </w:p>
        </w:tc>
        <w:tc>
          <w:tcPr>
            <w:tcW w:w="13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89"/>
              </w:rPr>
              <w:t>Incentive Plan</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160" w:type="dxa"/>
            <w:vAlign w:val="bottom"/>
          </w:tcPr>
          <w:p>
            <w:pPr>
              <w:spacing w:after="0"/>
              <w:rPr>
                <w:sz w:val="16"/>
                <w:szCs w:val="16"/>
                <w:color w:val="auto"/>
              </w:rPr>
            </w:pPr>
          </w:p>
        </w:tc>
        <w:tc>
          <w:tcPr>
            <w:tcW w:w="760" w:type="dxa"/>
            <w:vAlign w:val="bottom"/>
          </w:tcPr>
          <w:p>
            <w:pPr>
              <w:jc w:val="right"/>
              <w:ind w:right="22"/>
              <w:spacing w:after="0"/>
              <w:rPr>
                <w:sz w:val="20"/>
                <w:szCs w:val="20"/>
                <w:color w:val="auto"/>
              </w:rPr>
            </w:pPr>
            <w:r>
              <w:rPr>
                <w:rFonts w:ascii="Arial" w:cs="Arial" w:eastAsia="Arial" w:hAnsi="Arial"/>
                <w:sz w:val="14"/>
                <w:szCs w:val="14"/>
                <w:b w:val="1"/>
                <w:bCs w:val="1"/>
                <w:color w:val="auto"/>
              </w:rPr>
              <w:t>Salary ($)</w:t>
            </w:r>
          </w:p>
        </w:tc>
        <w:tc>
          <w:tcPr>
            <w:tcW w:w="1000" w:type="dxa"/>
            <w:vAlign w:val="bottom"/>
            <w:gridSpan w:val="2"/>
          </w:tcPr>
          <w:p>
            <w:pPr>
              <w:jc w:val="center"/>
              <w:ind w:left="59"/>
              <w:spacing w:after="0" w:line="193" w:lineRule="exact"/>
              <w:rPr>
                <w:sz w:val="20"/>
                <w:szCs w:val="20"/>
                <w:color w:val="auto"/>
              </w:rPr>
            </w:pPr>
            <w:r>
              <w:rPr>
                <w:rFonts w:ascii="Arial" w:cs="Arial" w:eastAsia="Arial" w:hAnsi="Arial"/>
                <w:sz w:val="14"/>
                <w:szCs w:val="14"/>
                <w:b w:val="1"/>
                <w:bCs w:val="1"/>
                <w:color w:val="auto"/>
                <w:w w:val="85"/>
              </w:rPr>
              <w:t>($)</w:t>
            </w:r>
            <w:r>
              <w:rPr>
                <w:rFonts w:ascii="Arial" w:cs="Arial" w:eastAsia="Arial" w:hAnsi="Arial"/>
                <w:sz w:val="22"/>
                <w:szCs w:val="22"/>
                <w:b w:val="1"/>
                <w:bCs w:val="1"/>
                <w:color w:val="auto"/>
                <w:w w:val="85"/>
                <w:vertAlign w:val="superscript"/>
              </w:rPr>
              <w:t>(1)</w:t>
            </w:r>
          </w:p>
        </w:tc>
        <w:tc>
          <w:tcPr>
            <w:tcW w:w="220" w:type="dxa"/>
            <w:vAlign w:val="bottom"/>
          </w:tcPr>
          <w:p>
            <w:pPr>
              <w:spacing w:after="0"/>
              <w:rPr>
                <w:sz w:val="16"/>
                <w:szCs w:val="16"/>
                <w:color w:val="auto"/>
              </w:rPr>
            </w:pPr>
          </w:p>
        </w:tc>
        <w:tc>
          <w:tcPr>
            <w:tcW w:w="1380" w:type="dxa"/>
            <w:vAlign w:val="bottom"/>
          </w:tcPr>
          <w:p>
            <w:pPr>
              <w:jc w:val="center"/>
              <w:spacing w:after="0" w:line="193" w:lineRule="exact"/>
              <w:rPr>
                <w:sz w:val="20"/>
                <w:szCs w:val="20"/>
                <w:color w:val="auto"/>
              </w:rPr>
            </w:pPr>
            <w:r>
              <w:rPr>
                <w:rFonts w:ascii="Arial" w:cs="Arial" w:eastAsia="Arial" w:hAnsi="Arial"/>
                <w:sz w:val="14"/>
                <w:szCs w:val="14"/>
                <w:b w:val="1"/>
                <w:bCs w:val="1"/>
                <w:color w:val="auto"/>
                <w:w w:val="85"/>
              </w:rPr>
              <w:t>Compensation ($)</w:t>
            </w:r>
            <w:r>
              <w:rPr>
                <w:rFonts w:ascii="Arial" w:cs="Arial" w:eastAsia="Arial" w:hAnsi="Arial"/>
                <w:sz w:val="22"/>
                <w:szCs w:val="22"/>
                <w:b w:val="1"/>
                <w:bCs w:val="1"/>
                <w:color w:val="auto"/>
                <w:w w:val="85"/>
                <w:vertAlign w:val="superscript"/>
              </w:rPr>
              <w:t>(2)</w:t>
            </w:r>
          </w:p>
        </w:tc>
        <w:tc>
          <w:tcPr>
            <w:tcW w:w="16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28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5,280,870</w:t>
            </w:r>
            <w:r>
              <w:rPr>
                <w:rFonts w:ascii="Arial" w:cs="Arial" w:eastAsia="Arial" w:hAnsi="Arial"/>
                <w:sz w:val="14"/>
                <w:szCs w:val="14"/>
                <w:color w:val="auto"/>
              </w:rPr>
              <w:t>(3)</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5,911,270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President and Chief Executive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4460" w:type="dxa"/>
            <w:vAlign w:val="bottom"/>
            <w:gridSpan w:val="4"/>
          </w:tcPr>
          <w:p>
            <w:pPr>
              <w:spacing w:after="0"/>
              <w:rPr>
                <w:sz w:val="20"/>
                <w:szCs w:val="20"/>
                <w:color w:val="auto"/>
              </w:rPr>
            </w:pPr>
            <w:r>
              <w:rPr>
                <w:rFonts w:ascii="Arial" w:cs="Arial" w:eastAsia="Arial" w:hAnsi="Arial"/>
                <w:sz w:val="18"/>
                <w:szCs w:val="18"/>
                <w:color w:val="auto"/>
              </w:rPr>
              <w:t>Carlos Delatorre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1,242,937</w:t>
            </w:r>
            <w:r>
              <w:rPr>
                <w:rFonts w:ascii="Arial" w:cs="Arial" w:eastAsia="Arial" w:hAnsi="Arial"/>
                <w:sz w:val="14"/>
                <w:szCs w:val="14"/>
                <w:color w:val="auto"/>
              </w:rPr>
              <w:t>(4)</w:t>
            </w:r>
          </w:p>
        </w:tc>
        <w:tc>
          <w:tcPr>
            <w:tcW w:w="1380" w:type="dxa"/>
            <w:vAlign w:val="bottom"/>
          </w:tcPr>
          <w:p>
            <w:pPr>
              <w:jc w:val="right"/>
              <w:spacing w:after="0"/>
              <w:rPr>
                <w:sz w:val="20"/>
                <w:szCs w:val="20"/>
                <w:color w:val="auto"/>
              </w:rPr>
            </w:pPr>
            <w:r>
              <w:rPr>
                <w:rFonts w:ascii="Arial" w:cs="Arial" w:eastAsia="Arial" w:hAnsi="Arial"/>
                <w:sz w:val="18"/>
                <w:szCs w:val="18"/>
                <w:color w:val="auto"/>
              </w:rPr>
              <w:t>289,150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1,782,087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Revenue Officer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1,358,478</w:t>
            </w:r>
            <w:r>
              <w:rPr>
                <w:rFonts w:ascii="Arial" w:cs="Arial" w:eastAsia="Arial" w:hAnsi="Arial"/>
                <w:sz w:val="14"/>
                <w:szCs w:val="14"/>
                <w:color w:val="auto"/>
              </w:rPr>
              <w:t>(5)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1,773,678</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28"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column reflects the full grant date fair value of options granted during the year measured pursuant to Financial Accounting Standards Board Accounting Standards Codification Topic 718 (ASC 718), the basis for computing stock-based compensation in our consolidated financial statements. Unlike the calculations contained in our consolidated financial statements, this calculation does not give effect to any estimate of forfeitures related to service-based vesting, but assumes that the named executive officer will perform the requisite service for the award to vest in full as required by SEC rules. The assumptions we used in valuing options are described in note 9 to our consolidated financial statements included in this prospectus.</w:t>
      </w:r>
    </w:p>
    <w:p>
      <w:pPr>
        <w:spacing w:after="0" w:line="113" w:lineRule="exact"/>
        <w:rPr>
          <w:rFonts w:ascii="Arial" w:cs="Arial" w:eastAsia="Arial" w:hAnsi="Arial"/>
          <w:sz w:val="11"/>
          <w:szCs w:val="11"/>
          <w:color w:val="auto"/>
        </w:rPr>
      </w:pPr>
    </w:p>
    <w:p>
      <w:pPr>
        <w:ind w:left="1680" w:hanging="531"/>
        <w:spacing w:after="0"/>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See "—Bonus and Variable Compensation Plans" for a description of the material terms of the plans pursuant to which this compensation was awarded.</w:t>
      </w:r>
    </w:p>
    <w:p>
      <w:pPr>
        <w:spacing w:after="0" w:line="122" w:lineRule="exact"/>
        <w:rPr>
          <w:rFonts w:ascii="Arial" w:cs="Arial" w:eastAsia="Arial" w:hAnsi="Arial"/>
          <w:sz w:val="11"/>
          <w:szCs w:val="11"/>
          <w:color w:val="auto"/>
        </w:rPr>
      </w:pPr>
    </w:p>
    <w:p>
      <w:pPr>
        <w:ind w:left="1680" w:right="4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$3,100,920 of incremental fair value attributable to the modification of options previously granted to this executive officer. The exercise price of these previously granted options was reduced in April 2016 from $7.83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$661,617 of incremental fair value attributable to the modification of options previously granted to this executive officer. The exercise price of these previously granted options was reduced in April 2016 from $8.12 to $3.25.</w:t>
      </w:r>
    </w:p>
    <w:p>
      <w:pPr>
        <w:spacing w:after="0" w:line="111" w:lineRule="exact"/>
        <w:rPr>
          <w:rFonts w:ascii="Arial" w:cs="Arial" w:eastAsia="Arial" w:hAnsi="Arial"/>
          <w:sz w:val="11"/>
          <w:szCs w:val="11"/>
          <w:color w:val="auto"/>
        </w:rPr>
      </w:pPr>
    </w:p>
    <w:p>
      <w:pPr>
        <w:ind w:left="1680" w:right="500" w:hanging="531"/>
        <w:spacing w:after="0" w:line="239" w:lineRule="auto"/>
        <w:tabs>
          <w:tab w:leader="none" w:pos="1680" w:val="left"/>
        </w:tabs>
        <w:numPr>
          <w:ilvl w:val="0"/>
          <w:numId w:val="67"/>
        </w:numPr>
        <w:rPr>
          <w:rFonts w:ascii="Arial" w:cs="Arial" w:eastAsia="Arial" w:hAnsi="Arial"/>
          <w:sz w:val="11"/>
          <w:szCs w:val="11"/>
          <w:color w:val="auto"/>
        </w:rPr>
      </w:pPr>
      <w:r>
        <w:rPr>
          <w:rFonts w:ascii="Arial" w:cs="Arial" w:eastAsia="Arial" w:hAnsi="Arial"/>
          <w:sz w:val="14"/>
          <w:szCs w:val="14"/>
          <w:color w:val="auto"/>
        </w:rPr>
        <w:t>This amount includes $766,478 of incremental fair value attributable to the modification of options previously granted to this executive officer. The exercise price of these previously granted options was reduced in April 2016 from $8.49 to $3.25.</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January 31, 2017</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remain outstanding as of January 31, 2017.</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2"/>
                <w:szCs w:val="22"/>
                <w:b w:val="1"/>
                <w:bCs w:val="1"/>
                <w:color w:val="auto"/>
                <w:vertAlign w:val="superscript"/>
              </w:rPr>
              <w:t>(1)</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4"/>
          </w:tcPr>
          <w:p>
            <w:pPr>
              <w:jc w:val="center"/>
              <w:ind w:right="720"/>
              <w:spacing w:after="0" w:line="156" w:lineRule="exact"/>
              <w:rPr>
                <w:sz w:val="20"/>
                <w:szCs w:val="20"/>
                <w:color w:val="auto"/>
              </w:rPr>
            </w:pPr>
            <w:r>
              <w:rPr>
                <w:rFonts w:ascii="Arial" w:cs="Arial" w:eastAsia="Arial" w:hAnsi="Arial"/>
                <w:sz w:val="14"/>
                <w:szCs w:val="14"/>
                <w:b w:val="1"/>
                <w:bCs w:val="1"/>
                <w:color w:val="auto"/>
                <w:w w:val="86"/>
              </w:rPr>
              <w:t>Number of Securities</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20" w:type="dxa"/>
            <w:vAlign w:val="bottom"/>
            <w:gridSpan w:val="4"/>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6"/>
              </w:rPr>
              <w:t>Options (#)</w:t>
            </w:r>
          </w:p>
        </w:tc>
        <w:tc>
          <w:tcPr>
            <w:tcW w:w="700" w:type="dxa"/>
            <w:vAlign w:val="bottom"/>
            <w:vMerge w:val="restart"/>
          </w:tcPr>
          <w:p>
            <w:pPr>
              <w:spacing w:after="0"/>
              <w:rPr>
                <w:sz w:val="5"/>
                <w:szCs w:val="5"/>
                <w:color w:val="auto"/>
              </w:rPr>
            </w:pPr>
          </w:p>
        </w:tc>
        <w:tc>
          <w:tcPr>
            <w:tcW w:w="8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920" w:type="dxa"/>
            <w:vAlign w:val="bottom"/>
            <w:tcBorders>
              <w:bottom w:val="single" w:sz="8" w:color="auto"/>
            </w:tcBorders>
            <w:gridSpan w:val="3"/>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8"/>
                <w:szCs w:val="8"/>
                <w:color w:val="auto"/>
              </w:rPr>
            </w:pPr>
          </w:p>
        </w:tc>
        <w:tc>
          <w:tcPr>
            <w:tcW w:w="10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Expiration</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vMerge w:val="restart"/>
          </w:tcPr>
          <w:p>
            <w:pPr>
              <w:ind w:left="20"/>
              <w:spacing w:after="0" w:line="209" w:lineRule="exact"/>
              <w:rPr>
                <w:sz w:val="20"/>
                <w:szCs w:val="20"/>
                <w:color w:val="auto"/>
              </w:rPr>
            </w:pPr>
            <w:r>
              <w:rPr>
                <w:rFonts w:ascii="Arial" w:cs="Arial" w:eastAsia="Arial" w:hAnsi="Arial"/>
                <w:sz w:val="14"/>
                <w:szCs w:val="14"/>
                <w:b w:val="1"/>
                <w:bCs w:val="1"/>
                <w:color w:val="auto"/>
              </w:rPr>
              <w:t>Grant Date</w:t>
            </w:r>
            <w:r>
              <w:rPr>
                <w:rFonts w:ascii="Arial" w:cs="Arial" w:eastAsia="Arial" w:hAnsi="Arial"/>
                <w:sz w:val="22"/>
                <w:szCs w:val="22"/>
                <w:b w:val="1"/>
                <w:bCs w:val="1"/>
                <w:color w:val="auto"/>
                <w:vertAlign w:val="superscript"/>
              </w:rPr>
              <w:t>(2)</w:t>
            </w: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vMerge w:val="restart"/>
          </w:tcPr>
          <w:p>
            <w:pPr>
              <w:jc w:val="right"/>
              <w:ind w:right="760"/>
              <w:spacing w:after="0" w:line="209" w:lineRule="exact"/>
              <w:rPr>
                <w:sz w:val="20"/>
                <w:szCs w:val="20"/>
                <w:color w:val="auto"/>
              </w:rPr>
            </w:pPr>
            <w:r>
              <w:rPr>
                <w:rFonts w:ascii="Arial" w:cs="Arial" w:eastAsia="Arial" w:hAnsi="Arial"/>
                <w:sz w:val="14"/>
                <w:szCs w:val="14"/>
                <w:b w:val="1"/>
                <w:bCs w:val="1"/>
                <w:color w:val="auto"/>
                <w:w w:val="84"/>
              </w:rPr>
              <w:t>Unvested</w:t>
            </w:r>
            <w:r>
              <w:rPr>
                <w:rFonts w:ascii="Arial" w:cs="Arial" w:eastAsia="Arial" w:hAnsi="Arial"/>
                <w:sz w:val="22"/>
                <w:szCs w:val="22"/>
                <w:b w:val="1"/>
                <w:bCs w:val="1"/>
                <w:color w:val="auto"/>
                <w:w w:val="84"/>
                <w:vertAlign w:val="superscript"/>
              </w:rPr>
              <w:t>(3)(4)</w:t>
            </w:r>
          </w:p>
        </w:tc>
        <w:tc>
          <w:tcPr>
            <w:tcW w:w="8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Price ($)</w:t>
            </w:r>
            <w:r>
              <w:rPr>
                <w:rFonts w:ascii="Arial" w:cs="Arial" w:eastAsia="Arial" w:hAnsi="Arial"/>
                <w:sz w:val="20"/>
                <w:szCs w:val="20"/>
                <w:b w:val="1"/>
                <w:bCs w:val="1"/>
                <w:color w:val="auto"/>
                <w:w w:val="91"/>
                <w:vertAlign w:val="superscript"/>
              </w:rPr>
              <w:t>(3)</w:t>
            </w:r>
          </w:p>
        </w:tc>
        <w:tc>
          <w:tcPr>
            <w:tcW w:w="160" w:type="dxa"/>
            <w:vAlign w:val="bottom"/>
          </w:tcPr>
          <w:p>
            <w:pPr>
              <w:spacing w:after="0"/>
              <w:rPr>
                <w:sz w:val="15"/>
                <w:szCs w:val="15"/>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Dev Ittycheria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1,865,362</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1,575,000</w:t>
            </w:r>
            <w:r>
              <w:rPr>
                <w:rFonts w:ascii="Arial" w:cs="Arial" w:eastAsia="Arial" w:hAnsi="Arial"/>
                <w:sz w:val="14"/>
                <w:szCs w:val="14"/>
                <w:color w:val="auto"/>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9/12/2014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175,000</w:t>
            </w:r>
            <w:r>
              <w:rPr>
                <w:rFonts w:ascii="Arial" w:cs="Arial" w:eastAsia="Arial" w:hAnsi="Arial"/>
                <w:sz w:val="14"/>
                <w:szCs w:val="14"/>
                <w:color w:val="auto"/>
              </w:rPr>
              <w:t>(6)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09/12/2024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1,500,000</w:t>
            </w:r>
            <w:r>
              <w:rPr>
                <w:rFonts w:ascii="Arial" w:cs="Arial" w:eastAsia="Arial" w:hAnsi="Arial"/>
                <w:sz w:val="14"/>
                <w:szCs w:val="14"/>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gridSpan w:val="3"/>
          </w:tcPr>
          <w:p>
            <w:pPr>
              <w:spacing w:after="0"/>
              <w:rPr>
                <w:sz w:val="20"/>
                <w:szCs w:val="20"/>
                <w:color w:val="auto"/>
              </w:rPr>
            </w:pPr>
            <w:r>
              <w:rPr>
                <w:rFonts w:ascii="Arial" w:cs="Arial" w:eastAsia="Arial" w:hAnsi="Arial"/>
                <w:sz w:val="18"/>
                <w:szCs w:val="18"/>
                <w:color w:val="auto"/>
              </w:rPr>
              <w:t>Carlos Delatorre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12/4/2014</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428,011</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393,771</w:t>
            </w:r>
            <w:r>
              <w:rPr>
                <w:rFonts w:ascii="Arial" w:cs="Arial" w:eastAsia="Arial" w:hAnsi="Arial"/>
                <w:sz w:val="14"/>
                <w:szCs w:val="14"/>
                <w:color w:val="auto"/>
              </w:rPr>
              <w:t>(8)</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12/04/2024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tcPr>
          <w:p>
            <w:pPr>
              <w:jc w:val="right"/>
              <w:ind w:right="54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(7)</w:t>
            </w: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Gordon</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7/15/2015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244,144</w:t>
            </w:r>
          </w:p>
        </w:tc>
        <w:tc>
          <w:tcPr>
            <w:tcW w:w="17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573,574</w:t>
            </w:r>
            <w:r>
              <w:rPr>
                <w:rFonts w:ascii="Arial" w:cs="Arial" w:eastAsia="Arial" w:hAnsi="Arial"/>
                <w:sz w:val="14"/>
                <w:szCs w:val="14"/>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07/15/2025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04/13/2016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400,000</w:t>
            </w:r>
            <w:r>
              <w:rPr>
                <w:rFonts w:ascii="Arial" w:cs="Arial" w:eastAsia="Arial" w:hAnsi="Arial"/>
                <w:sz w:val="14"/>
                <w:szCs w:val="14"/>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04/13/2026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hanging="531"/>
        <w:spacing w:after="0"/>
        <w:tabs>
          <w:tab w:leader="none" w:pos="1680" w:val="left"/>
        </w:tabs>
        <w:numPr>
          <w:ilvl w:val="0"/>
          <w:numId w:val="68"/>
        </w:numPr>
        <w:rPr>
          <w:rFonts w:ascii="Arial" w:cs="Arial" w:eastAsia="Arial" w:hAnsi="Arial"/>
          <w:sz w:val="10"/>
          <w:szCs w:val="10"/>
          <w:color w:val="auto"/>
        </w:rPr>
      </w:pPr>
      <w:r>
        <w:rPr>
          <w:rFonts w:ascii="Arial" w:cs="Arial" w:eastAsia="Arial" w:hAnsi="Arial"/>
          <w:sz w:val="12"/>
          <w:szCs w:val="12"/>
          <w:color w:val="auto"/>
        </w:rPr>
        <w:t>All option awards listed in this table were granted pursuant to our 2008 Stock Plan, the terms of which are described below under "—Equity Incentive Plans—2008 Stock Plan."</w:t>
      </w:r>
    </w:p>
    <w:p>
      <w:pPr>
        <w:spacing w:after="0" w:line="145" w:lineRule="exact"/>
        <w:rPr>
          <w:rFonts w:ascii="Arial" w:cs="Arial" w:eastAsia="Arial" w:hAnsi="Arial"/>
          <w:sz w:val="10"/>
          <w:szCs w:val="10"/>
          <w:color w:val="auto"/>
        </w:rPr>
      </w:pPr>
    </w:p>
    <w:p>
      <w:pPr>
        <w:ind w:left="1680" w:hanging="531"/>
        <w:spacing w:after="0"/>
        <w:tabs>
          <w:tab w:leader="none" w:pos="1680" w:val="left"/>
        </w:tabs>
        <w:numPr>
          <w:ilvl w:val="0"/>
          <w:numId w:val="68"/>
        </w:numPr>
        <w:rPr>
          <w:rFonts w:ascii="Arial" w:cs="Arial" w:eastAsia="Arial" w:hAnsi="Arial"/>
          <w:sz w:val="10"/>
          <w:szCs w:val="10"/>
          <w:color w:val="auto"/>
        </w:rPr>
      </w:pPr>
      <w:r>
        <w:rPr>
          <w:rFonts w:ascii="Arial" w:cs="Arial" w:eastAsia="Arial" w:hAnsi="Arial"/>
          <w:sz w:val="12"/>
          <w:szCs w:val="12"/>
          <w:color w:val="auto"/>
        </w:rPr>
        <w:t>On April 13, 2016, we amended the exercise prices of all of our outstanding option awards previously granted at an exercise price greater than $3.25 to $3.25.</w:t>
      </w:r>
    </w:p>
    <w:p>
      <w:pPr>
        <w:spacing w:after="0" w:line="145" w:lineRule="exact"/>
        <w:rPr>
          <w:rFonts w:ascii="Arial" w:cs="Arial" w:eastAsia="Arial" w:hAnsi="Arial"/>
          <w:sz w:val="10"/>
          <w:szCs w:val="10"/>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All of the option awards listed in this column are immediately exercisable, subject to a repurchase right in our favor which lapses in accordance with the respective option vesting schedules.</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All unvested shares of Class B common stock underlying the option awards listed in this column will accelerate and vest in full upon a change of control of MongoDB if the executive officer is terminated without cause or resigns for good reason (as such terms are described in the executive officer's offer letter) within 12 months following such change of control.</w:t>
      </w:r>
    </w:p>
    <w:p>
      <w:pPr>
        <w:spacing w:after="0" w:line="111"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740,362 shares of Class B common stock underlying this option vested on October 1, 2015, with 75,000 shares of Class B common stock vesting each month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October 1,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hanging="531"/>
        <w:spacing w:after="0"/>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The shares of Class B common stock underlying this option will vest in 36 equal monthly installments beginning on May 13, 2018.</w:t>
      </w:r>
    </w:p>
    <w:p>
      <w:pPr>
        <w:spacing w:after="0" w:line="122" w:lineRule="exact"/>
        <w:rPr>
          <w:rFonts w:ascii="Arial" w:cs="Arial" w:eastAsia="Arial" w:hAnsi="Arial"/>
          <w:sz w:val="11"/>
          <w:szCs w:val="11"/>
          <w:color w:val="auto"/>
        </w:rPr>
      </w:pPr>
    </w:p>
    <w:p>
      <w:pPr>
        <w:ind w:left="1680" w:right="8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December 4, 2015,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200" w:hanging="531"/>
        <w:spacing w:after="0" w:line="239"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25% of the shares of Class B common stock underlying this option vested on July 6, 2016, with the remainder vesting in 36 equal monthly installments thereafter, subject to the executive officer's continuous service through each such vesting date.</w:t>
      </w:r>
    </w:p>
    <w:p>
      <w:pPr>
        <w:spacing w:after="0" w:line="111" w:lineRule="exact"/>
        <w:rPr>
          <w:rFonts w:ascii="Arial" w:cs="Arial" w:eastAsia="Arial" w:hAnsi="Arial"/>
          <w:sz w:val="11"/>
          <w:szCs w:val="11"/>
          <w:color w:val="auto"/>
        </w:rPr>
      </w:pPr>
    </w:p>
    <w:p>
      <w:pPr>
        <w:ind w:left="1680" w:right="40" w:hanging="531"/>
        <w:spacing w:after="0" w:line="233" w:lineRule="auto"/>
        <w:tabs>
          <w:tab w:leader="none" w:pos="1680" w:val="left"/>
        </w:tabs>
        <w:numPr>
          <w:ilvl w:val="0"/>
          <w:numId w:val="68"/>
        </w:numPr>
        <w:rPr>
          <w:rFonts w:ascii="Arial" w:cs="Arial" w:eastAsia="Arial" w:hAnsi="Arial"/>
          <w:sz w:val="11"/>
          <w:szCs w:val="11"/>
          <w:color w:val="auto"/>
        </w:rPr>
      </w:pPr>
      <w:r>
        <w:rPr>
          <w:rFonts w:ascii="Arial" w:cs="Arial" w:eastAsia="Arial" w:hAnsi="Arial"/>
          <w:sz w:val="14"/>
          <w:szCs w:val="14"/>
          <w:color w:val="auto"/>
        </w:rPr>
        <w:t>33,333 shares of Class B common stock underlying this option vest in equal monthly installments from April 13, 2018 to April 13, 2019, 158,333 shares of Class B common stock underlying this option vest in equal monthly installments from April 13, 2019 to April 13, 2020 and 208,334 shares of Class B common stock underlying this option vest in equal monthly installments from April 13, 2020 to April 13, 2021.</w:t>
      </w:r>
    </w:p>
    <w:p>
      <w:pPr>
        <w:spacing w:after="0" w:line="19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in the future, on an annual basis or otherwise, grant additional equity awards to our executive officers pursuant to our 2016 Equity Incentive Plan, as amended, or the 2016 Plan, the terms of which are described below under "—Equity Incentive Plans—2016 Equity Incentive Plan."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Offer Letters and Arrangements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initial terms and conditions of employment for each of our named executive officers are set forth in written offer letters, the terms of which are described below. We intend to enter into revised employment offer letters with our named executive officers setting forth the terms and conditions of such executive's employment with us that replace and supersede the current offer letters but which incorporate the terms described below. Each of our named executive officers has also executed our standard form of invention assignment, confidentiality and arbitration agreement. Any potential payments and benefits due upon a termination of employment or a change of control of us are further described below under the heading "—Potential Payments and Benefits Upon Termination or Change of Control."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 Ittycheria</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entered into an initial offer letter with Dev Ittycheria, our President and Chief Executive Officer, dated July 29, 2014, which sets forth the initial terms and conditions of his employment with us. Mr. Ittycheria's current base salary is $400,000 per year. Mr. Ittycheria is also eligible to receive an annual target bonus of up to $200,000 pursuant to our bonus plan. Mr. Ittycheria's employment is at will and may be terminated at any time, with or without cause.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Carlos Delatorre</w:t>
      </w:r>
    </w:p>
    <w:p>
      <w:pPr>
        <w:spacing w:after="0" w:line="225" w:lineRule="exact"/>
        <w:rPr>
          <w:sz w:val="20"/>
          <w:szCs w:val="20"/>
          <w:color w:val="auto"/>
        </w:rPr>
      </w:pPr>
    </w:p>
    <w:p>
      <w:pPr>
        <w:ind w:right="260" w:firstLine="348"/>
        <w:spacing w:after="0" w:line="256" w:lineRule="auto"/>
        <w:rPr>
          <w:sz w:val="20"/>
          <w:szCs w:val="20"/>
          <w:color w:val="auto"/>
        </w:rPr>
      </w:pPr>
      <w:r>
        <w:rPr>
          <w:rFonts w:ascii="Arial" w:cs="Arial" w:eastAsia="Arial" w:hAnsi="Arial"/>
          <w:sz w:val="18"/>
          <w:szCs w:val="18"/>
          <w:color w:val="auto"/>
        </w:rPr>
        <w:t>We entered into an initial offer letter with Carlos Delatorre, our Chief Revenue Officer dated November 26, 2014, which sets forth the initial terms and conditions of his employment with us. Mr. Delatorre's current base salary is $250,000 per year. Mr. Delatorre is also eligible to receive annual target sales compensation of up to $350,000 pursuant to our variable compensation plan. Mr. Delatorre's employment is at will and may be terminated at any time, with or without cause.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Gordon</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entered into an initial offer letter with Michael Gordon, our Chief Financial Officer, dated May 26, 2015, which sets forth the initial terms and conditions of his employment with us. In Mr. Gordon's current base salary is $325,000 per year. Mr. Gordon is also eligible to receive an annual target bonus of up to $150,000 pursuant to our bonus plan. Mr. Gordon's employment is at will and may be terminated at any time, with or without cause.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and Benefits upon Termination or Change of Control</w:t>
      </w:r>
    </w:p>
    <w:p>
      <w:pPr>
        <w:spacing w:after="0" w:line="231"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offer letter agreement with Mr. Ittycheria provides that if we terminate Mr. Ittycheria for any reason other than for cause or if Mr. Ittycheria resigns his position with us for good reason (as such terms are defined in his offer letter), Mr. Ittycheria would be entitled to receive the following severance benefits:</w:t>
      </w:r>
    </w:p>
    <w:p>
      <w:pPr>
        <w:spacing w:after="0" w:line="153" w:lineRule="exact"/>
        <w:rPr>
          <w:sz w:val="20"/>
          <w:szCs w:val="20"/>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 of Mr. Ittycheria's then-current base salary and target bonus for a period of 12 months following his termination date in accordance with our regular payroll practices;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Company paid health coverage for a period of 12 months following his termination date.</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 addition, if such termination or resignation occurs within 12 months after a change of control, Mr. Ittycheria would also be entitled, pursuant to the terms of his option agreements, to receive 100% acceleration of all then-unvested stock options held by Mr. Ittycheria.</w:t>
      </w:r>
    </w:p>
    <w:p>
      <w:pPr>
        <w:spacing w:after="0" w:line="186"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offer letter agreement with each of Mr. Delatorre and Mr. Gordon provides that if we terminate such executive officer for any reason other than for cause, death or disability or such executive officer resigns his position with us for good reason (as such terms are defined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executive officer's offer letter), such executive officer would be entitled to receive a severance benefit equal to six months of such officer's then-current base salary. In the event such termination or resignation occurs within 12 months after a change of control, then the executive officer would also be entitled to receive 100% acceleration of vesting of all then-unvested stock options held by such executive officer.</w:t>
      </w:r>
    </w:p>
    <w:p>
      <w:pPr>
        <w:spacing w:after="0" w:line="19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Payment of any of the above-described severance benefits is conditioned on the executive officer's delivery and non-revocation of a general release of claims in our favor within 30 days after such executive officer's termination.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and Variable Compensation Plans</w:t>
      </w:r>
    </w:p>
    <w:p>
      <w:pPr>
        <w:spacing w:after="0" w:line="231" w:lineRule="exact"/>
        <w:rPr>
          <w:sz w:val="20"/>
          <w:szCs w:val="20"/>
          <w:color w:val="auto"/>
        </w:rPr>
      </w:pPr>
    </w:p>
    <w:p>
      <w:pPr>
        <w:ind w:right="440" w:firstLine="351"/>
        <w:spacing w:after="0" w:line="291" w:lineRule="auto"/>
        <w:rPr>
          <w:sz w:val="20"/>
          <w:szCs w:val="20"/>
          <w:color w:val="auto"/>
        </w:rPr>
      </w:pPr>
      <w:r>
        <w:rPr>
          <w:rFonts w:ascii="Arial" w:cs="Arial" w:eastAsia="Arial" w:hAnsi="Arial"/>
          <w:sz w:val="16"/>
          <w:szCs w:val="16"/>
          <w:color w:val="auto"/>
        </w:rPr>
        <w:t>In fiscal year 2017, certain of our executive officers were eligible to participate in our executive bonus plan. Our executive bonus plan is designed to motivate and reward executives for the attainment of company performance goals set by our compensation committee at the beginning of each fiscal year. Bonuses for fiscal year 2017 for Messrs. Ittycheria and Gordon were measured as of July 31, 2016 and January 31, 2017 and were paid in August 2016 with respect to attainment of company performance goals during the first half of fiscal year 2017 and in March 2017 with respect to attainment of company performance goals during the second half of fiscal year 2017. For fiscal year 2017, Messrs. Ittycheria and Gordon received aggregate bonus payments of $230,400 and $115,200, respectively, pursuant to the terms of our executive bonus plan.</w:t>
      </w:r>
    </w:p>
    <w:p>
      <w:pPr>
        <w:spacing w:after="0" w:line="174"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color w:val="auto"/>
        </w:rPr>
        <w:t>Certain of our executive officers will also be eligible to participate in this plan in fiscal year 2018. Pursuant to the fiscal year 2018 executive bonus plan, Mr. Ittycheria is eligible to receive a target bonus of $200,000 and Mr. Gordon is eligible to receive a target bonus of $150,000.</w:t>
      </w:r>
    </w:p>
    <w:p>
      <w:pPr>
        <w:spacing w:after="0" w:line="139"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fiscal year 2017, Mr. Delatorre was eligible to participate in our sales variable compensation plan. Our sales variable compensation plan is designed to compensate executives for the attainment of sales targets set by our compensation committee at the beginning of each fiscal year. The variable compensation for fiscal year 2017 for Mr. Delatorre was measured and paid on a monthly basis based on attainment of the sales targets over the fiscal year. Mr. Delatorre received an aggregate variable compensation payment of $289,150 for fiscal year 2017 pursuant to the terms of our sales variable compensation plan. Pursuant to the fiscal year 2018 sales variable compensation plan, Mr. Delatorre is eligible to receive target sales compensation of $350,000.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color w:val="auto"/>
        </w:rPr>
        <w:t>Our board of directors adopted our 2016 Plan in December 2016 and our stockholders approved our 2016 Plan in January 2017. We intend to amend and restate our 2016 Plan in connection with this offering, effective upon the execution and delivery of the underwriting agreement related to this offering. All references herein to our 2016 Plan, shall be deemed to refer to our 2016 Plan, as amended and restated, unless context otherwise requires.</w:t>
      </w:r>
    </w:p>
    <w:p>
      <w:pPr>
        <w:spacing w:after="0" w:line="16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Our 2016 Plan provides for the grant of incentive stock options, or ISOs, nonstatutory stock options, or NSOs, stock appreciation rights, restricted stock awards, restricted stock unit awards, performance-based stock awards, and other stock awards, or collectively, stock awards. ISOs may be granted only to our employees, including our officers, and the employees of our affiliates. All other awards may be granted to our employees, including our officers, our non-employee directors and consultants and the employees and consultants of our affiliates.</w:t>
      </w:r>
    </w:p>
    <w:p>
      <w:pPr>
        <w:spacing w:after="0" w:line="167" w:lineRule="exact"/>
        <w:rPr>
          <w:sz w:val="20"/>
          <w:szCs w:val="20"/>
          <w:color w:val="auto"/>
        </w:rPr>
      </w:pPr>
    </w:p>
    <w:p>
      <w:pPr>
        <w:ind w:left="360"/>
        <w:spacing w:after="0"/>
        <w:tabs>
          <w:tab w:leader="none" w:pos="1840" w:val="left"/>
        </w:tabs>
        <w:rPr>
          <w:sz w:val="20"/>
          <w:szCs w:val="20"/>
          <w:color w:val="auto"/>
        </w:rPr>
      </w:pPr>
      <w:r>
        <w:rPr>
          <w:rFonts w:ascii="Arial" w:cs="Arial" w:eastAsia="Arial" w:hAnsi="Arial"/>
          <w:sz w:val="18"/>
          <w:szCs w:val="18"/>
          <w:i w:val="1"/>
          <w:iCs w:val="1"/>
          <w:color w:val="auto"/>
        </w:rPr>
        <w:t>Authorized Shares.</w:t>
      </w:r>
      <w:r>
        <w:rPr>
          <w:sz w:val="20"/>
          <w:szCs w:val="20"/>
          <w:color w:val="auto"/>
        </w:rPr>
        <w:tab/>
      </w:r>
      <w:r>
        <w:rPr>
          <w:rFonts w:ascii="Arial" w:cs="Arial" w:eastAsia="Arial" w:hAnsi="Arial"/>
          <w:sz w:val="15"/>
          <w:szCs w:val="15"/>
          <w:color w:val="auto"/>
        </w:rPr>
        <w:t>Initially, the aggregate number of shares of our Class A common stock that may be issued pursuant to stock awards under our 2016 Plan</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80" w:type="dxa"/>
            <w:vAlign w:val="bottom"/>
          </w:tcPr>
          <w:p>
            <w:pPr>
              <w:spacing w:after="0"/>
              <w:rPr>
                <w:sz w:val="20"/>
                <w:szCs w:val="20"/>
                <w:color w:val="auto"/>
              </w:rPr>
            </w:pPr>
            <w:r>
              <w:rPr>
                <w:rFonts w:ascii="Arial" w:cs="Arial" w:eastAsia="Arial" w:hAnsi="Arial"/>
                <w:sz w:val="18"/>
                <w:szCs w:val="18"/>
                <w:color w:val="auto"/>
                <w:w w:val="91"/>
              </w:rPr>
              <w:t>after the amendment to our 2016 Plan becomes effective is the sum of (1)</w:t>
            </w:r>
          </w:p>
        </w:tc>
        <w:tc>
          <w:tcPr>
            <w:tcW w:w="6040" w:type="dxa"/>
            <w:vAlign w:val="bottom"/>
          </w:tcPr>
          <w:p>
            <w:pPr>
              <w:jc w:val="right"/>
              <w:ind w:right="1752"/>
              <w:spacing w:after="0"/>
              <w:rPr>
                <w:sz w:val="20"/>
                <w:szCs w:val="20"/>
                <w:color w:val="auto"/>
              </w:rPr>
            </w:pPr>
            <w:r>
              <w:rPr>
                <w:rFonts w:ascii="Arial" w:cs="Arial" w:eastAsia="Arial" w:hAnsi="Arial"/>
                <w:sz w:val="18"/>
                <w:szCs w:val="18"/>
                <w:color w:val="auto"/>
                <w:w w:val="94"/>
              </w:rPr>
              <w:t>shares, plus (2) any shares subject to outstanding stock</w:t>
            </w:r>
          </w:p>
        </w:tc>
      </w:tr>
      <w:tr>
        <w:trPr>
          <w:trHeight w:val="426"/>
        </w:trPr>
        <w:tc>
          <w:tcPr>
            <w:tcW w:w="5380" w:type="dxa"/>
            <w:vAlign w:val="bottom"/>
          </w:tcPr>
          <w:p>
            <w:pPr>
              <w:spacing w:after="0"/>
              <w:rPr>
                <w:sz w:val="24"/>
                <w:szCs w:val="24"/>
                <w:color w:val="auto"/>
              </w:rPr>
            </w:pPr>
          </w:p>
        </w:tc>
        <w:tc>
          <w:tcPr>
            <w:tcW w:w="6040" w:type="dxa"/>
            <w:vAlign w:val="bottom"/>
          </w:tcPr>
          <w:p>
            <w:pPr>
              <w:jc w:val="right"/>
              <w:ind w:right="5492"/>
              <w:spacing w:after="0"/>
              <w:rPr>
                <w:sz w:val="20"/>
                <w:szCs w:val="20"/>
                <w:color w:val="auto"/>
              </w:rPr>
            </w:pPr>
            <w:r>
              <w:rPr>
                <w:rFonts w:ascii="Arial" w:cs="Arial" w:eastAsia="Arial" w:hAnsi="Arial"/>
                <w:sz w:val="18"/>
                <w:szCs w:val="18"/>
                <w:color w:val="auto"/>
              </w:rPr>
              <w:t>110</w:t>
            </w:r>
          </w:p>
        </w:tc>
      </w:tr>
      <w:tr>
        <w:trPr>
          <w:trHeight w:val="228"/>
        </w:trPr>
        <w:tc>
          <w:tcPr>
            <w:tcW w:w="538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options or other stock awards that were granted under our 2008 Plan that are forfeited, terminated, expire or are otherwise not issued. Additionally, the number of shares of our Class A common stock reserved for issuance under our 2016 Plan will automatically increase on January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of each calendar year for ten years, starting on January 1, 2018 and ending on and including January 1, 2027, in an amount equal to % of the total number of shares of our capital stock outstanding on December 31 of the prior calendar year, or a lesser number of shares determined by our board of directors. As of April 30, 2017, options to purchase 4,787,175 shares of Class A common stock, at exercise prices ranging from $3.79 to $4.20 per share, or a weighted-average exercise price of $4.14 per share, were outstanding under our 2016 Plan.</w:t>
      </w:r>
    </w:p>
    <w:p>
      <w:pPr>
        <w:spacing w:after="0" w:line="213"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Shares subject to stock awards granted under our 2016 Plan that expire or terminate without being exercised in full, or that are paid out in cash rather than in shares, do not reduce the number of shares available for issuance under our 2016 Plan. Additionally, shares become available for future grant under our 2016 Plan if they were issued under stock awards under our 2016 Plan if we repurchase them or they are forfeited. This includes shares used to pay the exercise price of a stock award or to satisfy the tax withholding obligations related to a stock award.</w:t>
      </w:r>
    </w:p>
    <w:p>
      <w:pPr>
        <w:spacing w:after="0" w:line="167" w:lineRule="exact"/>
        <w:rPr>
          <w:sz w:val="20"/>
          <w:szCs w:val="20"/>
          <w:color w:val="auto"/>
        </w:rPr>
      </w:pPr>
    </w:p>
    <w:p>
      <w:pPr>
        <w:ind w:right="360" w:firstLine="351"/>
        <w:spacing w:after="0" w:line="305" w:lineRule="auto"/>
        <w:rPr>
          <w:sz w:val="20"/>
          <w:szCs w:val="20"/>
          <w:color w:val="auto"/>
        </w:rPr>
      </w:pPr>
      <w:r>
        <w:rPr>
          <w:rFonts w:ascii="Arial" w:cs="Arial" w:eastAsia="Arial" w:hAnsi="Arial"/>
          <w:sz w:val="15"/>
          <w:szCs w:val="15"/>
          <w:i w:val="1"/>
          <w:iCs w:val="1"/>
          <w:color w:val="auto"/>
        </w:rPr>
        <w:t xml:space="preserve">Plan Administration. </w:t>
      </w:r>
      <w:r>
        <w:rPr>
          <w:rFonts w:ascii="Arial" w:cs="Arial" w:eastAsia="Arial" w:hAnsi="Arial"/>
          <w:sz w:val="15"/>
          <w:szCs w:val="15"/>
          <w:color w:val="auto"/>
        </w:rPr>
        <w:t>Our board of directors, or a duly authorized committee of our board of directors, will administer our 2016 Plan.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may also delegate to one or more of our officers the authority to (i) designate employees (other than officers) to receive specified stock awards, and</w:t>
      </w:r>
    </w:p>
    <w:p>
      <w:pPr>
        <w:ind w:right="40" w:firstLine="8"/>
        <w:spacing w:after="0" w:line="261" w:lineRule="auto"/>
        <w:tabs>
          <w:tab w:leader="none" w:pos="2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determine the number of shares subject to such stock awards. Under our 2016 Plan, our board of directors has the authority to determine and amend the terms of awards, including:</w:t>
      </w:r>
    </w:p>
    <w:p>
      <w:pPr>
        <w:spacing w:after="0" w:line="205"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recipients;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number of shares subject to each stock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fair market value of a share of our Class A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form of consideration, if any, payable upon exercise or settlement of the award.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our 2016 Plan, our board of directors also generally has the authority to effect, with the consent of any adversely affected participant:</w:t>
      </w:r>
    </w:p>
    <w:p>
      <w:pPr>
        <w:spacing w:after="0" w:line="262"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cancellation of any outstanding stock award and the grant in substitution therefor of other awards, cash or other consideration;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ind w:left="360"/>
        <w:spacing w:after="0"/>
        <w:tabs>
          <w:tab w:leader="none" w:pos="2100" w:val="left"/>
        </w:tabs>
        <w:rPr>
          <w:sz w:val="20"/>
          <w:szCs w:val="20"/>
          <w:color w:val="auto"/>
        </w:rPr>
      </w:pPr>
      <w:r>
        <w:rPr>
          <w:rFonts w:ascii="Arial" w:cs="Arial" w:eastAsia="Arial" w:hAnsi="Arial"/>
          <w:sz w:val="18"/>
          <w:szCs w:val="18"/>
          <w:i w:val="1"/>
          <w:iCs w:val="1"/>
          <w:color w:val="auto"/>
        </w:rPr>
        <w:t>Section 162(m) Limits.</w:t>
      </w:r>
      <w:r>
        <w:rPr>
          <w:sz w:val="20"/>
          <w:szCs w:val="20"/>
          <w:color w:val="auto"/>
        </w:rPr>
        <w:tab/>
      </w:r>
      <w:r>
        <w:rPr>
          <w:rFonts w:ascii="Arial" w:cs="Arial" w:eastAsia="Arial" w:hAnsi="Arial"/>
          <w:sz w:val="15"/>
          <w:szCs w:val="15"/>
          <w:color w:val="auto"/>
        </w:rPr>
        <w:t>At such time as necessary for compliance with Section 162(m) of the Code, no participant may be granted stock awards covering</w:t>
      </w:r>
    </w:p>
    <w:p>
      <w:pPr>
        <w:spacing w:after="0" w:line="15" w:lineRule="exact"/>
        <w:rPr>
          <w:sz w:val="20"/>
          <w:szCs w:val="20"/>
          <w:color w:val="auto"/>
        </w:rPr>
      </w:pPr>
    </w:p>
    <w:p>
      <w:pPr>
        <w:jc w:val="both"/>
        <w:ind w:right="220"/>
        <w:spacing w:after="0" w:line="281" w:lineRule="auto"/>
        <w:rPr>
          <w:sz w:val="20"/>
          <w:szCs w:val="20"/>
          <w:color w:val="auto"/>
        </w:rPr>
      </w:pPr>
      <w:r>
        <w:rPr>
          <w:rFonts w:ascii="Arial" w:cs="Arial" w:eastAsia="Arial" w:hAnsi="Arial"/>
          <w:sz w:val="16"/>
          <w:szCs w:val="16"/>
          <w:color w:val="auto"/>
        </w:rPr>
        <w:t>more than shares of our Class A common stock under our 2016 Plan during any calendar year pursuant to stock options, stock appreciation rights and other stock awards whose value is determined by reference to an increase over an exercise price or strike price of at least 100% of the fair market value of our Class A common stock on the date of grant. Additionally, under our 2016 Plan, in a calendar year, no participant may be granted a performance stock award</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covering more than shares of our Class A common stock or a performance cash award having a maximum value in excess of $ under our 2016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302" w:lineRule="auto"/>
        <w:rPr>
          <w:sz w:val="20"/>
          <w:szCs w:val="20"/>
          <w:color w:val="auto"/>
        </w:rPr>
      </w:pPr>
      <w:r>
        <w:rPr>
          <w:rFonts w:ascii="Arial" w:cs="Arial" w:eastAsia="Arial" w:hAnsi="Arial"/>
          <w:sz w:val="15"/>
          <w:szCs w:val="15"/>
          <w:i w:val="1"/>
          <w:iCs w:val="1"/>
          <w:color w:val="auto"/>
        </w:rPr>
        <w:t xml:space="preserve">Stock Options. </w:t>
      </w:r>
      <w:r>
        <w:rPr>
          <w:rFonts w:ascii="Arial" w:cs="Arial" w:eastAsia="Arial" w:hAnsi="Arial"/>
          <w:sz w:val="15"/>
          <w:szCs w:val="15"/>
          <w:color w:val="auto"/>
        </w:rPr>
        <w:t>ISOs and NSOs are granted pursuant to stock option agreements adopted by the plan administrator. The plan administrator determines the</w:t>
      </w:r>
      <w:r>
        <w:rPr>
          <w:rFonts w:ascii="Arial" w:cs="Arial" w:eastAsia="Arial" w:hAnsi="Arial"/>
          <w:sz w:val="15"/>
          <w:szCs w:val="15"/>
          <w:i w:val="1"/>
          <w:iCs w:val="1"/>
          <w:color w:val="auto"/>
        </w:rPr>
        <w:t xml:space="preserve"> </w:t>
      </w:r>
      <w:r>
        <w:rPr>
          <w:rFonts w:ascii="Arial" w:cs="Arial" w:eastAsia="Arial" w:hAnsi="Arial"/>
          <w:sz w:val="15"/>
          <w:szCs w:val="15"/>
          <w:color w:val="auto"/>
        </w:rPr>
        <w:t>exercise price for stock options, within the terms and conditions of our 2016 Plan, provided that the exercise price of a stock option generally cannot be less than 100% of the fair market value of our Class A common stock on the date of grant. Options granted under our 2016 Plan vest at the rate specified in the stock option agreement as determined by the plan administrator. The maximum number of shares of our Class A common stock that may be issued upon the exercise of ISOs</w:t>
      </w:r>
    </w:p>
    <w:p>
      <w:pPr>
        <w:spacing w:after="0" w:line="3" w:lineRule="exact"/>
        <w:rPr>
          <w:sz w:val="20"/>
          <w:szCs w:val="20"/>
          <w:color w:val="auto"/>
        </w:rPr>
      </w:pPr>
    </w:p>
    <w:p>
      <w:pPr>
        <w:spacing w:after="0"/>
        <w:tabs>
          <w:tab w:leader="none" w:pos="2280" w:val="left"/>
        </w:tabs>
        <w:rPr>
          <w:sz w:val="20"/>
          <w:szCs w:val="20"/>
          <w:color w:val="auto"/>
        </w:rPr>
      </w:pPr>
      <w:r>
        <w:rPr>
          <w:rFonts w:ascii="Arial" w:cs="Arial" w:eastAsia="Arial" w:hAnsi="Arial"/>
          <w:sz w:val="18"/>
          <w:szCs w:val="18"/>
          <w:color w:val="auto"/>
        </w:rPr>
        <w:t>under our 2016 Plan is</w:t>
      </w:r>
      <w:r>
        <w:rPr>
          <w:sz w:val="20"/>
          <w:szCs w:val="20"/>
          <w:color w:val="auto"/>
        </w:rPr>
        <w:tab/>
      </w:r>
      <w:r>
        <w:rPr>
          <w:rFonts w:ascii="Arial" w:cs="Arial" w:eastAsia="Arial" w:hAnsi="Arial"/>
          <w:sz w:val="14"/>
          <w:szCs w:val="14"/>
          <w:color w:val="auto"/>
        </w:rPr>
        <w:t>shares.</w:t>
      </w:r>
    </w:p>
    <w:p>
      <w:pPr>
        <w:spacing w:after="0" w:line="219" w:lineRule="exact"/>
        <w:rPr>
          <w:sz w:val="20"/>
          <w:szCs w:val="20"/>
          <w:color w:val="auto"/>
        </w:rPr>
      </w:pPr>
    </w:p>
    <w:p>
      <w:pPr>
        <w:ind w:right="220" w:firstLine="351"/>
        <w:spacing w:after="0" w:line="291"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once the participant's continuous service ends for any reason.</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pursuant to restricted stock award agreements adopted by the plan administrator. A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any or all of the shares of Class A common stock held by the participant that have not vested as of the date the participant terminates service with us through a forfeiture condition or a repurchase right.</w:t>
      </w:r>
    </w:p>
    <w:p>
      <w:pPr>
        <w:spacing w:after="0" w:line="198"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Class A common stock on the date of grant. A stock appreciation right granted under our 2016 Plan vests at the rate specified in the stock appreciation right agreement as determined by the plan administrator.</w:t>
      </w:r>
    </w:p>
    <w:p>
      <w:pPr>
        <w:spacing w:after="0" w:line="197"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Our 2016 Plan permits the grant of performance-based stock and cash awards that may qualify as performance-based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subject to the $1,000,000 limitation on the income tax deductibility of compensation paid to a covered executive officer imposed by Section 162(m) of the Code. Our compensation committee may structure such awards so that the stock or cash will be issued or paid pursuant to such award only following the achievement of certain pre-established performance goals during a designated performance period.</w:t>
      </w:r>
    </w:p>
    <w:p>
      <w:pPr>
        <w:spacing w:after="0" w:line="167" w:lineRule="exact"/>
        <w:rPr>
          <w:sz w:val="20"/>
          <w:szCs w:val="20"/>
          <w:color w:val="auto"/>
        </w:rPr>
      </w:pPr>
    </w:p>
    <w:p>
      <w:pPr>
        <w:ind w:right="140" w:firstLine="348"/>
        <w:spacing w:after="0" w:line="302" w:lineRule="auto"/>
        <w:rPr>
          <w:sz w:val="20"/>
          <w:szCs w:val="20"/>
          <w:color w:val="auto"/>
        </w:rPr>
      </w:pPr>
      <w:r>
        <w:rPr>
          <w:rFonts w:ascii="Arial" w:cs="Arial" w:eastAsia="Arial" w:hAnsi="Arial"/>
          <w:sz w:val="15"/>
          <w:szCs w:val="15"/>
          <w:color w:val="auto"/>
        </w:rPr>
        <w:t>The performance goals that may be selected include one or more of the following: (1) earnings (including earnings per share and net earnings); (2) earnings before interest, taxes and depreciation; (3) earnings before interest, taxes, depreciation and amortization; (4) earnings before interest, taxes, depreciation, amortization and legal settlements; (5) earnings before interest, taxes, depreciation, amortization, legal settlements and other income (expense); (6) earnings before interest, taxes, depreciation, amortization, legal settlements, other income (expense) and stock-based compensation; (7) earnings before interest, taxes, depreciation, amortization, legal settlements, other income (expense), stock-based compensation and changes in deferred revenue; (8) total stockholder return;</w:t>
      </w:r>
    </w:p>
    <w:p>
      <w:pPr>
        <w:spacing w:after="0" w:line="2" w:lineRule="exact"/>
        <w:rPr>
          <w:sz w:val="20"/>
          <w:szCs w:val="20"/>
          <w:color w:val="auto"/>
        </w:rPr>
      </w:pPr>
    </w:p>
    <w:p>
      <w:pPr>
        <w:ind w:left="260" w:hanging="252"/>
        <w:spacing w:after="0"/>
        <w:tabs>
          <w:tab w:leader="none" w:pos="2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return on equity or average stockholder's equity; (10) return on assets, investment, or capital employed; (11) stock price; (12) margin (including gross margin);</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income (before or after taxes); (14) operating income; (15) operating income after taxes; (16) pre-tax profit; (17) operating cash flow;</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8"/>
        <w:spacing w:after="0" w:line="283" w:lineRule="auto"/>
        <w:tabs>
          <w:tab w:leader="none" w:pos="336" w:val="left"/>
        </w:tabs>
        <w:numPr>
          <w:ilvl w:val="0"/>
          <w:numId w:val="74"/>
        </w:numPr>
        <w:rPr>
          <w:rFonts w:ascii="Arial" w:cs="Arial" w:eastAsia="Arial" w:hAnsi="Arial"/>
          <w:sz w:val="16"/>
          <w:szCs w:val="16"/>
          <w:color w:val="auto"/>
        </w:rPr>
      </w:pPr>
      <w:r>
        <w:rPr>
          <w:rFonts w:ascii="Arial" w:cs="Arial" w:eastAsia="Arial" w:hAnsi="Arial"/>
          <w:sz w:val="16"/>
          <w:szCs w:val="16"/>
          <w:color w:val="auto"/>
        </w:rPr>
        <w:t>sales or revenue targets; (19) increases in revenues or product revenues; (20) expenses and cost reduction goals; (21) improvement in or attainment of working capital levels; (22) economic value added (or an equivalent metric); (23) market share; (24) cash flow; (25) cash flow per share; (26) share price performance; (27) debt reduction; (28) implementation or completion of projects or processes; (29) stockholders' equity; (30) capital expenditures; (31) debt levels; (32) operating profit or net operating profit; (33) workforce diversity; (34) growth of net income or operating income; (35) billings; (36) bookings;</w:t>
      </w:r>
    </w:p>
    <w:p>
      <w:pPr>
        <w:spacing w:after="0" w:line="2" w:lineRule="exact"/>
        <w:rPr>
          <w:rFonts w:ascii="Arial" w:cs="Arial" w:eastAsia="Arial" w:hAnsi="Arial"/>
          <w:sz w:val="16"/>
          <w:szCs w:val="16"/>
          <w:color w:val="auto"/>
        </w:rPr>
      </w:pPr>
    </w:p>
    <w:p>
      <w:pPr>
        <w:ind w:right="60" w:firstLine="8"/>
        <w:spacing w:after="0" w:line="323" w:lineRule="auto"/>
        <w:tabs>
          <w:tab w:leader="none" w:pos="3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employee retention; (38) strategic partnerships or transactions (including in-licensing and out-licensing of intellectual property; and (39) to the extent that an award is not intended to comply with Section 162(m) of the Code, other measures of performance selected by our board of directors.</w:t>
      </w:r>
    </w:p>
    <w:p>
      <w:pPr>
        <w:spacing w:after="0" w:line="147" w:lineRule="exact"/>
        <w:rPr>
          <w:sz w:val="20"/>
          <w:szCs w:val="20"/>
          <w:color w:val="auto"/>
        </w:rPr>
      </w:pPr>
    </w:p>
    <w:p>
      <w:pPr>
        <w:ind w:right="260" w:firstLine="348"/>
        <w:spacing w:after="0" w:line="303" w:lineRule="auto"/>
        <w:rPr>
          <w:sz w:val="20"/>
          <w:szCs w:val="20"/>
          <w:color w:val="auto"/>
        </w:rPr>
      </w:pPr>
      <w:r>
        <w:rPr>
          <w:rFonts w:ascii="Arial" w:cs="Arial" w:eastAsia="Arial" w:hAnsi="Arial"/>
          <w:sz w:val="15"/>
          <w:szCs w:val="15"/>
          <w:color w:val="auto"/>
        </w:rPr>
        <w:t>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or compensation committee (as applicable) (i) in the award agreement at the time the award is granted or</w:t>
      </w:r>
    </w:p>
    <w:p>
      <w:pPr>
        <w:spacing w:after="0" w:line="1" w:lineRule="exact"/>
        <w:rPr>
          <w:sz w:val="20"/>
          <w:szCs w:val="20"/>
          <w:color w:val="auto"/>
        </w:rPr>
      </w:pPr>
    </w:p>
    <w:p>
      <w:pPr>
        <w:ind w:right="240" w:firstLine="8"/>
        <w:spacing w:after="0" w:line="300" w:lineRule="auto"/>
        <w:tabs>
          <w:tab w:leader="none" w:pos="258"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285" w:lineRule="auto"/>
        <w:rPr>
          <w:rFonts w:ascii="Arial" w:cs="Arial" w:eastAsia="Arial" w:hAnsi="Arial"/>
          <w:sz w:val="15"/>
          <w:szCs w:val="15"/>
          <w:color w:val="auto"/>
        </w:rPr>
      </w:pPr>
      <w:r>
        <w:rPr>
          <w:rFonts w:ascii="Arial" w:cs="Arial" w:eastAsia="Arial" w:hAnsi="Arial"/>
          <w:sz w:val="16"/>
          <w:szCs w:val="16"/>
          <w:color w:val="auto"/>
        </w:rPr>
        <w:t>(3) to exclude the effects of changes to generally accepted accounting principles; (4) to exclude the effects of items that are "unusual" in nature or occur "infrequently" as determined under generally accepted accounting principles; (5) to exclude the dilutive effects of acquisitions or joint ventures; (6) to assume that any business divested by us achieved performance objectives at targeted levels during the balance of a performance period following such divestiture; (7)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(8) to exclude the effects of stock-based compensation and the award of bonuses under our bonus plans; (9) to exclude costs incurred in connection with potential acquisitions or divestitures that are required to be expensed under generally accepted accounting principles; and (10) to exclude the goodwill and intangible asset impairment charges that are required to be recorded under generally accepted accounting principles. In addition, our board of directors or compensation committee (as applicable) retains the discretion to reduce or eliminate the compensation or economic benefit due upon attainment of the performance goals and to define the manner of calculating the performance criteria our board of directors or compensation committee (as applicable)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8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Our 2016 Plan administrator may grant other awards based in whole or in part by reference to our Class A common stock. Our 2016</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will set the number of shares under the stock award and all other terms and conditions of such awards.</w:t>
      </w:r>
    </w:p>
    <w:p>
      <w:pPr>
        <w:spacing w:after="0" w:line="186"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that there is a specified type of change in our capital structure, such as a stock split or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adjustments will be made to (1) the class and maximum number of shares reserved for issuance under our 2016 Plan, (2) the class and maximum number of shares by which the share reserve may increase automatically each year, (3) the class and maximum number of shares that may be issued upon the exercise of ISOs, (4) the class and maximum number of shares subject to stock awards that can be granted in a fiscal year (as established under our 2016 Plan pursuant to Section 162(m) of the Code), and (6) the class and number of shares and exercise price, strike price, or purchase price, if applicable, of all outstanding stock awards.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2016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may take one of the following actions with respect to such awards:</w:t>
      </w:r>
    </w:p>
    <w:p>
      <w:pPr>
        <w:spacing w:after="0" w:line="188"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assumption, continuation or substitution of a stock award by a successor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assignment of any reacquisition or repurchase rights held by us to a successor corporation;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accelerate the vesting, in whole or in part, of the stock award and provide for its termination prior to the transaction;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arrange for the lapse, in whole or in part, of any reacquisition or repurchase rights held by us; or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cancel or arrange for the cancellation of the stock award before the transaction in exchange for a cash payment or no payment, as determined by our board of directors; or</w:t>
      </w:r>
    </w:p>
    <w:p>
      <w:pPr>
        <w:spacing w:after="0" w:line="199" w:lineRule="exact"/>
        <w:rPr>
          <w:rFonts w:ascii="Arial" w:cs="Arial" w:eastAsia="Arial" w:hAnsi="Arial"/>
          <w:sz w:val="18"/>
          <w:szCs w:val="18"/>
          <w:color w:val="auto"/>
        </w:rPr>
      </w:pPr>
    </w:p>
    <w:p>
      <w:pPr>
        <w:ind w:left="1080" w:right="120" w:hanging="532"/>
        <w:spacing w:after="0" w:line="25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make a payment, in the form determined by our board of directors, equal to the excess, if any, of the value of the property the participant would have received on exercise of the awards before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Class A common stock.</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plan administrator is not obligated to treat all stock awards or portions of stock awards, even those that are of the same type, in the same manner.</w:t>
      </w:r>
    </w:p>
    <w:p>
      <w:pPr>
        <w:spacing w:after="0" w:line="248"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the event of a change in control, awards granted under our 2016 Plan will not receive automatic acceleration of vesting and/or exercisability, although this treatment may be provided for in an award agreement. Under our 2016 Plan, a change in control generally will be deemed to occur in the event: (1) the acquisition by any a person or company of more than 50% of the combined voting power of our then outstanding stock; (2) a merger, consolidation, or similar transaction in which our stockholders immediately before the transaction do not own, directly or indirectly, more than 50% of the combined outstanding voting power of the surviving entity or the parent of the surviving entity; (3) a sale, lease, exclusive license or other disposition of all or substantially all of our assets other than to an entity more than 50% of the combined voting power of which is owned by our stockholders; or (4) an unapproved change in the majority of our board of directors.</w:t>
      </w:r>
    </w:p>
    <w:p>
      <w:pPr>
        <w:spacing w:after="0" w:line="20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generally may not transfer stock awards under our 2016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2016 Plan.</w:t>
      </w:r>
    </w:p>
    <w:p>
      <w:pPr>
        <w:spacing w:after="0" w:line="186"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Our board of directors has the authority to amend, suspend, or terminate our 2016 Plan, provided that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materially impair the existing rights of any participant without such participant's written consent. Certain material amendments also require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approval of our stockholders. No ISOs may be granted after the tenth anniversary of the date our board of directors adopted our 2016 Plan. No stock awards may be granted under our 2016 Plan while it is suspended or after it is terminated.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board of directors adopted, and our stockholders approved, our 2017 Employee Stock Purchase Plan, or ESPP, in . The ESPP will become effective immediately 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 for U.S. employees.</w:t>
      </w:r>
    </w:p>
    <w:p>
      <w:pPr>
        <w:spacing w:after="0" w:line="167" w:lineRule="exact"/>
        <w:rPr>
          <w:sz w:val="20"/>
          <w:szCs w:val="20"/>
          <w:color w:val="auto"/>
        </w:rPr>
      </w:pPr>
    </w:p>
    <w:p>
      <w:pPr>
        <w:ind w:right="100" w:firstLine="351"/>
        <w:spacing w:after="0" w:line="303"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Following this offering, the ESPP authorizes the issuance of shares of our Class A common stock under purchase rights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our employees or to employees of any of our designated affiliates. The number of shares of our Class A common stock reserved for issuance will automatically increase on January 1st of each calendar year, beginning on January 1, 2018 (assuming the ESPP becomes effective in calendar year ending December 31, 2017)</w:t>
      </w:r>
    </w:p>
    <w:p>
      <w:pPr>
        <w:spacing w:after="0" w:line="1"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and ending on and including January 1, 2027, by the lesser of (1) % of the total number of shares of our capital stock outstanding on the last day of the calendar month before the date of the automatic increase, and (2) shares; provided that before the date of any such increase, our board of directors may</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determine that such increase will be less than the amount set forth in clauses (1) and (2). As of the date hereof, no shares of our Class A common stock have been purchased under the ESPP.</w:t>
      </w:r>
    </w:p>
    <w:p>
      <w:pPr>
        <w:spacing w:after="0" w:line="192" w:lineRule="exact"/>
        <w:rPr>
          <w:sz w:val="20"/>
          <w:szCs w:val="20"/>
          <w:color w:val="auto"/>
        </w:rPr>
      </w:pPr>
    </w:p>
    <w:p>
      <w:pPr>
        <w:ind w:right="20" w:firstLine="348"/>
        <w:spacing w:after="0" w:line="302"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board of directors has delegated its authority to administer the ESPP to our compensation committee. The ESPP is implemented</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w:t>
      </w:r>
    </w:p>
    <w:p>
      <w:pPr>
        <w:spacing w:after="0" w:line="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offering. We currently intend to have -month offerings with multiple purchase periods (of approximately six months in duration) per offering, except that the first purchase period under our first offering may be shorter or longer than six months, depending on the date on which the underwriting agreement relating to this offering becomes effective. An offering under the ESPP may be terminated under certain circumstances.</w:t>
      </w:r>
    </w:p>
    <w:p>
      <w:pPr>
        <w:spacing w:after="0" w:line="163"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Payroll Deductions. </w:t>
      </w:r>
      <w:r>
        <w:rPr>
          <w:rFonts w:ascii="Arial" w:cs="Arial" w:eastAsia="Arial" w:hAnsi="Arial"/>
          <w:sz w:val="16"/>
          <w:szCs w:val="16"/>
          <w:color w:val="auto"/>
        </w:rPr>
        <w:t>Generally, all regular employees, including executive officers, employed by us or by any of our designated affiliates, may participate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ESPP and may contribute, normally through payroll deductions, up to %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 For the initial offering, which we expect will commence on the execution and delivery of the underwriting agreement relating to this offering, the fair market value on the first day of the offering period will be the price at which shares of Class A common stock are first sold to the public.</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i w:val="1"/>
          <w:iCs w:val="1"/>
          <w:color w:val="auto"/>
        </w:rPr>
        <w:t xml:space="preserve">Limitations. </w:t>
      </w:r>
      <w:r>
        <w:rPr>
          <w:rFonts w:ascii="Arial" w:cs="Arial" w:eastAsia="Arial" w:hAnsi="Arial"/>
          <w:sz w:val="18"/>
          <w:szCs w:val="18"/>
          <w:color w:val="auto"/>
        </w:rPr>
        <w:t>Employees may have to satisfy one or more of the following service requirements before participating in the ESPP, as determined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including: (1) being customarily employed for more than 20 hours per week, (2) being customarily employed for more than five months per calendar year, or (3) continuous employment with us or one of our affiliates for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and the</w:t>
      </w:r>
    </w:p>
    <w:p>
      <w:pPr>
        <w:ind w:right="220"/>
        <w:spacing w:after="0" w:line="255" w:lineRule="auto"/>
        <w:rPr>
          <w:sz w:val="20"/>
          <w:szCs w:val="20"/>
          <w:color w:val="auto"/>
        </w:rPr>
      </w:pPr>
      <w:r>
        <w:rPr>
          <w:rFonts w:ascii="Arial" w:cs="Arial" w:eastAsia="Arial" w:hAnsi="Arial"/>
          <w:sz w:val="18"/>
          <w:szCs w:val="18"/>
          <w:color w:val="auto"/>
        </w:rPr>
        <w:t>maximum number of shares an employee may purchase during a single purchase period is .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98" w:lineRule="exact"/>
        <w:rPr>
          <w:sz w:val="20"/>
          <w:szCs w:val="20"/>
          <w:color w:val="auto"/>
        </w:rPr>
      </w:pPr>
    </w:p>
    <w:p>
      <w:pPr>
        <w:ind w:right="220" w:firstLine="351"/>
        <w:spacing w:after="0" w:line="284"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there occurs a change in our capital structure through such actions as a stock split, merger,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w:t>
      </w:r>
    </w:p>
    <w:p>
      <w:pPr>
        <w:spacing w:after="0" w:line="1" w:lineRule="exact"/>
        <w:rPr>
          <w:sz w:val="20"/>
          <w:szCs w:val="20"/>
          <w:color w:val="auto"/>
        </w:rPr>
      </w:pPr>
    </w:p>
    <w:p>
      <w:pPr>
        <w:jc w:val="both"/>
        <w:ind w:right="160" w:firstLine="8"/>
        <w:spacing w:after="0" w:line="361" w:lineRule="auto"/>
        <w:tabs>
          <w:tab w:leader="none" w:pos="249"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3"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In the event of certain significant corporate transactions, including: (1) a sale of all or substantially all of our assets, (2) the sale or</w:t>
      </w:r>
      <w:r>
        <w:rPr>
          <w:rFonts w:ascii="Arial" w:cs="Arial" w:eastAsia="Arial" w:hAnsi="Arial"/>
          <w:sz w:val="16"/>
          <w:szCs w:val="16"/>
          <w:i w:val="1"/>
          <w:iCs w:val="1"/>
          <w:color w:val="auto"/>
        </w:rPr>
        <w:t xml:space="preserve"> </w:t>
      </w:r>
      <w:r>
        <w:rPr>
          <w:rFonts w:ascii="Arial" w:cs="Arial" w:eastAsia="Arial" w:hAnsi="Arial"/>
          <w:sz w:val="16"/>
          <w:szCs w:val="16"/>
          <w:color w:val="auto"/>
        </w:rPr>
        <w:t>disposition of 90% of our outstanding securities, (3) the consummation of a merger or consolidation where we do not survive the transaction, and (4)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w:t>
      </w:r>
    </w:p>
    <w:p>
      <w:pPr>
        <w:spacing w:after="0" w:line="172"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i w:val="1"/>
          <w:iCs w:val="1"/>
          <w:color w:val="auto"/>
        </w:rPr>
        <w:t xml:space="preserve">ESPP Amendment or Termination. </w:t>
      </w:r>
      <w:r>
        <w:rPr>
          <w:rFonts w:ascii="Arial" w:cs="Arial" w:eastAsia="Arial" w:hAnsi="Arial"/>
          <w:sz w:val="18"/>
          <w:szCs w:val="18"/>
          <w:color w:val="auto"/>
        </w:rPr>
        <w:t>Our board of directors has the authority to amend or terminate our ESPP, provided that except in certain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amendment or termination may not materially impair any outstanding purchase rights without the holder's consent. We will obtain stockholder approval of any amendment to our ESPP as required by applicable law or listing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Stock Plan</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Our board of directors adopted and our stockholders approved our 2008 Stock Plan, or our 2008 Plan, in March 2008. We subsequently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our 2008 Plan, with the most recent amendment occurring in April 2016, the purpose of which was to increase the number of shares available for issuance under our 2008 Plan. Our stockholders approved this recent amendment in April 2016. Our 2008 Plan was terminated in connection with our adoption of our 2016 Plan; however, awards outstanding under our 2008 Plan continue in full effect in accordance with their existing terms.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April 30, 2017, we have reserved 32,101,077 shares of our Class B common stock for issuance under our 2008 Plan. As of April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options to purchase 19,600,909 shares of Class B common stock, at exercise prices ranging from $0.1933 to $8.33 per share, or a weighted-average exercise price of $3.21 per share, were outstanding under our 2008 Plan.</w:t>
      </w:r>
    </w:p>
    <w:p>
      <w:pPr>
        <w:spacing w:after="0" w:line="194"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has administered our 2008 Plan since its adoption, however, following this offering, the compensation committee of</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will generally administer our 2008 Plan. Our board of directors has full authority and discretion to take any actions 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deems necessary or advisable for the administration of our 2008 Plan. Our board of directors may modify, extend or renew outstanding options or may accept the cancellation of outstanding options (whether granted by us or another issuer) in return for the grant of new options for the same or a different number of shares and at the same or a different exercise price.</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Types of Awards. </w:t>
      </w:r>
      <w:r>
        <w:rPr>
          <w:rFonts w:ascii="Arial" w:cs="Arial" w:eastAsia="Arial" w:hAnsi="Arial"/>
          <w:sz w:val="16"/>
          <w:szCs w:val="16"/>
          <w:color w:val="auto"/>
        </w:rPr>
        <w:t>Our 2008 Plan provides for both the award or sale of shares of our Class B common stock and for the grant of incentive stock options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nonstatutory stock options to purchase shares of our Class B common stock to employees, non-employee members of our board of directors and consultants.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of options granted under our 2008 Plan may not be less than 100% of the fair market value of our Class A common stock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grant date. Options expire at the time determined by the administrator, but in no event more than ten years after they are granted, and generally expire earlier if the optionee's service terminates.</w:t>
      </w:r>
    </w:p>
    <w:p>
      <w:pPr>
        <w:spacing w:after="0" w:line="194"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shares acquired under our 2008 Plan will be subject to the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merger or consolidation, which agreement need not treat all options in an identical manner. Such agreement may provide for one or more of the following with respect to outstanding options, in each case without an optionee's consent:</w:t>
      </w:r>
    </w:p>
    <w:p>
      <w:pPr>
        <w:spacing w:after="0" w:line="208"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continuation of the outstanding options by the Company, if the Company is a surviving corporation;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assumption of our 2008 Plan and outstanding options by the surviving corporation or its parent;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substitution by the surviving corporation or its parent of options with substantially the same terms for outstanding options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immediate exercisability of outstanding options followed by the cancellation of such options;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settlement of the full value of the outstanding options (whether or not then exercisable) in cash or cash equivalents followed by the cancellation of such options.</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a subdivision of our outstanding stock, a declaration of a dividend payable in shares, a declaration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extraordinary dividend payable in a form other than shares in an amount that has a material effect on the fair market value of our Class B common stock, a combination or consolidation of our outstanding Class B common stock into a lesser number of shares, a recapitalization, a spin-off, a reclassification, or a similar occurrence, our board of directors will make appropriate adjustments to one or more of the following: (i) the number of shares available for future awards under our 2008 Plan, (ii) the number of shares covered by each outstanding option, (iii) the exercise price under each outstanding option; and (iv) the price of shares subject to our repurchase.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2008 Plan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under our 2008 Plan.</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2008 Plan, provided that such action is</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our stockholders to the extent stockholder approval is necessary and that such action does not impair the existing rights of any participant without such participant's written consent. As described above, our 2008 Plan terminated upon the effective date of our 2016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adopted and our stockholders approved our China 2016 Stock Appreciations Right Plan, or our Stock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Plan, in April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has administered our Stock Appreciation Rights Plan since its adoption, however, following this offering,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of our board of directors will generally administer our Stock Appreciation Rights Plan. Our board of directors may also delegate to one or more of our officers the authority to act on behalf of us with respect to any matter, right, obligation, determination or election which is the responsibility of or which is allocated to the Company under our Stock Appreciation Rights Plan. Under our Stock Appreciation Rights Plan, our board of directors has the authority to:</w:t>
      </w:r>
    </w:p>
    <w:p>
      <w:pPr>
        <w:spacing w:after="0" w:line="210"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persons to whom, and the time or times at which, awards will be granted;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determine the terms, conditions and restrictions applicable to each award (which need not be identical);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approve one or more forms of award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amend, modify, extend, cancel or renew any award or to waive any restrictions or conditions applicable to any award;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accelerate, continue, extend or defer the exercisability of any award;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prescribe, amend or rescind rules, guidelines and policies relating to the plan or to adopt supplements to, or alternative versions of the plan; and</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correct any defect, supply any omission or reconcile any inconsistency in the plan or any award agreement and to make all other determinations and take such other actions with respect to the plan as the board of directors may deem advisable.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Type of Awards. </w:t>
      </w:r>
      <w:r>
        <w:rPr>
          <w:rFonts w:ascii="Arial" w:cs="Arial" w:eastAsia="Arial" w:hAnsi="Arial"/>
          <w:sz w:val="18"/>
          <w:szCs w:val="18"/>
          <w:color w:val="auto"/>
        </w:rPr>
        <w:t>Our Stock Appreciation Rights Plan provides for the award of rights to participants to receive a payment of cash of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excess, if any, of the fair market value of our common stock determined as of the date on which the award is exercised or deemed exercised over the strike price established by our board of directors and set forth in a participant's award agreement. Unless otherwise specified by our board of directors in the grant of an award, each award under our Stock Appreciation Rights Plan will have a strike price equal to 100% of the fair market value of our common stock on the grant date.</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6"/>
          <w:szCs w:val="16"/>
          <w:i w:val="1"/>
          <w:iCs w:val="1"/>
          <w:color w:val="auto"/>
        </w:rPr>
        <w:t>Eligibility.</w:t>
      </w:r>
      <w:r>
        <w:rPr>
          <w:sz w:val="20"/>
          <w:szCs w:val="20"/>
          <w:color w:val="auto"/>
        </w:rPr>
        <w:tab/>
      </w:r>
      <w:r>
        <w:rPr>
          <w:rFonts w:ascii="Arial" w:cs="Arial" w:eastAsia="Arial" w:hAnsi="Arial"/>
          <w:sz w:val="16"/>
          <w:szCs w:val="16"/>
          <w:color w:val="auto"/>
        </w:rPr>
        <w:t>Employees, non-employee members of our board of directors and consultants are eligible to participate in our Stock Appreciation Rights Plan.</w:t>
      </w:r>
    </w:p>
    <w:p>
      <w:pPr>
        <w:spacing w:after="0" w:line="248"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our board of directors may take the following actions: (1) provide in any award agreement or take</w:t>
      </w:r>
      <w:r>
        <w:rPr>
          <w:rFonts w:ascii="Arial" w:cs="Arial" w:eastAsia="Arial" w:hAnsi="Arial"/>
          <w:sz w:val="16"/>
          <w:szCs w:val="16"/>
          <w:i w:val="1"/>
          <w:iCs w:val="1"/>
          <w:color w:val="auto"/>
        </w:rPr>
        <w:t xml:space="preserve"> </w:t>
      </w:r>
      <w:r>
        <w:rPr>
          <w:rFonts w:ascii="Arial" w:cs="Arial" w:eastAsia="Arial" w:hAnsi="Arial"/>
          <w:sz w:val="16"/>
          <w:szCs w:val="16"/>
          <w:color w:val="auto"/>
        </w:rPr>
        <w:t>such actions to provide for acceleration of the exercisability and vesting of any or all outstanding awards and shares acquired upon the exercise of awards upon such conditions, including termination of a participant's service prior to, upon, or following such change in control; and (2) without the consent of a participant, determine that, upon the occurrence of a change in control, each or any award outstanding immediately prior the change in control shall be canceled in exchange for a payment with respect to each vested award (and each unvested award, if so determined by the board of directors) of our common stock subject to such canceled award in cash in an amount equal to the excess of the fair market value of the consideration to be paid per share of our common stock in the change in control over the strike price per share under such award (the spread). In addition, in the event of a change in control, the surviving, continuing, successor, or purchasing corporation, as applicable, may, without the consent of any participant, either assume or continue our rights and obligations under each or any award or portion thereof outstanding immediately prior to the change in control or substitute for each or any outstanding award or portion thereof a substantially equivalent award based upon our acquiror's stock.</w:t>
      </w:r>
    </w:p>
    <w:p>
      <w:pPr>
        <w:spacing w:after="0" w:line="177"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Under our Stock Appreciation Rights Plan, a change in control generally will be deemed to occur in the event of: (1) a direct or indirect sale or exchange by our stockholders of more than 50% of our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voting stock; (2) a merger or consolidation in which we are a party and following which our stockholders immediately before the transaction do not retain, directly or indirectly, more than 50% of the total combined outstanding voting power of our capital stock; (3) the sale, exchange or transfer of more than 50% by value of our assets; or (4) our liquidation or dissolution.</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our common stock, such as a merger, consolidation, 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stock dividend, stock split, reverse stock split, stock dividend, or other like change in our capital structure or distribution (other than normal cash dividends) to our shareholders, appropriate adjustments will be made in each of (1) the number of rights covered by each outstanding award, (2) the class of shares to which a right relates; and (3) the strike price of each award in order to prevent dilution or enlargement of a participant's rights under our Stock Appreciation Rights Plan.</w:t>
      </w:r>
    </w:p>
    <w:p>
      <w:pPr>
        <w:spacing w:after="0" w:line="197"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awards under our Stock Appreciation Rights Plan other than by will, the laws of descent and distribution,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as otherwise provided under our Stock Appreciation Rights Plan.</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Plan Amendment or Termination. </w:t>
      </w:r>
      <w:r>
        <w:rPr>
          <w:rFonts w:ascii="Arial" w:cs="Arial" w:eastAsia="Arial" w:hAnsi="Arial"/>
          <w:sz w:val="16"/>
          <w:szCs w:val="16"/>
          <w:color w:val="auto"/>
        </w:rPr>
        <w:t>Our board of directors has the authority to amend, suspend or terminate our Stock Appreciation Rights Plan at any time,</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that there will be no amendment of our Stock Appreciation Rights Plan that would require approval of our stockholders under any applicable law, regulation or rule including the rules of any stock exchange or market system upon which our common stock may then be listed without such required approval. In addition, except as otherwise provided in our Stock Appreciation Rights Plan, no amendment, suspension or termination of our Stock Appreciation Rights Plan may adversely affect any then outstanding right without the consent of the participant. No rights may be granted after the tenth anniversary of the date our board of directors adopted our Stock Appreciation Rights Plan.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maintain a defined contribution retirement plan that provides eligible U.S. employees with an opportunity to save for retirement on a tax advantaged basis. Eligible employees may defer eligible compensation on a pre-tax basis, up to the statutorily prescribed annual limits on contributions under the Code. We have the ability to make discretionary contributions to the 401(k) plan. Employee contributions are allocated to each participant's individual account and are then invested in selected investment alternatives according to the participant's directions. Employees are immediately and fully vested in their contributions. The vesting of contributions we make is tied to years of service with our contributions being fully vested after four years of service.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231" w:lineRule="exact"/>
        <w:rPr>
          <w:sz w:val="20"/>
          <w:szCs w:val="20"/>
          <w:color w:val="auto"/>
        </w:rPr>
      </w:pPr>
    </w:p>
    <w:p>
      <w:pPr>
        <w:ind w:right="420" w:firstLine="351"/>
        <w:spacing w:after="0" w:line="306" w:lineRule="auto"/>
        <w:rPr>
          <w:sz w:val="20"/>
          <w:szCs w:val="20"/>
          <w:color w:val="auto"/>
        </w:rPr>
      </w:pPr>
      <w:r>
        <w:rPr>
          <w:rFonts w:ascii="Arial" w:cs="Arial" w:eastAsia="Arial" w:hAnsi="Arial"/>
          <w:sz w:val="16"/>
          <w:szCs w:val="16"/>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74" w:lineRule="exact"/>
        <w:rPr>
          <w:sz w:val="20"/>
          <w:szCs w:val="20"/>
          <w:color w:val="auto"/>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252" w:lineRule="exact"/>
        <w:rPr>
          <w:rFonts w:ascii="Arial" w:cs="Arial" w:eastAsia="Arial" w:hAnsi="Arial"/>
          <w:sz w:val="18"/>
          <w:szCs w:val="18"/>
          <w:color w:val="auto"/>
        </w:rPr>
      </w:pPr>
    </w:p>
    <w:p>
      <w:pPr>
        <w:ind w:left="5580" w:right="2760" w:hanging="5032"/>
        <w:spacing w:after="0" w:line="519" w:lineRule="auto"/>
        <w:tabs>
          <w:tab w:leader="none" w:pos="108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68"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86" w:lineRule="exact"/>
        <w:rPr>
          <w:sz w:val="20"/>
          <w:szCs w:val="20"/>
          <w:color w:val="auto"/>
        </w:rPr>
      </w:pPr>
    </w:p>
    <w:p>
      <w:pPr>
        <w:ind w:right="80" w:firstLine="351"/>
        <w:spacing w:after="0" w:line="28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will provide that we are authorized to indemnify our directors and officers to the fullest extent permitted by Delaware law. Our amended and restated bylaws to be in effect upon the closing of this offering will provide that we are required to indemnify our directors and executive officers to the fullest extent permitted by Delaware law. Our amended and restated bylaws will also provide that, upon satisfaction of certain conditions, we are required to advance expenses incurred by a director or executive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other officers and employees when determined appropriate by our board of directors. We have entered and expect to continue to enter into agreements to indemnify our directors, executive officers and other employees as determined by the board of directors. With certain exceptions, these agreements provide for indemnification for related expenses, including, among other things, attorneys' fees, judgments, fines and settlement amounts incurred by any of these individuals in any action or proceeding. We believe that these provisions and agreements are necessary to attract and retain qualified persons as directors and officers. We also maintain customary directors' and officers' liability insurance.</w:t>
      </w:r>
    </w:p>
    <w:p>
      <w:pPr>
        <w:spacing w:after="0" w:line="17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to be in effect upon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directors and executive officers may adopt written plans, known as Rule 10b5-1 plans, in which they will contract with a broker to buy or sell shares of our Class A common stock (including Class A common stock issuable upon conversion of Class B common stock held by them)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subject to the lock-up agreement that the director or executive officer has entered into with the underwriters.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0" w:firstLine="348"/>
        <w:spacing w:after="0" w:line="306" w:lineRule="auto"/>
        <w:rPr>
          <w:sz w:val="20"/>
          <w:szCs w:val="20"/>
          <w:color w:val="auto"/>
        </w:rPr>
      </w:pPr>
      <w:r>
        <w:rPr>
          <w:rFonts w:ascii="Arial" w:cs="Arial" w:eastAsia="Arial" w:hAnsi="Arial"/>
          <w:sz w:val="16"/>
          <w:szCs w:val="16"/>
          <w:color w:val="auto"/>
        </w:rPr>
        <w:t>The following is a summary of transactions since February 1, 2014 to which we have been a participant in which the amount involved exceeded or will exceed $120,000, and in which any of our then directors, executive officers or holders of more than 5% of any class of our capital stock at the time of such transaction, or any members of their immediate family, had or will have a direct or indirect material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 Redeemable Convertible Preferred Stock Financing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December 2014, we sold 4,783,506 shares of our Series F redeemable convertible preferred stock to nine accredited investors at a price of $16.724127 per share, for aggregate proceeds of approximately $80.0 million. The following table summarizes the purchases of shares of our Series F redeemable convertible preferred stock by our directors, executive officers and holders of more than 5% of any class of our capital stock:</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Series F</w:t>
            </w:r>
          </w:p>
        </w:tc>
        <w:tc>
          <w:tcPr>
            <w:tcW w:w="0" w:type="dxa"/>
            <w:vAlign w:val="bottom"/>
          </w:tcPr>
          <w:p>
            <w:pPr>
              <w:spacing w:after="0"/>
              <w:rPr>
                <w:sz w:val="1"/>
                <w:szCs w:val="1"/>
                <w:color w:val="auto"/>
              </w:rPr>
            </w:pPr>
          </w:p>
        </w:tc>
      </w:tr>
      <w:tr>
        <w:trPr>
          <w:trHeight w:val="161"/>
        </w:trPr>
        <w:tc>
          <w:tcPr>
            <w:tcW w:w="6720" w:type="dxa"/>
            <w:vAlign w:val="bottom"/>
            <w:gridSpan w:val="4"/>
          </w:tcPr>
          <w:p>
            <w:pPr>
              <w:spacing w:after="0"/>
              <w:rPr>
                <w:sz w:val="20"/>
                <w:szCs w:val="20"/>
                <w:color w:val="auto"/>
              </w:rPr>
            </w:pPr>
            <w:r>
              <w:rPr>
                <w:rFonts w:ascii="Arial" w:cs="Arial" w:eastAsia="Arial" w:hAnsi="Arial"/>
                <w:sz w:val="14"/>
                <w:szCs w:val="14"/>
                <w:b w:val="1"/>
                <w:bCs w:val="1"/>
                <w:color w:val="auto"/>
              </w:rPr>
              <w:t>Related Party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670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New Enterprise Associates 14, Limited Partnership</w:t>
            </w:r>
            <w:r>
              <w:rPr>
                <w:rFonts w:ascii="Arial" w:cs="Arial" w:eastAsia="Arial" w:hAnsi="Arial"/>
                <w:sz w:val="28"/>
                <w:szCs w:val="28"/>
                <w:color w:val="auto"/>
                <w:vertAlign w:val="superscript"/>
              </w:rPr>
              <w:t>(1)</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right="120" w:hanging="540"/>
        <w:spacing w:after="0" w:line="239" w:lineRule="auto"/>
        <w:tabs>
          <w:tab w:leader="none" w:pos="2260" w:val="left"/>
        </w:tabs>
        <w:numPr>
          <w:ilvl w:val="0"/>
          <w:numId w:val="83"/>
        </w:numPr>
        <w:rPr>
          <w:rFonts w:ascii="Arial" w:cs="Arial" w:eastAsia="Arial" w:hAnsi="Arial"/>
          <w:sz w:val="11"/>
          <w:szCs w:val="11"/>
          <w:color w:val="auto"/>
        </w:rPr>
      </w:pPr>
      <w:r>
        <w:rPr>
          <w:rFonts w:ascii="Arial" w:cs="Arial" w:eastAsia="Arial" w:hAnsi="Arial"/>
          <w:sz w:val="14"/>
          <w:szCs w:val="14"/>
          <w:color w:val="auto"/>
        </w:rPr>
        <w:t>For additional information regarding the beneficial ownership of these shares, see footnote (5) to the beneficial ownership table set forth in the section titled "Principal and Selling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Voting and Right of First Refusal and Co-Sale Agreements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connection with our redeemable convertible preferred stock financings, we entered into investors' rights, voting and right of first refusal and co-sale agreements containing registration rights, information rights, voting rights and rights of first refusal, among other things, with certain holders of our redeemable convertible preferred stock and certain holders of our Class B common stock. The parties to each of these agreements include Kevin P. Ryan, a member of our board of directors, Eliot Horowitz, our Chief Technology Officer and a member of our board of directors, and the following holders of more than 5% of our capital stock: Dwight Merriman, Future Fund Investment Company No. 4 Pty Ltd., Union Square Ventures 2008, L.P. and entities affiliated with Sequoia Capital, Flybridge Capital and New Enterprise Associates. In addition, Dev Ittycheria, our President and Chief Executive Officer and a member of our board of directors, is a party to the voting agreement. These stockholder agreements will terminate upon the closing of this offering, except for the registration rights granted under our investors' rights agreement, as more fully described in "Description of Capital Stock—Registration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We have entered into employment agreements with certain of our executive officers. For more information regarding these agreements with our named executive officers, see "Executive Compensation—Employment Arrangements."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Grants to Directors and Executive Officers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have granted stock options to certain of our directors and executive officers. For more information regarding the stock options and stock awards granted to our directors and named executive officers see "Management—Director Compensation" and "Executive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plan to enter into indemnification agreements with each of our directors and executive officers in connection with this offering. The indemnification agreements and our amended and restated bylaws,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each to be in effect upon the closing of this offering, require us to indemnify our directors and executive officers to the fullest extent permitted by Delaware law. For more information regarding these agreements, see "Executive Compensation—Limitations on Liability and Indemnification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Prior to this offering, we have not had a formal policy regarding approval of transactions with related parties. Prior to the closing of this offering, we expect to adopt a written related person transaction policy that sets forth our procedures for the identification, review, consideration and approval or ratification of related person transactions. The policy will become effective immediately upon the execution of the underwriting agreement for this offering. For purposes of our policy only, a related person transaction is a transaction, arrangement or relationship, or any series of similar transactions, arrangements or relationships, in which we and any related person are, were or will be participants and in which the amount involved exceeds $120,000. Transactions involving compensation for services provided to us as an employee or director are not covered by this policy. A related person is any executive officer, director or beneficial owner of more than 5% of any class of our voting securities, including any of their immediate family members and any entity owned or controlled by such persons.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 enable us to identify any existing or potential related person transactions and to effectuate the terms of the policy.</w:t>
      </w:r>
    </w:p>
    <w:p>
      <w:pPr>
        <w:spacing w:after="0" w:line="172"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In addition, under our Code of Conduct, which we intend to adopt in connection with this offering, our employees and directors have an affirmative responsibility to disclose any transaction or relationship that reasonably could be expected to give rise to a conflict of interest.</w:t>
      </w:r>
    </w:p>
    <w:p>
      <w:pPr>
        <w:spacing w:after="0" w:line="13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In considering related person transactions, our audit committee, or other independent body of our board of directors, will take into account the relevant available facts and circumstances including, but not limited to:</w:t>
      </w:r>
    </w:p>
    <w:p>
      <w:pPr>
        <w:spacing w:after="0" w:line="199" w:lineRule="exact"/>
        <w:rPr>
          <w:sz w:val="20"/>
          <w:szCs w:val="20"/>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policy requires that, in determining whether to approve, ratify or reject a related person transaction, our audit committee, or other independent body of our board of directors, must consider, in light of known circumstances, whether the transaction is in, or is not inconsistent with, our best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interests and those of our stockholders, as our audit committee, or other independent body of our board of directors, determines in the good faith exercise of its discretion.</w:t>
      </w:r>
    </w:p>
    <w:p>
      <w:pPr>
        <w:spacing w:after="0" w:line="186"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All of the transactions described above were entered into prior to the adoption of the written policy, but all were approved by our board of directors considering similar factors to those described above.</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PRINCIPAL AND SELLING STOCKHOLDERS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beneficial ownership of our common stock as of April 30, 2017 and as adjusted to reflect the sale of Class A common stock offered by us and the selling stockholders in this offering, for:</w:t>
      </w:r>
    </w:p>
    <w:p>
      <w:pPr>
        <w:spacing w:after="0" w:line="199" w:lineRule="exact"/>
        <w:rPr>
          <w:sz w:val="20"/>
          <w:szCs w:val="20"/>
          <w:color w:val="auto"/>
        </w:rPr>
      </w:pPr>
    </w:p>
    <w:p>
      <w:pPr>
        <w:ind w:left="1080" w:right="52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right="40" w:firstLine="348"/>
        <w:spacing w:after="0" w:line="303" w:lineRule="auto"/>
        <w:rPr>
          <w:sz w:val="20"/>
          <w:szCs w:val="20"/>
          <w:color w:val="auto"/>
        </w:rPr>
      </w:pPr>
      <w:r>
        <w:rPr>
          <w:rFonts w:ascii="Arial" w:cs="Arial" w:eastAsia="Arial" w:hAnsi="Arial"/>
          <w:sz w:val="15"/>
          <w:szCs w:val="15"/>
          <w:color w:val="auto"/>
        </w:rPr>
        <w:t>The percentage ownership information shown in the table prior to this offering is based upon 109,575 shares of Class A common stock and 81,327,501 shares of Class B common stock outstanding as of April 30, 2017, after giving effect to the conversion of all outstanding shares of redeemable convertible preferred stock into an aggregate of 53,799,704 shares of our Class B common stock. The percentage ownership information shown in the table after this offering</w:t>
      </w:r>
    </w:p>
    <w:p>
      <w:pPr>
        <w:spacing w:after="0" w:line="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is based upon shares of Class A common stock and 81,327,501 shares of Class B common stock outstanding as of April 30, 2017, assuming the sale of shares of Class A common stock by us and shares of Class A common stock by the selling stockholders in the offering and no exercise of the underwriters' over-allotment option.</w:t>
      </w:r>
    </w:p>
    <w:p>
      <w:pPr>
        <w:spacing w:after="0" w:line="198" w:lineRule="exact"/>
        <w:rPr>
          <w:sz w:val="20"/>
          <w:szCs w:val="20"/>
          <w:color w:val="auto"/>
        </w:rPr>
      </w:pPr>
    </w:p>
    <w:p>
      <w:pPr>
        <w:ind w:right="140" w:firstLine="348"/>
        <w:spacing w:after="0" w:line="310" w:lineRule="auto"/>
        <w:rPr>
          <w:sz w:val="20"/>
          <w:szCs w:val="20"/>
          <w:color w:val="auto"/>
        </w:rPr>
      </w:pPr>
      <w:r>
        <w:rPr>
          <w:rFonts w:ascii="Arial" w:cs="Arial" w:eastAsia="Arial" w:hAnsi="Arial"/>
          <w:sz w:val="15"/>
          <w:szCs w:val="15"/>
          <w:color w:val="auto"/>
        </w:rPr>
        <w:t>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June 29, 2017, which is 60 days after April 30, 2017.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as otherwise noted below, the address for persons listed in the table is c/o MongoDB, Inc., 229 W 43rd Street, 5th Floor, New York, NY 10036.</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8"/>
          </w:tcPr>
          <w:p>
            <w:pPr>
              <w:jc w:val="center"/>
              <w:spacing w:after="0"/>
              <w:rPr>
                <w:sz w:val="20"/>
                <w:szCs w:val="20"/>
                <w:color w:val="auto"/>
              </w:rPr>
            </w:pPr>
            <w:r>
              <w:rPr>
                <w:rFonts w:ascii="Arial" w:cs="Arial" w:eastAsia="Arial" w:hAnsi="Arial"/>
                <w:sz w:val="14"/>
                <w:szCs w:val="14"/>
                <w:b w:val="1"/>
                <w:bCs w:val="1"/>
                <w:color w:val="auto"/>
                <w:w w:val="86"/>
              </w:rPr>
              <w:t>Shares Beneficially Owned Prior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11"/>
          </w:tcPr>
          <w:p>
            <w:pPr>
              <w:jc w:val="center"/>
              <w:ind w:right="160"/>
              <w:spacing w:after="0"/>
              <w:rPr>
                <w:sz w:val="20"/>
                <w:szCs w:val="20"/>
                <w:color w:val="auto"/>
              </w:rPr>
            </w:pPr>
            <w:r>
              <w:rPr>
                <w:rFonts w:ascii="Arial" w:cs="Arial" w:eastAsia="Arial" w:hAnsi="Arial"/>
                <w:sz w:val="14"/>
                <w:szCs w:val="14"/>
                <w:b w:val="1"/>
                <w:bCs w:val="1"/>
                <w:color w:val="auto"/>
                <w:w w:val="86"/>
              </w:rPr>
              <w:t>Shares Beneficially Owned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8"/>
              </w:rPr>
              <w:t>this Offering</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7"/>
              </w:rPr>
              <w:t>Following this Offering</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w w:val="89"/>
              </w:rPr>
              <w:t>Class A</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Class B</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8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6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81"/>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2"/>
                <w:szCs w:val="12"/>
                <w:color w:val="auto"/>
              </w:rPr>
            </w:pPr>
          </w:p>
        </w:tc>
        <w:tc>
          <w:tcPr>
            <w:tcW w:w="8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4"/>
              </w:rPr>
              <w:t>Shares of</w:t>
            </w:r>
          </w:p>
        </w:tc>
        <w:tc>
          <w:tcPr>
            <w:tcW w:w="6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72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Voting</w:t>
            </w:r>
          </w:p>
        </w:tc>
        <w:tc>
          <w:tcPr>
            <w:tcW w:w="80" w:type="dxa"/>
            <w:vAlign w:val="bottom"/>
          </w:tcPr>
          <w:p>
            <w:pPr>
              <w:spacing w:after="0"/>
              <w:rPr>
                <w:sz w:val="11"/>
                <w:szCs w:val="11"/>
                <w:color w:val="auto"/>
              </w:rPr>
            </w:pPr>
          </w:p>
        </w:tc>
        <w:tc>
          <w:tcPr>
            <w:tcW w:w="8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Being</w:t>
            </w: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61"/>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11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1080" w:type="dxa"/>
            <w:vAlign w:val="bottom"/>
            <w:gridSpan w:val="3"/>
          </w:tcPr>
          <w:p>
            <w:pPr>
              <w:ind w:left="24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jc w:val="right"/>
              <w:ind w:right="1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Power†</w:t>
            </w:r>
          </w:p>
        </w:tc>
        <w:tc>
          <w:tcPr>
            <w:tcW w:w="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Offered</w:t>
            </w:r>
          </w:p>
        </w:tc>
        <w:tc>
          <w:tcPr>
            <w:tcW w:w="660" w:type="dxa"/>
            <w:vAlign w:val="bottom"/>
            <w:gridSpan w:val="3"/>
          </w:tcPr>
          <w:p>
            <w:pPr>
              <w:ind w:left="8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   Shares   %</w:t>
            </w: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Power†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5% or greater</w:t>
            </w:r>
          </w:p>
        </w:tc>
        <w:tc>
          <w:tcPr>
            <w:tcW w:w="6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stockholders: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Sequoia Capital</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Flybridge Capital</w:t>
            </w:r>
            <w:r>
              <w:rPr>
                <w:rFonts w:ascii="Arial" w:cs="Arial" w:eastAsia="Arial" w:hAnsi="Arial"/>
                <w:sz w:val="29"/>
                <w:szCs w:val="29"/>
                <w:color w:val="auto"/>
                <w:vertAlign w:val="superscript"/>
              </w:rPr>
              <w:t>(2)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Union Square Ventures</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2008, L.P.</w:t>
            </w:r>
            <w:r>
              <w:rPr>
                <w:rFonts w:ascii="Arial" w:cs="Arial" w:eastAsia="Arial" w:hAnsi="Arial"/>
                <w:sz w:val="29"/>
                <w:szCs w:val="29"/>
                <w:color w:val="auto"/>
                <w:vertAlign w:val="superscript"/>
              </w:rPr>
              <w:t>(3)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7,904,809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Dwight Merriman</w:t>
            </w:r>
            <w:r>
              <w:rPr>
                <w:rFonts w:ascii="Arial" w:cs="Arial" w:eastAsia="Arial" w:hAnsi="Arial"/>
                <w:sz w:val="29"/>
                <w:szCs w:val="29"/>
                <w:color w:val="auto"/>
                <w:vertAlign w:val="superscript"/>
              </w:rPr>
              <w:t>(4)</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6,380,313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Entities affiliated with New</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Enterprise Associates</w:t>
            </w:r>
            <w:r>
              <w:rPr>
                <w:rFonts w:ascii="Arial" w:cs="Arial" w:eastAsia="Arial" w:hAnsi="Arial"/>
                <w:sz w:val="29"/>
                <w:szCs w:val="29"/>
                <w:color w:val="auto"/>
                <w:vertAlign w:val="superscript"/>
              </w:rPr>
              <w:t>(5)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5,859,029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Fund Investment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w w:val="95"/>
              </w:rPr>
              <w:t>Company No. 4 Pty Ltd</w:t>
            </w:r>
            <w:r>
              <w:rPr>
                <w:rFonts w:ascii="Arial" w:cs="Arial" w:eastAsia="Arial" w:hAnsi="Arial"/>
                <w:sz w:val="29"/>
                <w:szCs w:val="29"/>
                <w:color w:val="auto"/>
                <w:w w:val="95"/>
                <w:vertAlign w:val="superscript"/>
              </w:rPr>
              <w:t>(6)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5,082,477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Eliot Horowitz</w:t>
            </w:r>
            <w:r>
              <w:rPr>
                <w:rFonts w:ascii="Arial" w:cs="Arial" w:eastAsia="Arial" w:hAnsi="Arial"/>
                <w:sz w:val="29"/>
                <w:szCs w:val="29"/>
                <w:color w:val="auto"/>
                <w:vertAlign w:val="superscript"/>
              </w:rPr>
              <w:t>(7)</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4,822,649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9"/>
              </w:rPr>
              <w:t>Named executive officers</w:t>
            </w: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and directors:</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Dev Ittycheria</w:t>
            </w:r>
            <w:r>
              <w:rPr>
                <w:rFonts w:ascii="Arial" w:cs="Arial" w:eastAsia="Arial" w:hAnsi="Arial"/>
                <w:sz w:val="29"/>
                <w:szCs w:val="29"/>
                <w:color w:val="auto"/>
                <w:vertAlign w:val="superscript"/>
              </w:rPr>
              <w:t>(8)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Carlos Delatorre</w:t>
            </w:r>
            <w:r>
              <w:rPr>
                <w:rFonts w:ascii="Arial" w:cs="Arial" w:eastAsia="Arial" w:hAnsi="Arial"/>
                <w:sz w:val="29"/>
                <w:szCs w:val="29"/>
                <w:color w:val="auto"/>
                <w:vertAlign w:val="superscript"/>
              </w:rPr>
              <w:t>(9)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1,221,782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Michael Gordon</w:t>
            </w:r>
            <w:r>
              <w:rPr>
                <w:rFonts w:ascii="Arial" w:cs="Arial" w:eastAsia="Arial" w:hAnsi="Arial"/>
                <w:sz w:val="29"/>
                <w:szCs w:val="29"/>
                <w:color w:val="auto"/>
                <w:vertAlign w:val="superscript"/>
              </w:rPr>
              <w:t>(10)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1,317,718</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Kevin P. Ryan</w:t>
            </w:r>
            <w:r>
              <w:rPr>
                <w:rFonts w:ascii="Arial" w:cs="Arial" w:eastAsia="Arial" w:hAnsi="Arial"/>
                <w:sz w:val="29"/>
                <w:szCs w:val="29"/>
                <w:color w:val="auto"/>
                <w:vertAlign w:val="superscript"/>
              </w:rPr>
              <w:t>(11)</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5,967,813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Roelof Botha</w:t>
            </w:r>
            <w:r>
              <w:rPr>
                <w:rFonts w:ascii="Arial" w:cs="Arial" w:eastAsia="Arial" w:hAnsi="Arial"/>
                <w:sz w:val="29"/>
                <w:szCs w:val="29"/>
                <w:color w:val="auto"/>
                <w:vertAlign w:val="superscript"/>
              </w:rPr>
              <w:t>(1)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13,813,645</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Hope Cochran</w:t>
            </w:r>
            <w:r>
              <w:rPr>
                <w:rFonts w:ascii="Arial" w:cs="Arial" w:eastAsia="Arial" w:hAnsi="Arial"/>
                <w:sz w:val="29"/>
                <w:szCs w:val="29"/>
                <w:color w:val="auto"/>
                <w:vertAlign w:val="superscript"/>
              </w:rPr>
              <w:t>(12)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9"/>
                <w:szCs w:val="29"/>
                <w:color w:val="auto"/>
                <w:vertAlign w:val="superscript"/>
              </w:rPr>
              <w:t>(2)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9,468,672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Tom Killalea</w:t>
            </w:r>
            <w:r>
              <w:rPr>
                <w:rFonts w:ascii="Arial" w:cs="Arial" w:eastAsia="Arial" w:hAnsi="Arial"/>
                <w:sz w:val="29"/>
                <w:szCs w:val="29"/>
                <w:color w:val="auto"/>
                <w:vertAlign w:val="superscript"/>
              </w:rPr>
              <w:t>(13)</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80" w:type="dxa"/>
            <w:vAlign w:val="bottom"/>
            <w:gridSpan w:val="2"/>
          </w:tcPr>
          <w:p>
            <w:pPr>
              <w:spacing w:after="0" w:line="256" w:lineRule="exact"/>
              <w:rPr>
                <w:sz w:val="20"/>
                <w:szCs w:val="20"/>
                <w:color w:val="auto"/>
              </w:rPr>
            </w:pPr>
            <w:r>
              <w:rPr>
                <w:rFonts w:ascii="Arial" w:cs="Arial" w:eastAsia="Arial" w:hAnsi="Arial"/>
                <w:sz w:val="18"/>
                <w:szCs w:val="18"/>
                <w:color w:val="auto"/>
              </w:rPr>
              <w:t>John McMahon</w:t>
            </w:r>
            <w:r>
              <w:rPr>
                <w:rFonts w:ascii="Arial" w:cs="Arial" w:eastAsia="Arial" w:hAnsi="Arial"/>
                <w:sz w:val="29"/>
                <w:szCs w:val="29"/>
                <w:color w:val="auto"/>
                <w:vertAlign w:val="superscript"/>
              </w:rPr>
              <w:t>(13)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All current executive officers</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directors as a group</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18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(11 persons)</w:t>
            </w:r>
            <w:r>
              <w:rPr>
                <w:rFonts w:ascii="Arial" w:cs="Arial" w:eastAsia="Arial" w:hAnsi="Arial"/>
                <w:sz w:val="29"/>
                <w:szCs w:val="29"/>
                <w:color w:val="auto"/>
                <w:vertAlign w:val="superscript"/>
              </w:rPr>
              <w:t>(14)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43,248,529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Other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83820</wp:posOffset>
            </wp:positionV>
            <wp:extent cx="10293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346" w:lineRule="exact"/>
        <w:rPr>
          <w:sz w:val="20"/>
          <w:szCs w:val="20"/>
          <w:color w:val="auto"/>
        </w:rPr>
      </w:pPr>
    </w:p>
    <w:p>
      <w:pPr>
        <w:ind w:left="1680" w:hanging="531"/>
        <w:spacing w:after="0"/>
        <w:tabs>
          <w:tab w:leader="none" w:pos="16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52" w:lineRule="exact"/>
        <w:rPr>
          <w:sz w:val="20"/>
          <w:szCs w:val="20"/>
          <w:color w:val="auto"/>
        </w:rPr>
      </w:pPr>
    </w:p>
    <w:p>
      <w:pPr>
        <w:ind w:left="1680" w:hanging="531"/>
        <w:spacing w:after="0" w:line="294" w:lineRule="auto"/>
        <w:tabs>
          <w:tab w:leader="none" w:pos="16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the voting power with respect to all shares of our Class A common stock and Class B common stock, voting as a single class. Each share of Class A common stock will be entitled to one vote per share, and each share of Class B common stock will be entitled to ten votes per share. The Class A common stock and Class B common stock will vote together on all matters (including the election of directors) submitted to a vote of stockholders, except under limited circumstances described in "Description of Capital Stock—Class A Common Stock and Class B Common Stock—Voting Rights."</w:t>
      </w:r>
    </w:p>
    <w:p>
      <w:pPr>
        <w:spacing w:after="0" w:line="70" w:lineRule="exact"/>
        <w:rPr>
          <w:sz w:val="20"/>
          <w:szCs w:val="20"/>
          <w:color w:val="auto"/>
        </w:rPr>
      </w:pPr>
    </w:p>
    <w:p>
      <w:pPr>
        <w:ind w:left="1680" w:hanging="531"/>
        <w:spacing w:after="0"/>
        <w:tabs>
          <w:tab w:leader="none" w:pos="1680" w:val="left"/>
        </w:tabs>
        <w:numPr>
          <w:ilvl w:val="0"/>
          <w:numId w:val="88"/>
        </w:numPr>
        <w:rPr>
          <w:rFonts w:ascii="Arial" w:cs="Arial" w:eastAsia="Arial" w:hAnsi="Arial"/>
          <w:sz w:val="28"/>
          <w:szCs w:val="28"/>
          <w:color w:val="auto"/>
          <w:vertAlign w:val="superscript"/>
        </w:rPr>
      </w:pPr>
      <w:r>
        <w:rPr>
          <w:rFonts w:ascii="Arial" w:cs="Arial" w:eastAsia="Arial" w:hAnsi="Arial"/>
          <w:sz w:val="17"/>
          <w:szCs w:val="17"/>
          <w:color w:val="auto"/>
        </w:rPr>
        <w:t>Consists of (a) 6,774,565 shares of Class B common stock held by Sequoia Capital U.S. Growth Fund IV, L.P., or SC USGF IV,</w:t>
      </w:r>
    </w:p>
    <w:p>
      <w:pPr>
        <w:spacing w:after="0" w:line="7" w:lineRule="exact"/>
        <w:rPr>
          <w:rFonts w:ascii="Arial" w:cs="Arial" w:eastAsia="Arial" w:hAnsi="Arial"/>
          <w:sz w:val="28"/>
          <w:szCs w:val="28"/>
          <w:color w:val="auto"/>
          <w:vertAlign w:val="superscript"/>
        </w:rPr>
      </w:pPr>
    </w:p>
    <w:p>
      <w:pPr>
        <w:ind w:left="1680" w:right="40"/>
        <w:spacing w:after="0" w:line="286" w:lineRule="auto"/>
        <w:rPr>
          <w:rFonts w:ascii="Arial" w:cs="Arial" w:eastAsia="Arial" w:hAnsi="Arial"/>
          <w:sz w:val="28"/>
          <w:szCs w:val="28"/>
          <w:color w:val="auto"/>
          <w:vertAlign w:val="superscript"/>
        </w:rPr>
      </w:pPr>
      <w:r>
        <w:rPr>
          <w:rFonts w:ascii="Arial" w:cs="Arial" w:eastAsia="Arial" w:hAnsi="Arial"/>
          <w:sz w:val="16"/>
          <w:szCs w:val="16"/>
          <w:color w:val="auto"/>
        </w:rPr>
        <w:t>(b) 5,954,170 shares of Class B common stock held by Sequoia Capital U.S. Venture 2010 Fund, LP, or SC USV 2010, (c) 654,315 shares of Class B common stock held by Sequoia Capital U.S. Venture 2010 Partners Fund (Q), LP, or SC USV 2010 PFQ, (d) 132,114 shares of Class B common stock held by Sequoia Capital U.S. Venture 2010 Partners Fund, LP, or SC USV 2010 PF and (e) 298,481 shares of Class B common stock held by Sequoia Capital USGF Principals Fund IV, L.P., or SC USGF PF IV. SC US (TTGP), Ltd. is the general partner of SCGF IV Management, L.P., which is the sole general partner of SC USGF IV and SC USGF PF IV, or collectively, the SC GFIV Funds. As a result, SC US (TTGP), Ltd. and SCGF IV Management, L.P. may be deemed to share voting and dispositive power with respect to the shares held by the SC GFIV Funds. SC US (TTGP), Ltd. is the general partner of SC U.S. Venture 2010 Management, L.P., which is the general partner of each of SC USV 2010, SC USV 2010 PF and SC USV</w:t>
      </w:r>
    </w:p>
    <w:p>
      <w:pPr>
        <w:sectPr>
          <w:pgSz w:w="11900" w:h="16838" w:orient="portrait"/>
          <w:cols w:equalWidth="0" w:num="1">
            <w:col w:w="11420"/>
          </w:cols>
          <w:pgMar w:left="240" w:top="131"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00"/>
        <w:spacing w:after="0" w:line="259" w:lineRule="auto"/>
        <w:rPr>
          <w:sz w:val="20"/>
          <w:szCs w:val="20"/>
          <w:color w:val="auto"/>
        </w:rPr>
      </w:pPr>
      <w:r>
        <w:rPr>
          <w:rFonts w:ascii="Arial" w:cs="Arial" w:eastAsia="Arial" w:hAnsi="Arial"/>
          <w:sz w:val="18"/>
          <w:szCs w:val="18"/>
          <w:color w:val="auto"/>
        </w:rPr>
        <w:t>2010 PFQ, or collectively, the SC 2010 Funds. As a result, SC US (TTGP), Ltd. and SC U.S. Venture 2010 Management, L.P. may be deemed to share voting and dispositive power with respect to the shares held by the SC 2010 Funds. The address of each of these entities is 2800 Sand Hill Road, Suite 101, Menlo Park, California 94025.</w:t>
      </w:r>
    </w:p>
    <w:p>
      <w:pPr>
        <w:spacing w:after="0" w:line="95" w:lineRule="exact"/>
        <w:rPr>
          <w:sz w:val="20"/>
          <w:szCs w:val="20"/>
          <w:color w:val="auto"/>
        </w:rPr>
      </w:pPr>
    </w:p>
    <w:p>
      <w:pPr>
        <w:ind w:left="1680" w:hanging="531"/>
        <w:spacing w:after="0"/>
        <w:tabs>
          <w:tab w:leader="none" w:pos="1680" w:val="left"/>
        </w:tabs>
        <w:numPr>
          <w:ilvl w:val="0"/>
          <w:numId w:val="89"/>
        </w:numPr>
        <w:rPr>
          <w:rFonts w:ascii="Arial" w:cs="Arial" w:eastAsia="Arial" w:hAnsi="Arial"/>
          <w:sz w:val="28"/>
          <w:szCs w:val="28"/>
          <w:color w:val="auto"/>
          <w:vertAlign w:val="superscript"/>
        </w:rPr>
      </w:pPr>
      <w:r>
        <w:rPr>
          <w:rFonts w:ascii="Arial" w:cs="Arial" w:eastAsia="Arial" w:hAnsi="Arial"/>
          <w:sz w:val="17"/>
          <w:szCs w:val="17"/>
          <w:color w:val="auto"/>
        </w:rPr>
        <w:t>Consists of (a) 9,446,752 shares of Class B common stock held by Flybridge Capital Partners III, L.P., or Flybridge Capital, and</w:t>
      </w:r>
    </w:p>
    <w:p>
      <w:pPr>
        <w:spacing w:after="0" w:line="7" w:lineRule="exact"/>
        <w:rPr>
          <w:rFonts w:ascii="Arial" w:cs="Arial" w:eastAsia="Arial" w:hAnsi="Arial"/>
          <w:sz w:val="28"/>
          <w:szCs w:val="28"/>
          <w:color w:val="auto"/>
          <w:vertAlign w:val="superscript"/>
        </w:rPr>
      </w:pPr>
    </w:p>
    <w:p>
      <w:pPr>
        <w:ind w:left="1680" w:firstLine="9"/>
        <w:spacing w:after="0" w:line="250" w:lineRule="auto"/>
        <w:tabs>
          <w:tab w:leader="none" w:pos="1929" w:val="left"/>
        </w:tabs>
        <w:numPr>
          <w:ilvl w:val="1"/>
          <w:numId w:val="89"/>
        </w:numPr>
        <w:rPr>
          <w:rFonts w:ascii="Arial" w:cs="Arial" w:eastAsia="Arial" w:hAnsi="Arial"/>
          <w:sz w:val="18"/>
          <w:szCs w:val="18"/>
          <w:color w:val="auto"/>
        </w:rPr>
      </w:pPr>
      <w:r>
        <w:rPr>
          <w:rFonts w:ascii="Arial" w:cs="Arial" w:eastAsia="Arial" w:hAnsi="Arial"/>
          <w:sz w:val="18"/>
          <w:szCs w:val="18"/>
          <w:color w:val="auto"/>
        </w:rPr>
        <w:t>21,920 shares of Class B common stock held by Flybridge Network Fund III, L.P., or Flybridge Network. Flybridge Capital Partners GP III, LLC, or Flybridge LLC, is the general partner of Flybridge Capital and Flybridge Network. The managing members of Flybridge LLC are Charles M. Hazard, Jr., David B. Aronoff and Jeffrey J. Bussgang and they share voting and dispositive power over the shares held by Flybridge Capital and Flybridge Network. The address of each of these entities is 31 St. James Avenue, 6th Floor, Boston, Massachusetts 02116.</w:t>
      </w:r>
    </w:p>
    <w:p>
      <w:pPr>
        <w:spacing w:after="0" w:line="217" w:lineRule="exact"/>
        <w:rPr>
          <w:rFonts w:ascii="Arial" w:cs="Arial" w:eastAsia="Arial" w:hAnsi="Arial"/>
          <w:sz w:val="18"/>
          <w:szCs w:val="18"/>
          <w:color w:val="auto"/>
        </w:rPr>
      </w:pPr>
    </w:p>
    <w:p>
      <w:pPr>
        <w:ind w:left="1680" w:right="80" w:hanging="531"/>
        <w:spacing w:after="0" w:line="22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7,904,809 shares of Class B common stock held by Union Square Ventures 2008, L.P., or USV 2008. Union Square GP 2008, L.L.C., or USV GP, is the general partner of USV 2008 and has sole voting and investment power with regard to the shares held directly by USV 2008. Fred Wilson, Brad Burnham and Albert Wenger are the managing members of USV GP and, therefore, share voting and investment power with regard to the shares held directly by USV 2008. The address for USV 2008 is 915 Broadway, 19th Floor, New York, NY 10010.</w:t>
      </w:r>
    </w:p>
    <w:p>
      <w:pPr>
        <w:spacing w:after="0" w:line="212" w:lineRule="exact"/>
        <w:rPr>
          <w:rFonts w:ascii="Arial" w:cs="Arial" w:eastAsia="Arial" w:hAnsi="Arial"/>
          <w:sz w:val="29"/>
          <w:szCs w:val="29"/>
          <w:color w:val="auto"/>
          <w:vertAlign w:val="superscript"/>
        </w:rPr>
      </w:pPr>
    </w:p>
    <w:p>
      <w:pPr>
        <w:ind w:left="1680" w:right="60" w:hanging="531"/>
        <w:spacing w:after="0" w:line="210"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by Dwight Merriman, (b) 412,500 shares of Class B common stock issuable upon the exercise of options and (c) 2,036,333 shares of Class B common stock held by The Dwight A. Merriman 2012 Trust for the benefit of his children.</w:t>
      </w:r>
    </w:p>
    <w:p>
      <w:pPr>
        <w:spacing w:after="0" w:line="13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6"/>
          <w:szCs w:val="26"/>
          <w:color w:val="auto"/>
          <w:vertAlign w:val="superscript"/>
        </w:rPr>
      </w:pPr>
      <w:r>
        <w:rPr>
          <w:rFonts w:ascii="Arial" w:cs="Arial" w:eastAsia="Arial" w:hAnsi="Arial"/>
          <w:sz w:val="16"/>
          <w:szCs w:val="16"/>
          <w:color w:val="auto"/>
        </w:rPr>
        <w:t>Consists of (a) 5,856,373 shares of Class B common stock held by New Enterprise Associates 14, Limited Partnership, or NEA 14, and</w:t>
      </w:r>
    </w:p>
    <w:p>
      <w:pPr>
        <w:spacing w:after="0" w:line="7" w:lineRule="exact"/>
        <w:rPr>
          <w:rFonts w:ascii="Arial" w:cs="Arial" w:eastAsia="Arial" w:hAnsi="Arial"/>
          <w:sz w:val="26"/>
          <w:szCs w:val="26"/>
          <w:color w:val="auto"/>
          <w:vertAlign w:val="superscript"/>
        </w:rPr>
      </w:pPr>
    </w:p>
    <w:p>
      <w:pPr>
        <w:ind w:left="1680" w:right="20" w:firstLine="9"/>
        <w:spacing w:after="0" w:line="285" w:lineRule="auto"/>
        <w:tabs>
          <w:tab w:leader="none" w:pos="1929" w:val="left"/>
        </w:tabs>
        <w:numPr>
          <w:ilvl w:val="1"/>
          <w:numId w:val="89"/>
        </w:numPr>
        <w:rPr>
          <w:rFonts w:ascii="Arial" w:cs="Arial" w:eastAsia="Arial" w:hAnsi="Arial"/>
          <w:sz w:val="16"/>
          <w:szCs w:val="16"/>
          <w:color w:val="auto"/>
        </w:rPr>
      </w:pPr>
      <w:r>
        <w:rPr>
          <w:rFonts w:ascii="Arial" w:cs="Arial" w:eastAsia="Arial" w:hAnsi="Arial"/>
          <w:sz w:val="16"/>
          <w:szCs w:val="16"/>
          <w:color w:val="auto"/>
        </w:rPr>
        <w:t>2,656 shares of Class B common stock held by NEA Ventures 2012, L.P., or Ven 2012. The shares directly held by NEA 14 are indirectly held by NEA Partners 14, L.P., or NEA Partners 14, the sole general partner of NEA 14, NEA 14 GP, LTD, or NEA 14 LTD, the sole general partner of NEA Partners 14 and each of the individual directors of NEA 14 LTD. The individual directors of NEA 14 LTD, collectively the NEA 14 Directors, are M. James Barrett, Peter J. Barris, Forest Baskett, Anthony A. Florence, Jr., Patrick J. Kerins, David M. Mott, Scott D. Sandell, Peter Sonsini and Ravi Viswanathan. The shares directly held by Ven 2012 are indirectly held by Karen P. Welsh, the general partner of Ven 2012. NEA 14, NEA Partners 14 and NEA 14 LTD and the NEA 14 Directors share voting and dispositive power with regard to our securities directly held by NEA 14. Karen P. Welsh, the general partner of Ven 2012, shares voting and dispositive power with regard to our securities directly held by Ven 2012. The principal business address of NEA 14 and Ven 2012 is 1954 Greenspring Drive, Suite 600, Timonium, Maryland 21093.</w:t>
      </w:r>
    </w:p>
    <w:p>
      <w:pPr>
        <w:spacing w:after="0" w:line="193" w:lineRule="exact"/>
        <w:rPr>
          <w:rFonts w:ascii="Arial" w:cs="Arial" w:eastAsia="Arial" w:hAnsi="Arial"/>
          <w:sz w:val="16"/>
          <w:szCs w:val="16"/>
          <w:color w:val="auto"/>
        </w:rPr>
      </w:pPr>
    </w:p>
    <w:p>
      <w:pPr>
        <w:jc w:val="both"/>
        <w:ind w:left="1680" w:right="60" w:hanging="531"/>
        <w:spacing w:after="0" w:line="251" w:lineRule="auto"/>
        <w:tabs>
          <w:tab w:leader="none" w:pos="1680" w:val="left"/>
        </w:tabs>
        <w:numPr>
          <w:ilvl w:val="0"/>
          <w:numId w:val="89"/>
        </w:numPr>
        <w:rPr>
          <w:rFonts w:ascii="Arial" w:cs="Arial" w:eastAsia="Arial" w:hAnsi="Arial"/>
          <w:sz w:val="25"/>
          <w:szCs w:val="25"/>
          <w:color w:val="auto"/>
          <w:vertAlign w:val="superscript"/>
        </w:rPr>
      </w:pPr>
      <w:r>
        <w:rPr>
          <w:rFonts w:ascii="Arial" w:cs="Arial" w:eastAsia="Arial" w:hAnsi="Arial"/>
          <w:sz w:val="15"/>
          <w:szCs w:val="15"/>
          <w:color w:val="auto"/>
        </w:rPr>
        <w:t>Consists of 5,082,477 shares of Class B common stock held by The Northern Trust Company in its capacity as custodian for Future Fund Investment Company No. 4 Pty Ltd (ACN 134 338 908), or the Future Fund. The Future Fund is a wholly owned subsidiary of the Future Fund Board of Guardians. The principal business address of the Future Fund is Level 42, 120 Collins Street, Melbourne VIC 3000.</w:t>
      </w:r>
    </w:p>
    <w:p>
      <w:pPr>
        <w:spacing w:after="0" w:line="202" w:lineRule="exact"/>
        <w:rPr>
          <w:rFonts w:ascii="Arial" w:cs="Arial" w:eastAsia="Arial" w:hAnsi="Arial"/>
          <w:sz w:val="25"/>
          <w:szCs w:val="25"/>
          <w:color w:val="auto"/>
          <w:vertAlign w:val="superscript"/>
        </w:rPr>
      </w:pPr>
    </w:p>
    <w:p>
      <w:pPr>
        <w:ind w:left="1680" w:right="180" w:hanging="531"/>
        <w:spacing w:after="0" w:line="210"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3,022,649 shares of Class B common stock held directly by Mr. Horowitz, (b) 750,000 shares of Class B common stock held by The ERH Family 2012 Trust for the benefit of his children and (c) 1,050,000 shares of Class B common stock issuable upon the exercise of an options.</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31,928 shares of Class B common stock held directly by Mr. Ittycheria and (b) 5,468,072 shares of Class B common stock issuable upon the exercise of options.</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1,221,782 shares of Class B common stock issuable upon the exercise of options.</w:t>
      </w:r>
    </w:p>
    <w:p>
      <w:pPr>
        <w:spacing w:after="0" w:line="209" w:lineRule="exact"/>
        <w:rPr>
          <w:rFonts w:ascii="Arial" w:cs="Arial" w:eastAsia="Arial" w:hAnsi="Arial"/>
          <w:sz w:val="29"/>
          <w:szCs w:val="29"/>
          <w:color w:val="auto"/>
          <w:vertAlign w:val="superscript"/>
        </w:rPr>
      </w:pPr>
    </w:p>
    <w:p>
      <w:pPr>
        <w:ind w:left="1680" w:right="12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B common stock held directly by Mr. Gordon and (b) 1,217,718 shares of Class B common stock issuable upon the exercise of options.</w:t>
      </w:r>
    </w:p>
    <w:p>
      <w:pPr>
        <w:spacing w:after="0" w:line="211" w:lineRule="exact"/>
        <w:rPr>
          <w:rFonts w:ascii="Arial" w:cs="Arial" w:eastAsia="Arial" w:hAnsi="Arial"/>
          <w:sz w:val="29"/>
          <w:szCs w:val="29"/>
          <w:color w:val="auto"/>
          <w:vertAlign w:val="superscript"/>
        </w:rPr>
      </w:pPr>
    </w:p>
    <w:p>
      <w:pPr>
        <w:ind w:left="1680" w:right="16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3,931,480 shares of Class B common stock held directly by Mr. Ryan and (b) 2,036,333 shares of Class B common stock held by The Kevin P. Ryan 2012 Trust for the benefit of his children.</w:t>
      </w:r>
    </w:p>
    <w:p>
      <w:pPr>
        <w:spacing w:after="0" w:line="113" w:lineRule="exact"/>
        <w:rPr>
          <w:rFonts w:ascii="Arial" w:cs="Arial" w:eastAsia="Arial" w:hAnsi="Arial"/>
          <w:sz w:val="29"/>
          <w:szCs w:val="29"/>
          <w:color w:val="auto"/>
          <w:vertAlign w:val="superscript"/>
        </w:rPr>
      </w:pPr>
    </w:p>
    <w:p>
      <w:pPr>
        <w:ind w:left="1680" w:hanging="531"/>
        <w:spacing w:after="0"/>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A common stock issuable upon the exercise of an option.</w:t>
      </w:r>
    </w:p>
    <w:p>
      <w:pPr>
        <w:spacing w:after="0" w:line="146" w:lineRule="exact"/>
        <w:rPr>
          <w:rFonts w:ascii="Arial" w:cs="Arial" w:eastAsia="Arial" w:hAnsi="Arial"/>
          <w:sz w:val="29"/>
          <w:szCs w:val="29"/>
          <w:color w:val="auto"/>
          <w:vertAlign w:val="superscript"/>
        </w:rPr>
      </w:pPr>
    </w:p>
    <w:p>
      <w:pPr>
        <w:ind w:left="1680" w:hanging="531"/>
        <w:spacing w:after="0" w:line="205"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100,000 shares of Class B common stock issuable upon the exercise of an option.</w:t>
      </w:r>
    </w:p>
    <w:p>
      <w:pPr>
        <w:spacing w:after="0" w:line="210" w:lineRule="exact"/>
        <w:rPr>
          <w:rFonts w:ascii="Arial" w:cs="Arial" w:eastAsia="Arial" w:hAnsi="Arial"/>
          <w:sz w:val="29"/>
          <w:szCs w:val="29"/>
          <w:color w:val="auto"/>
          <w:vertAlign w:val="superscript"/>
        </w:rPr>
      </w:pPr>
    </w:p>
    <w:p>
      <w:pPr>
        <w:ind w:left="1680" w:right="80" w:hanging="531"/>
        <w:spacing w:after="0" w:line="194" w:lineRule="auto"/>
        <w:tabs>
          <w:tab w:leader="none" w:pos="1680" w:val="left"/>
        </w:tabs>
        <w:numPr>
          <w:ilvl w:val="0"/>
          <w:numId w:val="89"/>
        </w:numPr>
        <w:rPr>
          <w:rFonts w:ascii="Arial" w:cs="Arial" w:eastAsia="Arial" w:hAnsi="Arial"/>
          <w:sz w:val="29"/>
          <w:szCs w:val="29"/>
          <w:color w:val="auto"/>
          <w:vertAlign w:val="superscript"/>
        </w:rPr>
      </w:pPr>
      <w:r>
        <w:rPr>
          <w:rFonts w:ascii="Arial" w:cs="Arial" w:eastAsia="Arial" w:hAnsi="Arial"/>
          <w:sz w:val="18"/>
          <w:szCs w:val="18"/>
          <w:color w:val="auto"/>
        </w:rPr>
        <w:t>Consists of (a) 100,000 shares of Class A common stock issuable upon the exercise of options, (b) 33,164,707 shares of Class B common stock and (b) 10,083,822 shares of Class B common stock issuable upon the exercise of options.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descriptions of our capital stock, certain provisions of our amended and restated certificate of incorporation and amended and restated bylaws, as each will be in effect upon the closing of this offering, and certain provisions of Delaware law are summaries. You should also refer to the amended and restated certificate of incorporation and the amended and restated bylaws, which are filed as exhibits to the registration statement of which this prospectus is a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Upon the closing of this offering, our amended and restated certificate of incorporation will provide for two classes of common stock: Class A common stock and Class B common stock.</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Upon the closing of this offering, our authorized capital stock will consist of</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color w:val="auto"/>
        </w:rPr>
        <w:t>shares, all with a par value of $0.001 per share, of which:</w:t>
      </w:r>
    </w:p>
    <w:p>
      <w:pPr>
        <w:spacing w:after="0" w:line="211" w:lineRule="exact"/>
        <w:rPr>
          <w:sz w:val="20"/>
          <w:szCs w:val="20"/>
          <w:color w:val="auto"/>
        </w:rPr>
      </w:pPr>
    </w:p>
    <w:p>
      <w:pPr>
        <w:sectPr>
          <w:pgSz w:w="11900" w:h="16838" w:orient="portrait"/>
          <w:cols w:equalWidth="0" w:num="2">
            <w:col w:w="5880" w:space="720"/>
            <w:col w:w="4820"/>
          </w:cols>
          <w:pgMar w:left="240" w:top="131" w:right="239" w:bottom="1440" w:gutter="0" w:footer="0" w:header="0"/>
          <w:type w:val="continuous"/>
        </w:sectPr>
      </w:pPr>
    </w:p>
    <w:p>
      <w:pPr>
        <w:spacing w:after="0" w:line="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A common stock; and</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color w:val="auto"/>
        </w:rPr>
        <w:t>shares are designated as Class B common stock.</w:t>
      </w:r>
    </w:p>
    <w:p>
      <w:pPr>
        <w:spacing w:after="0" w:line="200" w:lineRule="exact"/>
        <w:rPr>
          <w:sz w:val="20"/>
          <w:szCs w:val="20"/>
          <w:color w:val="auto"/>
        </w:rPr>
      </w:pPr>
    </w:p>
    <w:p>
      <w:pPr>
        <w:sectPr>
          <w:pgSz w:w="11900" w:h="16838" w:orient="portrait"/>
          <w:cols w:equalWidth="0" w:num="2">
            <w:col w:w="1240" w:space="720"/>
            <w:col w:w="9460"/>
          </w:cols>
          <w:pgMar w:left="240" w:top="131" w:right="239" w:bottom="1440" w:gutter="0" w:footer="0" w:header="0"/>
          <w:type w:val="continuous"/>
        </w:sectPr>
      </w:pPr>
    </w:p>
    <w:p>
      <w:pPr>
        <w:spacing w:after="0" w:line="60"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April 30, 2017, after giving effect to the conversion of all outstanding shares of our redeemable convertible preferred stock into shares of Class B common stock in connection with the closing of this offering, there would have been outstanding:</w:t>
      </w:r>
    </w:p>
    <w:p>
      <w:pPr>
        <w:spacing w:after="0" w:line="19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81,327,501 shares of Class B common stock held by 487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19,954,205 shares of Class B common stock issuable upon exercise of outstanding options and outstanding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109,575 shares of Class A common stock held by 24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4,787,175 shares of Class A common stock issuable upon exercise of outstanding options.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shares of Class A common stock and Class B common stock are not redeemable and have no preemptive rights.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Stock and Class B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Holders of our Class A common stock and Class B common stock have identical rights, provided that, except as otherwise expressly provided in our amended and restated certificate of incorporation or required by applicable law, on any matter that is submitted to a vote of our stockholders, holders of our Class A common stock are entitled to one vote per share of Class A common stock and holders of our Class B common stock are entitled to ten votes per share of Class B common stock. Holders of shares of Class A common stock and Class B common stock will vote together as a single class on all matters (including the election of directors) submitted to a vote of stockholders, except that there will be a separate vote of our Class A common stock and Class B common stock in the following circumstances:</w:t>
      </w:r>
    </w:p>
    <w:p>
      <w:pPr>
        <w:spacing w:after="0" w:line="212" w:lineRule="exact"/>
        <w:rPr>
          <w:sz w:val="20"/>
          <w:szCs w:val="20"/>
          <w:color w:val="auto"/>
        </w:rPr>
      </w:pPr>
    </w:p>
    <w:p>
      <w:pPr>
        <w:ind w:left="1080" w:right="1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dividend or distribution of cash, property or shares of our stock paid or distributed by us;</w:t>
      </w:r>
    </w:p>
    <w:p>
      <w:pPr>
        <w:spacing w:after="0" w:line="212"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we propose to treat the shares of a class of our common stock differently with respect to any subdivision or combination of the shares of a class of our common stock; or</w:t>
      </w:r>
    </w:p>
    <w:p>
      <w:pPr>
        <w:spacing w:after="0" w:line="199" w:lineRule="exact"/>
        <w:rPr>
          <w:rFonts w:ascii="Arial" w:cs="Arial" w:eastAsia="Arial" w:hAnsi="Arial"/>
          <w:sz w:val="18"/>
          <w:szCs w:val="18"/>
          <w:color w:val="auto"/>
        </w:rPr>
      </w:pPr>
    </w:p>
    <w:p>
      <w:pPr>
        <w:ind w:left="1080" w:right="960" w:hanging="532"/>
        <w:spacing w:after="0" w:line="33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in connection with a change in control with respect to any consideration into which the shares are converted or any consideration paid or otherwise distributed to our stockholders.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there will be a separate vote of our Class B common stock in order for us to, directly or indirectly, take action in the following circumstances:</w:t>
      </w:r>
    </w:p>
    <w:p>
      <w:pPr>
        <w:spacing w:after="0" w:line="262" w:lineRule="exact"/>
        <w:rPr>
          <w:sz w:val="20"/>
          <w:szCs w:val="20"/>
          <w:color w:val="auto"/>
        </w:rPr>
      </w:pPr>
    </w:p>
    <w:p>
      <w:pPr>
        <w:jc w:val="both"/>
        <w:ind w:left="1080" w:right="4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propose to amend, alter or repeal any provision of our amended and restated certificate of incorporation or our amended and restated bylaws that modifies the voting, conversion or other powers, preferences or other special rights or privileges or restrictions of the Class B common stock; or</w:t>
      </w:r>
    </w:p>
    <w:p>
      <w:pPr>
        <w:spacing w:after="0" w:line="221"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we reclassify any outstanding shares of Class A common stock into shares having rights as to dividends or liquidation that are senior to the Class B common stock or the right to more than one vote for each share thereof.</w:t>
      </w:r>
    </w:p>
    <w:p>
      <w:pPr>
        <w:spacing w:after="0" w:line="186"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Upon the closing of this offering, under our amended and restated certificate of incorporation, we may not increase or decrease the authorized number of shares of Class A common stock or Class B common stock without the affirmative vote of the holders of a majority of the combined voting power of the outstanding shares of Class A common stock and Class B common stock, voting together as a single class. In addition, we may not issue any shares of Class B common stock, unless that issuance is approved by the affirmative vote of the holders of a majority of the outstanding shares of Class B common stock.</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not provided for cumulative voting for the election of directors in our amended and restated certificate of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Rights</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Except as otherwise expressly provided in our amended and restated certificate of incorporation or required by applicable law, shares of Class A common stock and Class B common stock will have the same rights and privileges and rank equally, share ratably and be identical in all respects as to all matters, including, without limitation, those described below unless different treatment of the shares of each such class is approved by the affirmative vote of the holders of a majority of the outstanding shares of the applicable class of common stock treated adversely, voting separately as a class.</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Any dividend or distribution paid or payable to the holders of shares of Class A common stock and Class B common stock shall be paid pro</w:t>
      </w:r>
      <w:r>
        <w:rPr>
          <w:rFonts w:ascii="Arial" w:cs="Arial" w:eastAsia="Arial" w:hAnsi="Arial"/>
          <w:sz w:val="18"/>
          <w:szCs w:val="18"/>
          <w:i w:val="1"/>
          <w:iCs w:val="1"/>
          <w:color w:val="auto"/>
        </w:rPr>
        <w:t xml:space="preserve"> </w:t>
      </w:r>
      <w:r>
        <w:rPr>
          <w:rFonts w:ascii="Arial" w:cs="Arial" w:eastAsia="Arial" w:hAnsi="Arial"/>
          <w:sz w:val="18"/>
          <w:szCs w:val="18"/>
          <w:color w:val="auto"/>
        </w:rPr>
        <w:t>rata, on an equal priority, pari passu basis; provided, however, that if a dividend or distribution is paid in the form of Class A common stock or Class B common stock (or rights to acquire shares of Class A common stock or Class B common stock), then the holders of the Class A common stock shall receive Class A common stock (or rights to acquire shares of Class A common stock) and holders of Class B common stock shall receive Class B common stock (or rights to acquire shares of Class B common stock).</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winding-up, upon the completion of the distributions required with respect to any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redeemable convertible preferred stock that may then be outstanding, our remaining assets legally available for distribution to stockholders shall be distributed on an equal priority, pro rata basis to the holders of Class A common stock and Class B common stock.</w:t>
      </w:r>
    </w:p>
    <w:p>
      <w:pPr>
        <w:spacing w:after="0" w:line="19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 xml:space="preserve">Subdivisions and Combinations. </w:t>
      </w:r>
      <w:r>
        <w:rPr>
          <w:rFonts w:ascii="Arial" w:cs="Arial" w:eastAsia="Arial" w:hAnsi="Arial"/>
          <w:sz w:val="18"/>
          <w:szCs w:val="18"/>
          <w:color w:val="auto"/>
        </w:rPr>
        <w:t>If we subdivide or combine in any manner outstanding shares of Class A common stock or Class B common stock, then</w:t>
      </w:r>
      <w:r>
        <w:rPr>
          <w:rFonts w:ascii="Arial" w:cs="Arial" w:eastAsia="Arial" w:hAnsi="Arial"/>
          <w:sz w:val="18"/>
          <w:szCs w:val="18"/>
          <w:i w:val="1"/>
          <w:iCs w:val="1"/>
          <w:color w:val="auto"/>
        </w:rPr>
        <w:t xml:space="preserve"> </w:t>
      </w:r>
      <w:r>
        <w:rPr>
          <w:rFonts w:ascii="Arial" w:cs="Arial" w:eastAsia="Arial" w:hAnsi="Arial"/>
          <w:sz w:val="18"/>
          <w:szCs w:val="18"/>
          <w:color w:val="auto"/>
        </w:rPr>
        <w:t>the outstanding shares of all common stock will be subdivided or combined in the same proportion and manner.</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 xml:space="preserve">Change of Control Transaction. </w:t>
      </w:r>
      <w:r>
        <w:rPr>
          <w:rFonts w:ascii="Arial" w:cs="Arial" w:eastAsia="Arial" w:hAnsi="Arial"/>
          <w:sz w:val="18"/>
          <w:szCs w:val="18"/>
          <w:color w:val="auto"/>
        </w:rPr>
        <w:t>In connection with any change of control, the holders of Class A common stock and Class B common stock will be treated</w:t>
      </w:r>
      <w:r>
        <w:rPr>
          <w:rFonts w:ascii="Arial" w:cs="Arial" w:eastAsia="Arial" w:hAnsi="Arial"/>
          <w:sz w:val="18"/>
          <w:szCs w:val="18"/>
          <w:i w:val="1"/>
          <w:iCs w:val="1"/>
          <w:color w:val="auto"/>
        </w:rPr>
        <w:t xml:space="preserve"> </w:t>
      </w:r>
      <w:r>
        <w:rPr>
          <w:rFonts w:ascii="Arial" w:cs="Arial" w:eastAsia="Arial" w:hAnsi="Arial"/>
          <w:sz w:val="18"/>
          <w:szCs w:val="18"/>
          <w:color w:val="auto"/>
        </w:rPr>
        <w:t>equally and identically with respect to shares of Class A common stock or Class B common stock owned by them.</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Each share of Class B common stock is convertible at any time at the option of the holder into one share of Class A common stock. In addition, each share of Class B common stock will convert automatically into one share of Class A common stock upon (1) any transfer, whether or not for value and whether voluntary or involuntary or by operation of law, except for certain transfers described in our amended and restated certificate of incorporation, including, without limitation, certain transfers for tax and estate planning purposes or (2) the death or disability, as defined in our amended and restated certificate of incorporation, of the Class B common stockholder (or nine months after the date of death or disability if the stockholder is one of our founders). In addition, upon the date on which the outstanding shares of Class B common stock represent less than 10% of the aggregate voting power of our then outstanding capital stock, all outstanding shares of Class B common stock shall convert automatically into Class A common stock, and no additional shares of Class B common stock will be issued.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3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As of April 30, 2017, options to purchase an aggregate of 19,600,909 shares of Class B common stock were outstanding under our 2008 Plan at a weighted-average exercise price of $3.21 per share and options to purchase an aggregate of 4,787,175 shares of Class A common stock were outstanding under our 2016 Plan at a weighted-average exercise price of $4.14 per share. For additional information regarding the terms of our 2008 Plan and our 2016 Plan, see "Executive Compensation—Equity Incentive Plans—2008 Stock Plan" and "—2016 Equity Incentive Plan,"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31"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As of April 30, 2017, warrants to acquire an aggregate of 353,296 shares of our Class B common stock were outstanding, after giving effect to the offering and the conversion of our outstanding redeemable convertible preferred stock warrants into Class B common stock warrants. The warrants are exercisable at a weighted-average exercise price of $2.19 per share.</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These warrants contain provisions for the adjustment of the exercise price and the number of shares issuable upon the exercise of the warrant in the event of certain stock dividends, stock splits, reorganizations, reclassifications and consolidations.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After the closing of this offering, certain holders of the Class B common stock, including holders of the shares of our Class B common stock that will be issued upon conversion of our redeemable convertible preferred stock in connection with this offering, will be entitled to certain rights with respect to registration of such shares under the Securities Act pursuant to the terms of an investors' rights agreement. These shares are collectively referred to herein as registrable securities.</w:t>
      </w:r>
    </w:p>
    <w:p>
      <w:pPr>
        <w:spacing w:after="0" w:line="197" w:lineRule="exact"/>
        <w:rPr>
          <w:sz w:val="20"/>
          <w:szCs w:val="20"/>
          <w:color w:val="auto"/>
        </w:rPr>
      </w:pPr>
    </w:p>
    <w:p>
      <w:pPr>
        <w:ind w:right="300" w:firstLine="348"/>
        <w:spacing w:after="0" w:line="323" w:lineRule="auto"/>
        <w:rPr>
          <w:sz w:val="20"/>
          <w:szCs w:val="20"/>
          <w:color w:val="auto"/>
        </w:rPr>
      </w:pPr>
      <w:r>
        <w:rPr>
          <w:rFonts w:ascii="Arial" w:cs="Arial" w:eastAsia="Arial" w:hAnsi="Arial"/>
          <w:sz w:val="15"/>
          <w:szCs w:val="15"/>
          <w:color w:val="auto"/>
        </w:rPr>
        <w:t>The investors' rights agreement provides the holders of registrable securities with demand, piggyback and Form S-3 registration rights as described more fully below. As of April 30, 2017, after giving effect to the conversion of all outstanding shares of redeemable convertible preferred stock into shares of our Class B common stock in connection with the closing of the offering, there would have been an aggregate of 56,034,889 shares of Class B common stock that were entitled to demand and Form S-3 registration rights and 72,810,682 shares of Class B common stock that were entitled to piggyback registration rights.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At any time beginning 180 days after the effective date of the registration statement of which this prospectus forms a part, the holders of 30% of the registrable securities then outstanding have the right to make up to two demands that we file a registration statement under the Securities Act covering registrable securities then outstanding having an aggregate offering price, net of selling expenses, of at least $7.5 million, subject to specified exceptions.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register any securities for public sale, the holders of our registrable securities then outstanding will each be entitled to notice of the registration and will have the right to include their shares in the registration statement.</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These piggyback registration rights are subject to specified conditions and limitations, including the right of the underwriters of any underwritten offering to limit the number of shares with registration rights to be included in the registration statement, but not below 30% of the total number of securities included in such registration.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225"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If we are eligible to file a registration statement on Form S-3, the holders of 30% of the registrable securities then outstanding have the right to demand that we file registration statements on Form S-3; provided, that the aggregate offering price, net of selling expenses, of the securities to be sold under the registration statement is at least $1.0 million. The right to have such shares registered on Form S-3 is further subject to other specified conditions and limitations.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will pay all expenses relating to any demand, piggyback or Form S-3 registration, other than underwriting discounts and commissions, subject to specified conditions and limitations.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225"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registration rights will terminate five years following the closing of this offering and, with respect to any particular stockholder, when such stockholder holds less than 1% of our outstanding common stock and is able to sell all of its shares during a 90-day period pursuant to Rule 144 under the Securities Act.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Statute</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are subject to Section 203 of the Delaware General Corporation Law,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8" w:lineRule="exact"/>
        <w:rPr>
          <w:sz w:val="20"/>
          <w:szCs w:val="20"/>
          <w:color w:val="auto"/>
        </w:rPr>
      </w:pPr>
    </w:p>
    <w:p>
      <w:pPr>
        <w:ind w:left="1080" w:right="70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212" w:lineRule="exact"/>
        <w:rPr>
          <w:rFonts w:ascii="Arial" w:cs="Arial" w:eastAsia="Arial" w:hAnsi="Arial"/>
          <w:sz w:val="18"/>
          <w:szCs w:val="18"/>
          <w:color w:val="auto"/>
        </w:rPr>
      </w:pPr>
    </w:p>
    <w:p>
      <w:pPr>
        <w:jc w:val="both"/>
        <w:ind w:left="1080" w:right="180" w:hanging="532"/>
        <w:spacing w:after="0" w:line="259"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0"/>
        <w:spacing w:after="0" w:line="370" w:lineRule="auto"/>
        <w:rPr>
          <w:sz w:val="20"/>
          <w:szCs w:val="20"/>
          <w:color w:val="auto"/>
        </w:rPr>
      </w:pPr>
      <w:r>
        <w:rPr>
          <w:rFonts w:ascii="Arial" w:cs="Arial" w:eastAsia="Arial" w:hAnsi="Arial"/>
          <w:sz w:val="15"/>
          <w:szCs w:val="15"/>
          <w:color w:val="auto"/>
        </w:rPr>
        <w:t>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130" w:lineRule="exact"/>
        <w:rPr>
          <w:sz w:val="20"/>
          <w:szCs w:val="20"/>
          <w:color w:val="auto"/>
        </w:rPr>
      </w:pPr>
    </w:p>
    <w:p>
      <w:pPr>
        <w:ind w:left="1080" w:right="580" w:hanging="532"/>
        <w:spacing w:after="0" w:line="22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voting stock that is not owned by the interested stockholder.</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38"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6" w:lineRule="exact"/>
        <w:rPr>
          <w:sz w:val="20"/>
          <w:szCs w:val="20"/>
          <w:color w:val="auto"/>
        </w:rPr>
      </w:pPr>
    </w:p>
    <w:p>
      <w:pPr>
        <w:ind w:left="180" w:right="360" w:hanging="179"/>
        <w:spacing w:after="0" w:line="268" w:lineRule="auto"/>
        <w:rPr>
          <w:sz w:val="20"/>
          <w:szCs w:val="20"/>
          <w:color w:val="auto"/>
        </w:rPr>
      </w:pPr>
      <w:r>
        <w:rPr>
          <w:rFonts w:ascii="Arial" w:cs="Arial" w:eastAsia="Arial" w:hAnsi="Arial"/>
          <w:sz w:val="18"/>
          <w:szCs w:val="18"/>
          <w:b w:val="1"/>
          <w:bCs w:val="1"/>
          <w:i w:val="1"/>
          <w:iCs w:val="1"/>
          <w:color w:val="auto"/>
        </w:rPr>
        <w:t>Anti-Takeover Effects of Certain Provisions of our Amended and Restated Certificate of Incorporation and Amended and Restated Bylaws to be in Effect Upon the Closing of this Offering</w:t>
      </w:r>
    </w:p>
    <w:p>
      <w:pPr>
        <w:spacing w:after="0" w:line="186"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amended and restated certificate of incorporation to be in effect upon the closing of this offering provides for a board of directors comprised of three classes of directors, with each class serving a three-year term beginning and ending in different years than those of the other two classes. Only one class of directors will be elected at each annual meeting of our stockholders, with the other classes continuing for the remainder of their respective three-year terms.</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Because our stockholders do not have cumulative voting rights, stockholders holding a majority of the voting power of the Class A common stock and Class B common stock outstanding will be able to elect all of our directors. Our amended and restated certificate of incorporation provides for a two-class common stock structure, which provides our founders, current stockholders, executives and certain employees with significant influence over all matters requiring stockholder approval, including the election of directors and significant corporate transactions, such as a merger or other sale of our company or its assets.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and amended and restated bylaws will also provide that:</w:t>
      </w:r>
    </w:p>
    <w:p>
      <w:pPr>
        <w:spacing w:after="0" w:line="239" w:lineRule="exact"/>
        <w:rPr>
          <w:sz w:val="20"/>
          <w:szCs w:val="20"/>
          <w:color w:val="auto"/>
        </w:rPr>
      </w:pPr>
    </w:p>
    <w:p>
      <w:pPr>
        <w:ind w:left="1080" w:right="12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date on which all shares of common stock convert into a single class, the authorized number of directors may be changed only by resolution of the stockholders and from and after the date on which all shares of common stock convert into a single class, the authorized number of directors may be changed only by resolution of the board of directors;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332"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vacancies and newly created directorships on the board of directors may be filled (1) by a majority vote of the directors then serving on the board, even though less than a quorum, except as otherwise required by law or determined by the board, or (2) by the stockholders;</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stockholder action may be taken at a duly called meeting of stockholders or, prior to the date on which all shares of common stock convert into a single class, by written consent; and</w:t>
      </w:r>
    </w:p>
    <w:p>
      <w:pPr>
        <w:spacing w:after="0" w:line="199" w:lineRule="exact"/>
        <w:rPr>
          <w:rFonts w:ascii="Arial" w:cs="Arial" w:eastAsia="Arial" w:hAnsi="Arial"/>
          <w:sz w:val="18"/>
          <w:szCs w:val="18"/>
          <w:color w:val="auto"/>
        </w:rPr>
      </w:pPr>
    </w:p>
    <w:p>
      <w:pPr>
        <w:ind w:left="1080" w:right="400" w:hanging="532"/>
        <w:spacing w:after="0" w:line="306"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special meeting of stockholders may be called by a majority of our whole board of directors, the chair of our board of directors, our chief executive officer or, prior to the date on which all shares of common stock convert into a single class, the holders of at least 10% of the total voting power of our Class A common stock and Class B common stock, voting together as a single class.</w:t>
      </w:r>
    </w:p>
    <w:p>
      <w:pPr>
        <w:spacing w:after="0" w:line="16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combination of these provisions will make it more difficult for another party to obtain control of us by replacing our board of directors. Since our board of directors has the power to retain and discharge our officers, these provisions could also make it more difficult for another party to effect a change in management.</w:t>
      </w:r>
    </w:p>
    <w:p>
      <w:pPr>
        <w:spacing w:after="0" w:line="194"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(i) any derivative action or proceeding brought on our behalf; (ii) any action asserting a breach of fiduciary duty; (iii) any action asserting a claim against us arising under the Delaware General Corporation Law; (iv) any action regarding our amended and restated certificate of incorporation or our amended and restated bylaws; or (v) any action asserting a claim against us that is governed by the internal affairs doctrine. Several lawsuits have been filed in Delaware challenging the enforceability of similar choice of forum provisions, and it is possible that a court could determine such provisions are not enforceable.</w:t>
      </w:r>
    </w:p>
    <w:p>
      <w:pPr>
        <w:spacing w:after="0" w:line="170"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left="360"/>
        <w:spacing w:after="0"/>
        <w:tabs>
          <w:tab w:leader="none" w:pos="7900" w:val="left"/>
          <w:tab w:leader="none" w:pos="11140" w:val="left"/>
        </w:tabs>
        <w:rPr>
          <w:sz w:val="20"/>
          <w:szCs w:val="20"/>
          <w:color w:val="auto"/>
        </w:rPr>
      </w:pPr>
      <w:r>
        <w:rPr>
          <w:rFonts w:ascii="Arial" w:cs="Arial" w:eastAsia="Arial" w:hAnsi="Arial"/>
          <w:sz w:val="18"/>
          <w:szCs w:val="18"/>
          <w:color w:val="auto"/>
        </w:rPr>
        <w:t>The transfer agent and registrar for our Class A common stock and Class B common stock is</w:t>
      </w:r>
      <w:r>
        <w:rPr>
          <w:sz w:val="20"/>
          <w:szCs w:val="20"/>
          <w:color w:val="auto"/>
        </w:rPr>
        <w:tab/>
      </w:r>
      <w:r>
        <w:rPr>
          <w:rFonts w:ascii="Arial" w:cs="Arial" w:eastAsia="Arial" w:hAnsi="Arial"/>
          <w:sz w:val="18"/>
          <w:szCs w:val="18"/>
          <w:color w:val="auto"/>
        </w:rPr>
        <w:t>. The transfer agent's address is</w:t>
      </w:r>
      <w:r>
        <w:rPr>
          <w:sz w:val="20"/>
          <w:szCs w:val="20"/>
          <w:color w:val="auto"/>
        </w:rPr>
        <w:tab/>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1" w:lineRule="exact"/>
        <w:rPr>
          <w:sz w:val="20"/>
          <w:szCs w:val="20"/>
          <w:color w:val="auto"/>
        </w:rPr>
      </w:pPr>
    </w:p>
    <w:p>
      <w:pPr>
        <w:ind w:left="360"/>
        <w:spacing w:after="0"/>
        <w:tabs>
          <w:tab w:leader="none" w:pos="5700" w:val="left"/>
        </w:tabs>
        <w:rPr>
          <w:sz w:val="20"/>
          <w:szCs w:val="20"/>
          <w:color w:val="auto"/>
        </w:rPr>
      </w:pPr>
      <w:r>
        <w:rPr>
          <w:rFonts w:ascii="Arial" w:cs="Arial" w:eastAsia="Arial" w:hAnsi="Arial"/>
          <w:sz w:val="18"/>
          <w:szCs w:val="18"/>
          <w:color w:val="auto"/>
        </w:rPr>
        <w:t>We intend to apply for listing of our Class A common stock on the</w:t>
      </w:r>
      <w:r>
        <w:rPr>
          <w:sz w:val="20"/>
          <w:szCs w:val="20"/>
          <w:color w:val="auto"/>
        </w:rPr>
        <w:tab/>
      </w:r>
      <w:r>
        <w:rPr>
          <w:rFonts w:ascii="Arial" w:cs="Arial" w:eastAsia="Arial" w:hAnsi="Arial"/>
          <w:sz w:val="16"/>
          <w:szCs w:val="16"/>
          <w:color w:val="auto"/>
        </w:rPr>
        <w:t>under the trading symbol "MDB."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Prior to this offering, no public market existed for our capital stock, and although we expect that our Class A common stock will be approved for listing on</w:t>
      </w:r>
    </w:p>
    <w:p>
      <w:pPr>
        <w:spacing w:after="0" w:line="38"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the , we cannot assure investors that there will be an active public market for our Class A common stock following this offering. We cannot predict what effect, if any, sales of our shares in the public market or the availability of shares for sale will have on the market price of our Class A common stock. Future sales of substantial amounts of Class A common stock in the public market, the availability of shares for future sale or the perception that such sales may occur, however, could adversely affect the market price of our Class A common stock and also could adversely affect our future ability to raise capital through the sale of our Class A common stock or other equity-related securities at times and prices we believe appropriate.</w:t>
      </w:r>
    </w:p>
    <w:p>
      <w:pPr>
        <w:sectPr>
          <w:pgSz w:w="11900" w:h="16838" w:orient="portrait"/>
          <w:cols w:equalWidth="0" w:num="1">
            <w:col w:w="11400"/>
          </w:cols>
          <w:pgMar w:left="240" w:top="131" w:right="259" w:bottom="1440" w:gutter="0" w:footer="0" w:header="0"/>
        </w:sectPr>
      </w:pPr>
    </w:p>
    <w:p>
      <w:pPr>
        <w:spacing w:after="0" w:line="17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on our shares outstanding as of April 30, 2017, upon the closing of this offering,</w:t>
      </w:r>
    </w:p>
    <w:p>
      <w:pPr>
        <w:spacing w:after="0" w:line="38" w:lineRule="exact"/>
        <w:rPr>
          <w:sz w:val="20"/>
          <w:szCs w:val="20"/>
          <w:color w:val="auto"/>
        </w:rPr>
      </w:pPr>
    </w:p>
    <w:p>
      <w:pPr>
        <w:spacing w:after="0"/>
        <w:tabs>
          <w:tab w:leader="none" w:pos="4400" w:val="left"/>
        </w:tabs>
        <w:rPr>
          <w:sz w:val="20"/>
          <w:szCs w:val="20"/>
          <w:color w:val="auto"/>
        </w:rPr>
      </w:pPr>
      <w:r>
        <w:rPr>
          <w:rFonts w:ascii="Arial" w:cs="Arial" w:eastAsia="Arial" w:hAnsi="Arial"/>
          <w:sz w:val="18"/>
          <w:szCs w:val="18"/>
          <w:color w:val="auto"/>
        </w:rPr>
        <w:t>of our Class B common stock will be outstanding, or</w:t>
      </w:r>
      <w:r>
        <w:rPr>
          <w:sz w:val="20"/>
          <w:szCs w:val="20"/>
          <w:color w:val="auto"/>
        </w:rPr>
        <w:tab/>
      </w:r>
      <w:r>
        <w:rPr>
          <w:rFonts w:ascii="Arial" w:cs="Arial" w:eastAsia="Arial" w:hAnsi="Arial"/>
          <w:sz w:val="15"/>
          <w:szCs w:val="15"/>
          <w:color w:val="auto"/>
        </w:rPr>
        <w:t>shares of Class A common stock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Class A common stock and</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shares of our Class B common stock if the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277" w:lineRule="exact"/>
        <w:rPr>
          <w:sz w:val="20"/>
          <w:szCs w:val="20"/>
          <w:color w:val="auto"/>
        </w:rPr>
      </w:pPr>
    </w:p>
    <w:p>
      <w:pPr>
        <w:sectPr>
          <w:pgSz w:w="11900" w:h="16838" w:orient="portrait"/>
          <w:cols w:equalWidth="0" w:num="3">
            <w:col w:w="7000" w:space="260"/>
            <w:col w:w="3420" w:space="140"/>
            <w:col w:w="580"/>
          </w:cols>
          <w:pgMar w:left="240" w:top="131" w:right="259" w:bottom="1440" w:gutter="0" w:footer="0" w:header="0"/>
          <w:type w:val="continuous"/>
        </w:sectPr>
      </w:pPr>
    </w:p>
    <w:p>
      <w:pPr>
        <w:spacing w:after="0"/>
        <w:rPr>
          <w:sz w:val="20"/>
          <w:szCs w:val="20"/>
          <w:color w:val="auto"/>
        </w:rPr>
      </w:pPr>
      <w:r>
        <w:rPr>
          <w:rFonts w:ascii="Arial" w:cs="Arial" w:eastAsia="Arial" w:hAnsi="Arial"/>
          <w:sz w:val="16"/>
          <w:szCs w:val="16"/>
          <w:color w:val="auto"/>
        </w:rPr>
        <w:t>underwriters exercise their over-allotment option in full.</w:t>
      </w:r>
    </w:p>
    <w:p>
      <w:pPr>
        <w:sectPr>
          <w:pgSz w:w="11900" w:h="16838" w:orient="portrait"/>
          <w:cols w:equalWidth="0" w:num="1">
            <w:col w:w="11400"/>
          </w:cols>
          <w:pgMar w:left="240" w:top="131" w:right="259" w:bottom="1440" w:gutter="0" w:footer="0" w:header="0"/>
          <w:type w:val="continuous"/>
        </w:sectPr>
      </w:pPr>
    </w:p>
    <w:p>
      <w:pPr>
        <w:spacing w:after="0" w:line="242" w:lineRule="exact"/>
        <w:rPr>
          <w:sz w:val="20"/>
          <w:szCs w:val="20"/>
          <w:color w:val="auto"/>
        </w:rPr>
      </w:pPr>
    </w:p>
    <w:p>
      <w:pPr>
        <w:ind w:right="160" w:firstLine="341"/>
        <w:spacing w:after="0" w:line="294" w:lineRule="auto"/>
        <w:rPr>
          <w:sz w:val="20"/>
          <w:szCs w:val="20"/>
          <w:color w:val="auto"/>
        </w:rPr>
      </w:pPr>
      <w:r>
        <w:rPr>
          <w:rFonts w:ascii="Arial" w:cs="Arial" w:eastAsia="Arial" w:hAnsi="Arial"/>
          <w:sz w:val="16"/>
          <w:szCs w:val="16"/>
          <w:color w:val="auto"/>
        </w:rPr>
        <w:t>All of the shares of Class A common stock sold in this offering will be freely tradable without restrictions or further registration under the Securities Act, except for any shares sold to our "affiliates," as that term is defined under Rule 144 under the Securities Act. The outstanding shares of Class B common stock held by existing stockholders are "restricted securities," as that term is defined in Rule 144 under the Securities Act. Restricted securities may be sold in the public market only if the offer and sale is registered under the Securities Act or if the offer and sale of those securities qualifies for exemption from registration, including exemptions provided by Rules 144 or 701 promulgated under the Securities Act.</w:t>
      </w:r>
    </w:p>
    <w:p>
      <w:pPr>
        <w:spacing w:after="0" w:line="170"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a result of lock-up agreements and market standoff provisions described below and the provisions of Rules 144 and 701, shares of our common stock will be available for sale in the public market as follows:</w:t>
      </w:r>
    </w:p>
    <w:p>
      <w:pPr>
        <w:spacing w:after="0" w:line="199" w:lineRule="exact"/>
        <w:rPr>
          <w:sz w:val="20"/>
          <w:szCs w:val="20"/>
          <w:color w:val="auto"/>
        </w:rPr>
      </w:pPr>
    </w:p>
    <w:p>
      <w:pPr>
        <w:ind w:left="1620" w:hanging="1072"/>
        <w:spacing w:after="0"/>
        <w:tabs>
          <w:tab w:leader="none" w:pos="16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shares of our Class A common stock will be eligible for immediate sale upon the closing of this offering; and</w:t>
      </w:r>
    </w:p>
    <w:p>
      <w:pPr>
        <w:spacing w:after="0" w:line="225" w:lineRule="exact"/>
        <w:rPr>
          <w:sz w:val="20"/>
          <w:szCs w:val="20"/>
          <w:color w:val="auto"/>
        </w:rPr>
      </w:pPr>
    </w:p>
    <w:p>
      <w:pPr>
        <w:ind w:left="1080" w:right="120" w:hanging="539"/>
        <w:spacing w:after="0" w:line="306" w:lineRule="auto"/>
        <w:tabs>
          <w:tab w:leader="none" w:pos="10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approximately shares of our Class B common stock, upon reclassification into shares of Class A common stock, will be eligible for sale upon expiration of lock-up agreements and market standoff provisions described below, beginning 181 days after the date of this prospectus, subject in certain circumstances to the volume, manner of sale and other limitations under Rule 144 and Rule 701.</w:t>
      </w:r>
    </w:p>
    <w:p>
      <w:pPr>
        <w:spacing w:after="0" w:line="188"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may issue shares of our capital stock from time to time for a variety of corporate purposes, including in capital-raising activities through future public offerings or private placements, in connection with the exercise of stock options and warrants, vesting of restricted stock units and other issuances relating to our employee benefit plans and as consideration for future acquisitions, investments or other purposes. The number of shares of our capital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the shares will have the right, under certain circumstances, to cause us to register any resale of such shares to the public.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 general, persons who have beneficially owned restricted shares of our common stock for at least six months, and any affiliate of ours who owns either restricted or unrestricted shares of our common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38" w:name="page139"/>
    <w:bookmarkEnd w:id="1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sell their securities without registration with the SEC under an exemption from registration provided by Rule 144 under the Securities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Non-Affiliates</w:t>
      </w:r>
    </w:p>
    <w:p>
      <w:pPr>
        <w:spacing w:after="0" w:line="225"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99"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restricted securities have been held for at least six months, including the holding period of any prior owner other than one of our affiliates;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ind w:right="380" w:firstLine="341"/>
        <w:spacing w:after="0" w:line="256"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Persons seeking to sell restricted securities who are our affiliates at the time of, or any time during the three months preceding, a sale, would be subject to the restrictions described above. Sales of restricted or unrestricted shares of our common stock by affiliates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420"/>
          </w:cols>
          <w:pgMar w:left="240" w:top="131" w:right="239" w:bottom="1440" w:gutter="0" w:footer="0" w:header="0"/>
        </w:sectPr>
      </w:pP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701</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8280" w:val="left"/>
        </w:tabs>
        <w:rPr>
          <w:sz w:val="20"/>
          <w:szCs w:val="20"/>
          <w:color w:val="auto"/>
        </w:rPr>
      </w:pPr>
      <w:r>
        <w:rPr>
          <w:rFonts w:ascii="Arial" w:cs="Arial" w:eastAsia="Arial" w:hAnsi="Arial"/>
          <w:sz w:val="18"/>
          <w:szCs w:val="18"/>
          <w:color w:val="auto"/>
        </w:rPr>
        <w:t>1% of the number of shares of our Class A common stock then outstanding, which will equal approximately</w:t>
      </w:r>
      <w:r>
        <w:rPr>
          <w:sz w:val="20"/>
          <w:szCs w:val="20"/>
          <w:color w:val="auto"/>
        </w:rPr>
        <w:tab/>
      </w:r>
      <w:r>
        <w:rPr>
          <w:rFonts w:ascii="Arial" w:cs="Arial" w:eastAsia="Arial" w:hAnsi="Arial"/>
          <w:sz w:val="15"/>
          <w:szCs w:val="15"/>
          <w:color w:val="auto"/>
        </w:rPr>
        <w:t>shares immediately after the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closing of this offering based on the number of shares outstanding as of April 30, 2017; or</w:t>
      </w:r>
    </w:p>
    <w:p>
      <w:pPr>
        <w:spacing w:after="0" w:line="246"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the average weekly trading volume of our Class A common stock on the</w:t>
      </w:r>
      <w:r>
        <w:rPr>
          <w:sz w:val="20"/>
          <w:szCs w:val="20"/>
          <w:color w:val="auto"/>
        </w:rPr>
        <w:tab/>
      </w:r>
      <w:r>
        <w:rPr>
          <w:rFonts w:ascii="Arial" w:cs="Arial" w:eastAsia="Arial" w:hAnsi="Arial"/>
          <w:sz w:val="16"/>
          <w:szCs w:val="16"/>
          <w:color w:val="auto"/>
        </w:rPr>
        <w:t>during the four calendar weeks preceding the filing of a notice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 Form 144 with respect to the sale.</w:t>
      </w:r>
    </w:p>
    <w:p>
      <w:pPr>
        <w:spacing w:after="0" w:line="596" w:lineRule="exact"/>
        <w:rPr>
          <w:sz w:val="20"/>
          <w:szCs w:val="20"/>
          <w:color w:val="auto"/>
        </w:rPr>
      </w:pPr>
    </w:p>
    <w:p>
      <w:pPr>
        <w:sectPr>
          <w:pgSz w:w="11900" w:h="16838" w:orient="portrait"/>
          <w:cols w:equalWidth="0" w:num="2">
            <w:col w:w="660" w:space="420"/>
            <w:col w:w="10340"/>
          </w:cols>
          <w:pgMar w:left="240" w:top="131" w:right="239" w:bottom="1440" w:gutter="0" w:footer="0" w:header="0"/>
          <w:type w:val="continuous"/>
        </w:sectPr>
      </w:pPr>
    </w:p>
    <w:p>
      <w:pPr>
        <w:spacing w:after="0" w:line="5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holding period,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subject to the expiration of the lock-up agreements described below.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S-8 Registration Statements</w:t>
      </w:r>
    </w:p>
    <w:p>
      <w:pPr>
        <w:spacing w:after="0" w:line="231"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As of April 30, 2017, options to purchase an aggregate of 4,787,175 shares of our Class A common stock and options to purchase an aggregate of 19,600,909 shares of our Class B common stock were outstanding. As soon as practicable after the closing of this offering, we intend to file with the SEC one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or more registration statements on Form S-8 under the Securities Act to register the shares of our common stock that are issuable pursuant to our equity incentive plans, including pursuant to outstanding options. See "Executive Compensation—Equity Incentive Plans" for a description of our equity incentive plans.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ind w:right="360" w:firstLine="351"/>
        <w:spacing w:after="0" w:line="298" w:lineRule="auto"/>
        <w:rPr>
          <w:sz w:val="20"/>
          <w:szCs w:val="20"/>
          <w:color w:val="auto"/>
        </w:rPr>
      </w:pPr>
      <w:r>
        <w:rPr>
          <w:rFonts w:ascii="Arial" w:cs="Arial" w:eastAsia="Arial" w:hAnsi="Arial"/>
          <w:sz w:val="16"/>
          <w:szCs w:val="16"/>
          <w:color w:val="auto"/>
        </w:rPr>
        <w:t>In connection with this offering, we, our directors and officers, and the holders of substantially all of our capital stock and securities convertible into our capital stock, including all of the selling stockholders, have agreed, subject to certain exceptions, not to offer, sell, or transfer any Class A common stock or securities convertible into or exchangeable for our Class A common stock for 180 days after the date of this prospectus without the prior written consent of Morgan Stanley &amp; Co. LLC, Goldman Sachs &amp; Co. LLC and Barclays Capital Inc. on behalf of the underwriters.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agreements do not contain any pre-established conditions to the waiver by Morgan Stanley &amp; Co. LLC, Goldman Sachs &amp; Co. LLC and Barclays Capital Inc. on behalf of the underwriters of any terms of the lock-up agreements. Any determination to release shares subject to the lock-up agreements would be based on a number of factors at the time of determination, including but not necessarily limited to the market price of the Class A common stock, the liquidity of the trading market for the Class A common stock, general market conditions, the number of shares proposed to be sold and the timing, purpose and terms of the proposed sale.</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In addition to the restrictions contained in the lock-up agreements described above, we have entered into agreements with certain of our security holders, including our investors' rights agreement and agreements governing our equity awards, that contain market stand-off provisions imposing restrictions on the ability of such security holders to offer, sell or transfer our equity securities for a period of 180 days following the date of this prospectus.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Upon the closing of this offering, the holders of 72,810,682 shares of our Class B common stock, including warrants to purchase such shares, or their transferees, will be entitled to certain rights with respect to the registration of the offer and sale of their shares under the Securities Act. Registration of the offer and sale of these shares under the Securities Act would result in the shares becoming freely tradable without restriction under the Securities Act immediately upon the effectiveness of the registration. See "Description of Capital Stock—Registration Rights" for additional information.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1" w:lineRule="exact"/>
        <w:rPr>
          <w:sz w:val="20"/>
          <w:szCs w:val="20"/>
          <w:color w:val="auto"/>
        </w:rPr>
      </w:pPr>
    </w:p>
    <w:p>
      <w:pPr>
        <w:ind w:right="100" w:firstLine="348"/>
        <w:spacing w:after="0" w:line="285" w:lineRule="auto"/>
        <w:rPr>
          <w:sz w:val="20"/>
          <w:szCs w:val="20"/>
          <w:color w:val="auto"/>
        </w:rPr>
      </w:pPr>
      <w:r>
        <w:rPr>
          <w:rFonts w:ascii="Arial" w:cs="Arial" w:eastAsia="Arial" w:hAnsi="Arial"/>
          <w:sz w:val="16"/>
          <w:szCs w:val="16"/>
          <w:color w:val="auto"/>
        </w:rPr>
        <w:t>The following is a general discussion of the material U.S. federal income tax considerations of the acquisition, ownership and disposition of our Class A common stock by "Non-U.S. Holders" (as defined below). This discussion is for general information purposes only and does not consider all aspects of U.S. federal income taxation that may be relevant to particular Non-U.S. Holders in light of their individual circumstances or to certain types of Non-U.S. Holders subject to special tax rules, including partnerships or other pass-through entities for U.S. federal income tax purposes, banks, financial institutions or other financial services entities, broker-dealers, insurance companies, tax-exempt organizations, pension plans, real estate investment trusts, controlled foreign corporations, passive foreign investment companies, corporations that accumulate earnings to avoid U.S. federal income tax, persons who use or are required to use mark-to-market accounting, persons that hold our shares as part of a "straddle," a "hedge", a "conversion transaction," "synthetic security", integrated investment or other risk reduction strategy, persons that have a "functional currency" other than the U.S. dollar, certain former citizens or permanent residents of the United States, persons who hold or receive shares of our Class A common stock pursuant to the exercise of an employee stock option or otherwise as compensation, persons that own or are deemed to own (directly, indirectly or constructively) more than 5% of our Class A common stock (except to the extent specifically set forth below), persons that own, or are deemed to own, our Class B common stock (and only to the extent of their ownership of our Class B common stock), or investors in pass-through entities (or entities that are treated as disregarded entities for U.S. federal income tax purposes). In addition, this discussion does not address the effects of any applicable gift or estate tax, the potential application of the alternative minimum tax, or any tax considerations that may apply to Non-U.S. Holders of our Class A common stock under state, local or non-U.S. tax laws and any other U.S. federal tax laws. In addition, this discussion does not take into account or address changes to United States tax law that may result from tax reforms that may be enacted in 2017 or thereafter.</w:t>
      </w:r>
    </w:p>
    <w:p>
      <w:pPr>
        <w:spacing w:after="0" w:line="18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discussion is based on the Internal Revenue Code of 1986, as amended, or the Code, and applicable Treasury Regulations promulgated thereunder and rulings, administrative pronouncements and judicial decisions that are issued and available as of the date of this registration statement, all of which are subject to change or differing interpretations at any time with possible retroactive effect. We have not sought, and will not seek, any ruling from the Internal Revenue Service, or the IRS, with respect to the tax consequences discussed herein, and there can be no assurance that the IRS will not take a position contrary to the tax consequences discussed below or that any position taken by the IRS would not be sustained. This discussion is limited to a Non-U.S. Holder who will hold our Class A common stock as a capital asset within the meaning of the Code (generally, property held for investment). For purposes of this discussion, the term "Non-U.S. Holder" means a beneficial owner of our Class A common stock that is not a partnership (or entity or arrangement treated as a partnership for U.S. federal income tax purposes) and is not, for U.S. federal income tax purposes, any of the following:</w:t>
      </w:r>
    </w:p>
    <w:p>
      <w:pPr>
        <w:spacing w:after="0" w:line="186" w:lineRule="exact"/>
        <w:rPr>
          <w:sz w:val="20"/>
          <w:szCs w:val="20"/>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created or organized in the United States or under the laws of the United States or of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trust if (1) a court within the United States can exercise primary supervision over the trust's administration and one or more U.S. persons have the authority to control all of the trust's substantial decisions or (2) the trust has a valid election in effect under applicable U.S. Treasury Regulations to be treated as a U.S. person.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a partnership (or entity or arrangement treated as a partnership for U.S. federal income tax purposes) is a beneficial owner of our Class A common stock, the tax treatment of such partnership and a partner in such partnership generally will depend upon the status of the partner and the activities of the partnership. If you are a partner of a partnership holding our shares, you should consult your tax advisor regarding the tax consequences of the purchase, ownership, and disposition of our Class A common stock.</w:t>
      </w:r>
    </w:p>
    <w:p>
      <w:pPr>
        <w:spacing w:after="0" w:line="191" w:lineRule="exact"/>
        <w:rPr>
          <w:sz w:val="20"/>
          <w:szCs w:val="20"/>
          <w:color w:val="auto"/>
        </w:rPr>
      </w:pPr>
    </w:p>
    <w:p>
      <w:pPr>
        <w:ind w:right="300" w:firstLine="351"/>
        <w:spacing w:after="0" w:line="258" w:lineRule="auto"/>
        <w:rPr>
          <w:sz w:val="20"/>
          <w:szCs w:val="20"/>
          <w:color w:val="auto"/>
        </w:rPr>
      </w:pPr>
      <w:r>
        <w:rPr>
          <w:rFonts w:ascii="Arial" w:cs="Arial" w:eastAsia="Arial" w:hAnsi="Arial"/>
          <w:sz w:val="18"/>
          <w:szCs w:val="18"/>
          <w:b w:val="1"/>
          <w:bCs w:val="1"/>
          <w:color w:val="auto"/>
        </w:rPr>
        <w:t>THIS SUMMARY IS NOT INTENDED TO BE TAX ADVICE. PROSPECTIVE INVESTORS SHOULD CONSULT THEIR OWN TAX ADVISORS REGARDING THE PARTICULAR U.S. FEDERAL INCOME TAX CONSEQUENCES TO THEM OF ACQUIRING, OWNING AND DISPOSING OF OUR CLASS A COMMON STOCK, AS WELL AS ANY TAX CONSEQUENCES ARISING UNDER ANY STATE, LOCAL OR FOREIGN TAX LAWS AND ANY OTHER U.S. FEDERAL TAX LAWS.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general, subject to the discussions below under the headings "Information Reporting and Backup Withholding" and "Foreign Accounts," distributions, if any, paid on our Class A common stock to a Non-U.S. Holder (to the extent paid out of our current or accumulated earnings and profits, as determined under U.S. federal income tax principles) will constitute dividends and be subject to U.S. withholding tax at a rate equal to 30% of the gross amount of the dividend, or a lower rate prescribed by an applicable income tax treaty, unless the dividends are effectively connected with a trade or business carried on by the Non-U.S. Holder within the United States. Any distribution not constituting a dividend (because such distribution exceeds our current and accumulated earnings and profits) will be treated first as reducing the Non-U.S. Holder's basis in its shares of our Class A common stock, but not below zero, and to the extent it exceeds the Non-U.S. Holder's basis, as capital gain from the sale or exchange of such shares of Class A Common Stock (see "Gain on Sale, Exchange or Other Taxable Disposition of Our Class A Common Stock" below).</w:t>
      </w:r>
    </w:p>
    <w:p>
      <w:pPr>
        <w:spacing w:after="0" w:line="172"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 Non-U.S. Holder who claims the benefit of an applicable income tax treaty generally will be required to satisfy certain certification and other requirements prior to the distribution date. Such Non-U.S. Holders must generally provide us and/or our paying agent, as applicable, with a properly executed IRS Form W-8BEN or IRS Form W-8BEN-E (or other appropriate form) claiming an exemption from or reduction in withholding under an applicable income tax treaty. Such certificate must be provided before the payment of dividends and must be updated periodically. If a Non-U.S. Holder holds Class A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intermediaries. If tax is withheld in an amount in excess of the amount applicable under an income tax treaty, a refund of the excess amount may generally be obtained by a Non-U.S. Holder by timely filing an appropriate claim for refund with the IRS. Non-U.S. Holders should consult their tax advisors regarding their entitlement to benefits under an applicable income tax treaty.</w:t>
      </w:r>
    </w:p>
    <w:p>
      <w:pPr>
        <w:spacing w:after="0" w:line="395"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Dividends that are effectively connected with a Non-U.S. Holder's conduct of a U.S. trade or business (and, if required by an applicable income tax treaty, attributable to a U.S. permanent establishment or U.S. fixed base of the Non-U.S. Holder) generally will not be subject to U.S. federal withholding tax if the Non-U.S. Holder files the required forms, including IRS Form W-8ECI, with us and/or our paying agent, as applicable, but instead generally will be subject to U.S. federal income tax on a net income basis at regular graduated rates in the same manner as if the Non-U.S. Holder were a resident of the United States. This certification must be provided before dividends on our Class A common stock are paid and must be updated periodically. A corporate Non-U.S. Holder that receives effectively connected dividends may be subject to an additional branch profits tax at a rate of 30%, or a lower rate prescribed by an applicable income tax treaty.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Class A Common Stock</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general, subject to the discussion below under the headings "Information Reporting and Backup Withholding" and "Foreign Accounts," a Non-U.S. Holder will not be subject to U.S. federal income tax or withholding tax on any gain realized upon such holder's sale, exchange or other disposition of shares of our Class A common stock unless:</w:t>
      </w:r>
    </w:p>
    <w:p>
      <w:pPr>
        <w:spacing w:after="0" w:line="208" w:lineRule="exact"/>
        <w:rPr>
          <w:sz w:val="20"/>
          <w:szCs w:val="20"/>
          <w:color w:val="auto"/>
        </w:rPr>
      </w:pPr>
    </w:p>
    <w:p>
      <w:pPr>
        <w:ind w:left="1080" w:right="500" w:hanging="532"/>
        <w:spacing w:after="0" w:line="332"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(and, if required by an applicable income tax treaty, attributable to a U.S. permanent establishment or U.S. fixed base of the Non-U.S. Holder);</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199" w:lineRule="exact"/>
        <w:rPr>
          <w:rFonts w:ascii="Arial" w:cs="Arial" w:eastAsia="Arial" w:hAnsi="Arial"/>
          <w:sz w:val="18"/>
          <w:szCs w:val="18"/>
          <w:color w:val="auto"/>
        </w:rPr>
      </w:pPr>
    </w:p>
    <w:p>
      <w:pPr>
        <w:ind w:left="1080" w:right="60" w:hanging="532"/>
        <w:spacing w:after="0" w:line="298"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we are or have been a "United States real property holding corporation" for U.S. federal income tax purposes at any time during the shorter of the five-year period ending on the date of disposition or the period that the Non-U.S. Holder held the Class A common stock, and, in the case where shares of our Class A common stock are regularly traded on an established securities market, the Non-U.S. Holder owns or is treated as owning (directly, indirectly or constructively) more than 5% of our Class A common stock at any time during the foregoing period.</w:t>
      </w:r>
    </w:p>
    <w:p>
      <w:pPr>
        <w:spacing w:after="0" w:line="167"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Net gain realized by a Non-U.S. Holder described in clause (1) above generally will be subject to U.S. federal income tax in the same manner as if the Non-U.S. Holder were a resident of the United States. Any gains of a corporate Non-U.S. Holder described in clause (1) above may also be subject to an additional "branch profits tax" at a 30% rate, or such lower rate as may be specified by an applicable income tax treaty.</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Gain realized by an individual Non-U.S. Holder described in clause (2) above will be subject to a flat 30% tax, or such lower rate specified in an applicable income tax treaty, which gain may be offset by U.S. source capital losses, even though the individual is not considered a resident of the United States.</w:t>
      </w:r>
    </w:p>
    <w:p>
      <w:pPr>
        <w:spacing w:after="0" w:line="139"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For purposes of clause (3) above, a corporation is a United States real property holding corporation, or USRPHC, if the fair market value of its United States real property interests equals or exceeds 50% of the sum of the fair market value of its United States real property interests, the fair market value of its worldwide real property interests plus its other assets used or held for use in a trade or business. We believe that we are not, and we do not anticipate that we will become, a USRPHC. However, because the determination of whether we are a USRPHC depends on the fair market value of our U.S. real property interests relative to the fair market value of our other business assets, there can be no assurance that we will not become a USRPHC in the future. Even if we became a USRPHC, a Non-U.S. Holder would not be subject to U.S. federal income tax on a sale, exchange or other taxable disposition of our Class A common stock by reason of our status as a USRPHC so long as our Class A common stock is regularly traded on an established securities market (within the meaning of the applicable regulations) and such Non-U.S. Holder does not own and is not deemed to own (directly, indirectly or constructively) more than 5% of our outstanding Class A common stock at any time during the shorter of the five-year period ending on the date of disposition and such holder's holding period. However, no assurance can be provided that our Class A common stock will be regularly traded on an established securities market for purposes of the rules described above. If we are a USRPHC and either our Class A common stock is not regularly traded on an established securities market or a Non-U.S. Holder holds or is deemed to hold (directly, indirectly or constructively) more than 5% of our outstanding Class A common stock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are a USRPHC and our common stock is not regularly traded on an established securities market, a Non-U.S. Holder's proceeds received on the disposition of shares will also generally be subject to withholding at a rate of 15%. Prospective investors are encouraged to consult their own tax advisors regarding the possible consequences to them if we are, or were to become, a USRPHC.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the name and address of the recipient, and the amount, if any, of tax withheld. These information reporting requirements apply even if withholding was not required because the dividends were effectively connected with the Non-U.S. Holder's conduct of a trade or business within the United States or withholding was reduced by an applicable income tax treaty. Under applicable income tax treaties or other agreements, the IRS may make its reports available to the tax authorities in the Non-U.S. Holder's country of residence or country in which the Non-U.S. Holder was established.</w:t>
      </w:r>
    </w:p>
    <w:p>
      <w:pPr>
        <w:spacing w:after="0" w:line="170"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Dividends paid to a Non-U.S. Holder that is not an exempt recipient generally will be subject to backup withholding, currently at a rate of 28%, unless the Non-U.S. Holder certifies to the payor as to its foreign status, which certification may generally be made on an applicable IRS Form W-8.</w:t>
      </w:r>
    </w:p>
    <w:p>
      <w:pPr>
        <w:spacing w:after="0" w:line="139"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Proceeds from the sale or other disposition of Class A common stock by a Non-U.S. Holder effected by or through a U.S. office of a broker will generally be subject to information reporting and backup withholding, currently at a rate of 28%, unless the Non-U.S. Holder certifies to the withholding agent under penalties of perjury as to, among other things, its name, address and status as a Non-U.S. Holder or otherwise establishes an exemption. Payment of disposition proceeds effected outside the United States by or through a non-U.S. office of a non-U.S. broker generally will not be subject to information reporting or backup withholding if the payment is not received in the United States. Information reporting, but generally not backup withholding, will apply to such a payment if the broker has certain connections with the United States unless the broker has documentary evidence in its records that the beneficial owner thereof is a Non-U.S. Holder and specified conditions are met or an exemption is otherwise established.</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from a payment to a Non-U.S. Holder that results in an overpayment of taxes generally will be refunded, or credited against the holder's U.S. federal income tax liability, if any,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Foreign Account Tax Compliance Act, or FATCA, generally imposes a 30% withholding tax on dividends on, and gross proceeds from the sale or disposition of, our Class A common stock if paid to a foreign entity unless (1) if the foreign entity is a "foreign financial institution," the foreign entity undertakes certain due diligence, reporting, withholding, and certification obligations, (2) if the foreign entity is a "non-financial foreign entity," the foreign entity identifies certain direct and indirect U.S. holders of debt or equity interests in such foreign entity or certifies that there are none or (3) the foreign entity is otherwise exempt from FATCA.</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Withholding under FATCA generally (1) applies to payments of dividends on our Class A common stock and (2) will apply to payments of gross proceeds from a sale or other disposition of our Class A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 should consult their own tax advisors regarding the possible implications of FATCA on their investment in our Class A common stock.</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&amp; Co. LLC and Barclays Capital Inc. are acting as representatives, have severally agreed to purchase, and we and the selling stockholders have agreed to sell to them, severally, the number of shares indicated below:</w:t>
      </w:r>
    </w:p>
    <w:p>
      <w:pPr>
        <w:spacing w:after="0" w:line="156" w:lineRule="exact"/>
        <w:rPr>
          <w:sz w:val="20"/>
          <w:szCs w:val="20"/>
          <w:color w:val="auto"/>
        </w:rPr>
      </w:pPr>
    </w:p>
    <w:p>
      <w:pPr>
        <w:ind w:left="1720"/>
        <w:spacing w:after="0"/>
        <w:tabs>
          <w:tab w:leader="none" w:pos="858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0</wp:posOffset>
            </wp:positionV>
            <wp:extent cx="7372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Canaccord Genuity Inc.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68570" cy="146050"/>
                    </a:xfrm>
                    <a:prstGeom prst="rect">
                      <a:avLst/>
                    </a:prstGeom>
                    <a:noFill/>
                  </pic:spPr>
                </pic:pic>
              </a:graphicData>
            </a:graphic>
          </wp:anchor>
        </w:drawing>
      </w:r>
    </w:p>
    <w:p>
      <w:pPr>
        <w:ind w:left="19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10795</wp:posOffset>
            </wp:positionV>
            <wp:extent cx="73723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27940</wp:posOffset>
            </wp:positionV>
            <wp:extent cx="7372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7235" cy="8890"/>
                    </a:xfrm>
                    <a:prstGeom prst="rect">
                      <a:avLst/>
                    </a:prstGeom>
                    <a:noFill/>
                  </pic:spPr>
                </pic:pic>
              </a:graphicData>
            </a:graphic>
          </wp:anchor>
        </w:drawing>
      </w:r>
    </w:p>
    <w:p>
      <w:pPr>
        <w:spacing w:after="0" w:line="246"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underwriters and the representatives are collectively referred to as the "underwriters" and the "representatives," respectively. The underwriters are offering the shares of Class A common stock subject to their acceptance of the shares from us and subject to prior sale.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option to purchase additional shares described below. The underwriting agreement also provides that if an underwriter defaults, the purchase commitment of non-defaulting underwriters may be increased or the offering terminated.</w:t>
      </w:r>
    </w:p>
    <w:p>
      <w:pPr>
        <w:spacing w:after="0" w:line="172"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Class A common stock, the offering price and other selling terms may from time to time be varied by the representatives.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 up</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to additional shares of Class A common stock at the public offering price listed on the cover page of this prospectus, less underwriting discounts and commissions.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6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shows the per share and total public offering price, underwriting discounts and commissions, and proceeds before expenses to us and the selling stockholders. These amounts are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Table of Contents</w:t>
              </w:r>
            </w:hyperlink>
          </w:p>
        </w:tc>
        <w:tc>
          <w:tcPr>
            <w:tcW w:w="46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7740" w:type="dxa"/>
            <w:vAlign w:val="bottom"/>
            <w:gridSpan w:val="6"/>
          </w:tcPr>
          <w:p>
            <w:pPr>
              <w:spacing w:after="0"/>
              <w:rPr>
                <w:sz w:val="20"/>
                <w:szCs w:val="20"/>
                <w:color w:val="auto"/>
              </w:rPr>
            </w:pPr>
            <w:r>
              <w:rPr>
                <w:rFonts w:ascii="Arial" w:cs="Arial" w:eastAsia="Arial" w:hAnsi="Arial"/>
                <w:sz w:val="18"/>
                <w:szCs w:val="18"/>
                <w:color w:val="auto"/>
                <w:w w:val="88"/>
              </w:rPr>
              <w:t>shown assuming both no exercise and full exercise of the underwriters' option to purchase up to an additional</w:t>
            </w:r>
          </w:p>
        </w:tc>
        <w:tc>
          <w:tcPr>
            <w:tcW w:w="80" w:type="dxa"/>
            <w:vAlign w:val="bottom"/>
          </w:tcPr>
          <w:p>
            <w:pPr>
              <w:spacing w:after="0"/>
              <w:rPr>
                <w:sz w:val="24"/>
                <w:szCs w:val="24"/>
                <w:color w:val="auto"/>
              </w:rPr>
            </w:pPr>
          </w:p>
        </w:tc>
        <w:tc>
          <w:tcPr>
            <w:tcW w:w="3340" w:type="dxa"/>
            <w:vAlign w:val="bottom"/>
            <w:gridSpan w:val="7"/>
          </w:tcPr>
          <w:p>
            <w:pPr>
              <w:ind w:left="380"/>
              <w:spacing w:after="0"/>
              <w:rPr>
                <w:sz w:val="20"/>
                <w:szCs w:val="20"/>
                <w:color w:val="auto"/>
              </w:rPr>
            </w:pPr>
            <w:r>
              <w:rPr>
                <w:rFonts w:ascii="Arial" w:cs="Arial" w:eastAsia="Arial" w:hAnsi="Arial"/>
                <w:sz w:val="18"/>
                <w:szCs w:val="18"/>
                <w:color w:val="auto"/>
              </w:rPr>
              <w:t>shares of Class A common stock.</w:t>
            </w:r>
          </w:p>
        </w:tc>
        <w:tc>
          <w:tcPr>
            <w:tcW w:w="0" w:type="dxa"/>
            <w:vAlign w:val="bottom"/>
          </w:tcPr>
          <w:p>
            <w:pPr>
              <w:spacing w:after="0"/>
              <w:rPr>
                <w:sz w:val="1"/>
                <w:szCs w:val="1"/>
                <w:color w:val="auto"/>
              </w:rPr>
            </w:pPr>
          </w:p>
        </w:tc>
      </w:tr>
      <w:tr>
        <w:trPr>
          <w:trHeight w:val="421"/>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Per Share</w:t>
            </w:r>
          </w:p>
        </w:tc>
        <w:tc>
          <w:tcPr>
            <w:tcW w:w="80" w:type="dxa"/>
            <w:vAlign w:val="bottom"/>
            <w:vMerge w:val="restart"/>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No Exercise</w:t>
            </w:r>
          </w:p>
        </w:tc>
        <w:tc>
          <w:tcPr>
            <w:tcW w:w="1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Full Exercise</w:t>
            </w:r>
          </w:p>
        </w:tc>
        <w:tc>
          <w:tcPr>
            <w:tcW w:w="10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74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62"/>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60" w:type="dxa"/>
            <w:vAlign w:val="bottom"/>
            <w:shd w:val="clear" w:color="auto" w:fill="CCEEFF"/>
          </w:tcPr>
          <w:p>
            <w:pPr>
              <w:ind w:left="6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 selling stockholders</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Proceeds, before expenses, to selling stockholders</w:t>
            </w: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9600" w:type="dxa"/>
            <w:vAlign w:val="bottom"/>
            <w:gridSpan w:val="11"/>
          </w:tcPr>
          <w:p>
            <w:pPr>
              <w:ind w:left="360"/>
              <w:spacing w:after="0"/>
              <w:rPr>
                <w:sz w:val="20"/>
                <w:szCs w:val="20"/>
                <w:color w:val="auto"/>
              </w:rPr>
            </w:pPr>
            <w:r>
              <w:rPr>
                <w:rFonts w:ascii="Arial" w:cs="Arial" w:eastAsia="Arial" w:hAnsi="Arial"/>
                <w:sz w:val="18"/>
                <w:szCs w:val="18"/>
                <w:color w:val="auto"/>
                <w:w w:val="91"/>
              </w:rPr>
              <w:t>The estimated offering expenses payable by us, exclusive of the underwriting discounts and commissions, are approximately $</w:t>
            </w:r>
          </w:p>
        </w:tc>
        <w:tc>
          <w:tcPr>
            <w:tcW w:w="1560" w:type="dxa"/>
            <w:vAlign w:val="bottom"/>
            <w:gridSpan w:val="3"/>
          </w:tcPr>
          <w:p>
            <w:pPr>
              <w:ind w:left="180"/>
              <w:spacing w:after="0"/>
              <w:rPr>
                <w:sz w:val="20"/>
                <w:szCs w:val="20"/>
                <w:color w:val="auto"/>
              </w:rPr>
            </w:pPr>
            <w:r>
              <w:rPr>
                <w:rFonts w:ascii="Arial" w:cs="Arial" w:eastAsia="Arial" w:hAnsi="Arial"/>
                <w:sz w:val="18"/>
                <w:szCs w:val="18"/>
                <w:color w:val="auto"/>
                <w:w w:val="83"/>
              </w:rPr>
              <w:t>. We have agreed to</w:t>
            </w:r>
          </w:p>
        </w:tc>
        <w:tc>
          <w:tcPr>
            <w:tcW w:w="0" w:type="dxa"/>
            <w:vAlign w:val="bottom"/>
          </w:tcPr>
          <w:p>
            <w:pPr>
              <w:spacing w:after="0"/>
              <w:rPr>
                <w:sz w:val="1"/>
                <w:szCs w:val="1"/>
                <w:color w:val="auto"/>
              </w:rPr>
            </w:pPr>
          </w:p>
        </w:tc>
      </w:tr>
      <w:tr>
        <w:trPr>
          <w:trHeight w:val="222"/>
        </w:trPr>
        <w:tc>
          <w:tcPr>
            <w:tcW w:w="9600" w:type="dxa"/>
            <w:vAlign w:val="bottom"/>
            <w:gridSpan w:val="11"/>
          </w:tcPr>
          <w:p>
            <w:pPr>
              <w:spacing w:after="0"/>
              <w:rPr>
                <w:sz w:val="20"/>
                <w:szCs w:val="20"/>
                <w:color w:val="auto"/>
              </w:rPr>
            </w:pPr>
            <w:r>
              <w:rPr>
                <w:rFonts w:ascii="Arial" w:cs="Arial" w:eastAsia="Arial" w:hAnsi="Arial"/>
                <w:sz w:val="18"/>
                <w:szCs w:val="18"/>
                <w:color w:val="auto"/>
                <w:w w:val="91"/>
              </w:rPr>
              <w:t>reimburse the underwriters for expenses relating to clearance of this offering with the Financial Industry Regulatory Authority up to $</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86" w:lineRule="exact"/>
        <w:rPr>
          <w:sz w:val="20"/>
          <w:szCs w:val="20"/>
          <w:color w:val="auto"/>
        </w:rPr>
      </w:pPr>
    </w:p>
    <w:p>
      <w:pPr>
        <w:ind w:left="360"/>
        <w:spacing w:after="0"/>
        <w:tabs>
          <w:tab w:leader="none" w:pos="5040" w:val="left"/>
        </w:tabs>
        <w:rPr>
          <w:sz w:val="20"/>
          <w:szCs w:val="20"/>
          <w:color w:val="auto"/>
        </w:rPr>
      </w:pPr>
      <w:r>
        <w:rPr>
          <w:rFonts w:ascii="Arial" w:cs="Arial" w:eastAsia="Arial" w:hAnsi="Arial"/>
          <w:sz w:val="18"/>
          <w:szCs w:val="18"/>
          <w:color w:val="auto"/>
        </w:rPr>
        <w:t>We intend to apply to list our Class A common stock on the</w:t>
      </w:r>
      <w:r>
        <w:rPr>
          <w:sz w:val="20"/>
          <w:szCs w:val="20"/>
          <w:color w:val="auto"/>
        </w:rPr>
        <w:tab/>
      </w:r>
      <w:r>
        <w:rPr>
          <w:rFonts w:ascii="Arial" w:cs="Arial" w:eastAsia="Arial" w:hAnsi="Arial"/>
          <w:sz w:val="16"/>
          <w:szCs w:val="16"/>
          <w:color w:val="auto"/>
        </w:rPr>
        <w:t>under the symbol "MDB."</w:t>
      </w:r>
    </w:p>
    <w:p>
      <w:pPr>
        <w:spacing w:after="0" w:line="225"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our directors and officers, and the holders of substantially all of our capital stock and securities convertible into our capital stock, including all of the selling stockholders, have agreed that, without the prior written consent of Morgan Stanley &amp; Co. LLC, Goldman Sachs &amp; Co. LLC and Barclays Capital Inc. on behalf of the underwriters, we and they will not, during the period ending 180 days after the date of this prospectus (the "restricted period"):</w:t>
      </w:r>
    </w:p>
    <w:p>
      <w:pPr>
        <w:spacing w:after="0" w:line="174" w:lineRule="exact"/>
        <w:rPr>
          <w:sz w:val="20"/>
          <w:szCs w:val="20"/>
          <w:color w:val="auto"/>
        </w:rPr>
      </w:pPr>
    </w:p>
    <w:p>
      <w:pPr>
        <w:ind w:left="10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221" w:lineRule="exact"/>
        <w:rPr>
          <w:rFonts w:ascii="Arial" w:cs="Arial" w:eastAsia="Arial" w:hAnsi="Arial"/>
          <w:sz w:val="18"/>
          <w:szCs w:val="18"/>
          <w:color w:val="auto"/>
        </w:rPr>
      </w:pPr>
    </w:p>
    <w:p>
      <w:pPr>
        <w:ind w:left="1080" w:right="56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199" w:lineRule="exact"/>
        <w:rPr>
          <w:rFonts w:ascii="Arial" w:cs="Arial" w:eastAsia="Arial" w:hAnsi="Arial"/>
          <w:sz w:val="18"/>
          <w:szCs w:val="18"/>
          <w:color w:val="auto"/>
        </w:rPr>
      </w:pPr>
    </w:p>
    <w:p>
      <w:pPr>
        <w:ind w:left="1080" w:right="40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8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whether any such transaction described above is to be settled by delivery of common stock or such other securities, in cash or otherwise. In addition, we and each such person agrees that, without the prior written consent of Morgan Stanley &amp; Co. LLC, Goldman Sachs &amp; Co. LLC and Barclays Capital Inc.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239"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sale of shares to the underwriters;</w:t>
      </w:r>
    </w:p>
    <w:p>
      <w:pPr>
        <w:spacing w:after="0" w:line="25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issuance by us of shares of common stock upon the exercise of an option or a warrant or the conversion of a security outstanding on the date of this prospectus of which the underwriters have been advised in writing; provided that no public reports or filings reporting the transaction shall be required or shall be voluntarily made in respect of the issuance during the first 30 days of the restricted period and for any issuance thereafter any public reports or filings reporting the transaction that shall be required or shall be voluntarily made in respect of the issuance during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0"/>
        <w:spacing w:after="0" w:line="332" w:lineRule="auto"/>
        <w:rPr>
          <w:sz w:val="20"/>
          <w:szCs w:val="20"/>
          <w:color w:val="auto"/>
        </w:rPr>
      </w:pPr>
      <w:r>
        <w:rPr>
          <w:rFonts w:ascii="Arial" w:cs="Arial" w:eastAsia="Arial" w:hAnsi="Arial"/>
          <w:sz w:val="16"/>
          <w:szCs w:val="16"/>
          <w:color w:val="auto"/>
        </w:rPr>
        <w:t>the remainder of the restricted period shall include an appropriate footnote clearly indicating that the filing relates to the exercise of a stock option, that no shares were sold by the reporting person and that the shares received upon exercise of the stock option are subject to a lock-up;</w:t>
      </w:r>
    </w:p>
    <w:p>
      <w:pPr>
        <w:spacing w:after="0" w:line="153" w:lineRule="exact"/>
        <w:rPr>
          <w:sz w:val="20"/>
          <w:szCs w:val="20"/>
          <w:color w:val="auto"/>
        </w:rPr>
      </w:pPr>
    </w:p>
    <w:p>
      <w:pPr>
        <w:ind w:left="1080" w:right="20" w:hanging="532"/>
        <w:spacing w:after="0" w:line="294"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approval of by us or the establishment of trading plans by our stockholders pursuant to Rule 10b5-1 under the Exchange Act, for the transfer of shares of common stock by our stockholders; provided that such plan does not provide for the transfer of common stock during the restricted period and to the extent a public announcement or filing under the Exchange Act, if any, is required of or voluntarily made by or on behalf of the holder or us regarding the establishment of such plan, such announcement or filing shall include a statement to the effect that no transfer of common stock may be made under such plan during the restricted period;</w:t>
      </w:r>
    </w:p>
    <w:p>
      <w:pPr>
        <w:spacing w:after="0" w:line="196" w:lineRule="exact"/>
        <w:rPr>
          <w:rFonts w:ascii="Arial" w:cs="Arial" w:eastAsia="Arial" w:hAnsi="Arial"/>
          <w:sz w:val="16"/>
          <w:szCs w:val="16"/>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as bona fide gifts or to a trust;</w:t>
      </w:r>
    </w:p>
    <w:p>
      <w:pPr>
        <w:spacing w:after="0" w:line="238" w:lineRule="exact"/>
        <w:rPr>
          <w:rFonts w:ascii="Arial" w:cs="Arial" w:eastAsia="Arial" w:hAnsi="Arial"/>
          <w:sz w:val="18"/>
          <w:szCs w:val="18"/>
          <w:color w:val="auto"/>
        </w:rPr>
      </w:pPr>
    </w:p>
    <w:p>
      <w:pPr>
        <w:ind w:left="1080" w:right="66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to current or former partners (general or limited), members or managers of one of our stockholders or to the estates of one of our stockholders or their affiliates, partners, members or managers;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pursuant to qualified domestic orders or in connection with divorce settlements;</w:t>
      </w:r>
    </w:p>
    <w:p>
      <w:pPr>
        <w:spacing w:after="0" w:line="25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transactions by any person other than us relating to shares of common stock or other securities acquired in open market transactions after the completion of the offering of the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filing under Section 16(a) of the Securities Exchange Act of 1934, as amended, or the Exchange Act, is required or voluntarily made in connection with subsequent sales of the common stock or other securities acquired in such open market transactions; or</w:t>
      </w:r>
    </w:p>
    <w:p>
      <w:pPr>
        <w:spacing w:after="0" w:line="210"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conversion of outstanding shares of our redeemable convertible preferred stock into shares of our Class B common stock or conversion of shares of our Class B common stock into shares of our Class A common stock.</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Morgan Stanley &amp; Co. LLC, Goldman Sachs &amp; Co. LLC and Barclays Capital Inc., in their sole discretion, may release the common stock and other securities subject to the lock-up agreements described above in whole or in part at any time.</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option. The underwriters can close out a covered short sale by exercising the option or purchasing shares in the open market. In determining the source of shares to close out a covered short sale, the underwriters will consider, among other things, the open market price of shares compared to the price available under the option. The underwriters may also sell shares in excess of the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81"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We, the selling stockholders and the underwriters have agreed to indemnify each other against certain liabilities, including liabilities under the Securities Act.</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97"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6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231"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Prior to this offering, there has been no public market for our Class A common stock. The initial public offering price was determined by negotiations between us and the representatives. Among the factors considered in determining the initial public offering price were the information set forth in this prospectus and otherwise available to the representatives, our future prospects and those of our industry in general, assessment of our management, conditions of the securities markets at the time of this offering,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Class A common stock, or that the shares will trade in the public market at or above the initial public offering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Canada</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400" w:firstLine="351"/>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1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207" w:lineRule="exact"/>
        <w:rPr>
          <w:rFonts w:ascii="Arial" w:cs="Arial" w:eastAsia="Arial" w:hAnsi="Arial"/>
          <w:sz w:val="18"/>
          <w:szCs w:val="18"/>
          <w:color w:val="auto"/>
        </w:rPr>
      </w:pPr>
    </w:p>
    <w:p>
      <w:pPr>
        <w:ind w:left="1080" w:right="60" w:hanging="532"/>
        <w:spacing w:after="0" w:line="332" w:lineRule="auto"/>
        <w:tabs>
          <w:tab w:leader="none" w:pos="10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right="140" w:hanging="532"/>
        <w:spacing w:after="0" w:line="256"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224"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Shares of our common stock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Japan</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39"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225" w:lineRule="exact"/>
        <w:rPr>
          <w:sz w:val="20"/>
          <w:szCs w:val="20"/>
          <w:color w:val="auto"/>
        </w:rPr>
      </w:pPr>
    </w:p>
    <w:p>
      <w:pPr>
        <w:jc w:val="both"/>
        <w:ind w:right="40" w:firstLine="351"/>
        <w:spacing w:after="0" w:line="298"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For Non-QII Investors</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Singapore</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6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Where shares of our common stock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shares of our common stock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New York, New York.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Wilson Sonsini Goodrich &amp; Rosati, P.C., New York, New York, is representing the underwriters in connection with this offering.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consolidated financial statements as of January 31, 2016 and 2017 and for each of the two years in the period ended January 31, 2017 included in this prospectus have been so included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Class A common stock being offered by this prospectus, which constitutes a part of the registration statement. This prospectus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98"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You may also read and copy any document we file with the SEC at its public reference facilities at 100 F Street, N.E., Washington, D.C. 20549. You may also obtain copies of these documents at prescribed rates by writing to the Public Reference Section of the SEC at 100 F Street, N.E., Washington, D.C. 20549. Please call the SEC at 1-800-SEC-0330 for further information on the operation of the public reference facilities.</w:t>
      </w:r>
    </w:p>
    <w:p>
      <w:pPr>
        <w:spacing w:after="0" w:line="19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Upon completion of this offering, we will be subject to the information reporting requirements of the Exchange Act, and we will file reports, proxy statements and other information with the SEC. These reports, proxy statements and other information will be available for inspection and copying at the public reference room and web site of the SEC referred to above. We also maintain a website at www.mongodb.com, at which you may access these materials free of charge as soon as reasonably practicable after they are electronically filed with, or furnished to, the SEC. </w:t>
      </w:r>
      <w:r>
        <w:rPr>
          <w:rFonts w:ascii="Arial" w:cs="Arial" w:eastAsia="Arial" w:hAnsi="Arial"/>
          <w:sz w:val="16"/>
          <w:szCs w:val="16"/>
          <w:b w:val="1"/>
          <w:bCs w:val="1"/>
          <w:color w:val="auto"/>
        </w:rPr>
        <w:t>However, the information contained in or accessible</w:t>
      </w:r>
      <w:r>
        <w:rPr>
          <w:rFonts w:ascii="Arial" w:cs="Arial" w:eastAsia="Arial" w:hAnsi="Arial"/>
          <w:sz w:val="16"/>
          <w:szCs w:val="16"/>
          <w:color w:val="auto"/>
        </w:rPr>
        <w:t xml:space="preserve"> </w:t>
      </w:r>
      <w:r>
        <w:rPr>
          <w:rFonts w:ascii="Arial" w:cs="Arial" w:eastAsia="Arial" w:hAnsi="Arial"/>
          <w:sz w:val="16"/>
          <w:szCs w:val="16"/>
          <w:b w:val="1"/>
          <w:bCs w:val="1"/>
          <w:color w:val="auto"/>
        </w:rPr>
        <w:t>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9880" w:type="dxa"/>
            <w:vAlign w:val="bottom"/>
            <w:gridSpan w:val="1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5"/>
          </w:tcPr>
          <w:p>
            <w:pPr>
              <w:jc w:val="center"/>
              <w:ind w:right="2440"/>
              <w:spacing w:after="0"/>
              <w:rPr>
                <w:sz w:val="20"/>
                <w:szCs w:val="20"/>
                <w:color w:val="auto"/>
              </w:rPr>
            </w:pPr>
            <w:r>
              <w:rPr>
                <w:rFonts w:ascii="Arial" w:cs="Arial" w:eastAsia="Arial" w:hAnsi="Arial"/>
                <w:sz w:val="18"/>
                <w:szCs w:val="18"/>
                <w:b w:val="1"/>
                <w:bCs w:val="1"/>
                <w:color w:val="auto"/>
                <w:w w:val="97"/>
              </w:rPr>
              <w:t>MONGODB, INC. AND SUBSIDIARIES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700" w:type="dxa"/>
            <w:vAlign w:val="bottom"/>
            <w:gridSpan w:val="7"/>
          </w:tcPr>
          <w:p>
            <w:pPr>
              <w:jc w:val="center"/>
              <w:ind w:right="168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740" w:type="dxa"/>
            <w:vAlign w:val="bottom"/>
            <w:gridSpan w:val="9"/>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Report of Independent Registered Public Accounting Firm</w:t>
              </w:r>
            </w:hyperlink>
          </w:p>
        </w:tc>
        <w:tc>
          <w:tcPr>
            <w:tcW w:w="1540" w:type="dxa"/>
            <w:vAlign w:val="bottom"/>
            <w:gridSpan w:val="2"/>
          </w:tcPr>
          <w:p>
            <w:pPr>
              <w:spacing w:after="0"/>
              <w:rPr>
                <w:rFonts w:ascii="Arial" w:cs="Arial" w:eastAsia="Arial" w:hAnsi="Arial"/>
                <w:sz w:val="18"/>
                <w:szCs w:val="18"/>
                <w:color w:val="0000EE"/>
              </w:rPr>
            </w:pPr>
            <w:hyperlink w:anchor="page154">
              <w:r>
                <w:rPr>
                  <w:rFonts w:ascii="Arial" w:cs="Arial" w:eastAsia="Arial" w:hAnsi="Arial"/>
                  <w:sz w:val="18"/>
                  <w:szCs w:val="18"/>
                  <w:color w:val="0000EE"/>
                </w:rPr>
                <w:t>F-2</w:t>
              </w:r>
            </w:hyperlink>
          </w:p>
        </w:tc>
      </w:tr>
      <w:tr>
        <w:trPr>
          <w:trHeight w:val="196"/>
        </w:trPr>
        <w:tc>
          <w:tcPr>
            <w:tcW w:w="1140" w:type="dxa"/>
            <w:vAlign w:val="bottom"/>
          </w:tcPr>
          <w:p>
            <w:pPr>
              <w:spacing w:after="0"/>
              <w:rPr>
                <w:sz w:val="17"/>
                <w:szCs w:val="17"/>
                <w:color w:val="auto"/>
              </w:rPr>
            </w:pPr>
          </w:p>
        </w:tc>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Balance Sheets</w:t>
              </w:r>
            </w:hyperlink>
          </w:p>
        </w:tc>
        <w:tc>
          <w:tcPr>
            <w:tcW w:w="4620" w:type="dxa"/>
            <w:vAlign w:val="bottom"/>
            <w:gridSpan w:val="2"/>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55">
              <w:r>
                <w:rPr>
                  <w:rFonts w:ascii="Arial" w:cs="Arial" w:eastAsia="Arial" w:hAnsi="Arial"/>
                  <w:sz w:val="18"/>
                  <w:szCs w:val="18"/>
                  <w:color w:val="0000EE"/>
                  <w:w w:val="81"/>
                </w:rPr>
                <w:t>F-3</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76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56">
              <w:r>
                <w:rPr>
                  <w:rFonts w:ascii="Arial" w:cs="Arial" w:eastAsia="Arial" w:hAnsi="Arial"/>
                  <w:sz w:val="18"/>
                  <w:szCs w:val="18"/>
                  <w:color w:val="0000EE"/>
                  <w:w w:val="87"/>
                </w:rPr>
                <w:t>Consolidated Statements of Operations</w:t>
              </w:r>
            </w:hyperlink>
          </w:p>
        </w:tc>
        <w:tc>
          <w:tcPr>
            <w:tcW w:w="5980" w:type="dxa"/>
            <w:vAlign w:val="bottom"/>
            <w:gridSpan w:val="6"/>
          </w:tcPr>
          <w:p>
            <w:pPr>
              <w:spacing w:after="0"/>
              <w:rPr>
                <w:sz w:val="17"/>
                <w:szCs w:val="17"/>
                <w:color w:val="auto"/>
              </w:rPr>
            </w:pPr>
          </w:p>
        </w:tc>
        <w:tc>
          <w:tcPr>
            <w:tcW w:w="240" w:type="dxa"/>
            <w:vAlign w:val="bottom"/>
            <w:tcBorders>
              <w:bottom w:val="single" w:sz="8" w:color="0000EE"/>
            </w:tcBorders>
          </w:tcPr>
          <w:p>
            <w:pPr>
              <w:spacing w:after="0" w:line="196" w:lineRule="exact"/>
              <w:rPr>
                <w:rFonts w:ascii="Arial" w:cs="Arial" w:eastAsia="Arial" w:hAnsi="Arial"/>
                <w:sz w:val="18"/>
                <w:szCs w:val="18"/>
                <w:color w:val="0000EE"/>
                <w:w w:val="81"/>
              </w:rPr>
            </w:pPr>
            <w:hyperlink w:anchor="page156">
              <w:r>
                <w:rPr>
                  <w:rFonts w:ascii="Arial" w:cs="Arial" w:eastAsia="Arial" w:hAnsi="Arial"/>
                  <w:sz w:val="18"/>
                  <w:szCs w:val="18"/>
                  <w:color w:val="0000EE"/>
                  <w:w w:val="81"/>
                </w:rPr>
                <w:t>F-4</w:t>
              </w:r>
            </w:hyperlink>
          </w:p>
        </w:tc>
        <w:tc>
          <w:tcPr>
            <w:tcW w:w="130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Consolidated Statements of Comprehensive Loss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Consolidated Statements of Redeemable Convertible Preferred Stock and Stockholders' Deficit</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58">
              <w:r>
                <w:rPr>
                  <w:rFonts w:ascii="Arial" w:cs="Arial" w:eastAsia="Arial" w:hAnsi="Arial"/>
                  <w:sz w:val="18"/>
                  <w:szCs w:val="18"/>
                  <w:color w:val="0000EE"/>
                </w:rPr>
                <w:t>F-6</w:t>
              </w:r>
            </w:hyperlink>
          </w:p>
        </w:tc>
      </w:tr>
      <w:tr>
        <w:trPr>
          <w:trHeight w:val="196"/>
        </w:trPr>
        <w:tc>
          <w:tcPr>
            <w:tcW w:w="1140" w:type="dxa"/>
            <w:vAlign w:val="bottom"/>
          </w:tcPr>
          <w:p>
            <w:pPr>
              <w:spacing w:after="0"/>
              <w:rPr>
                <w:sz w:val="17"/>
                <w:szCs w:val="17"/>
                <w:color w:val="auto"/>
              </w:rPr>
            </w:pPr>
          </w:p>
        </w:tc>
        <w:tc>
          <w:tcPr>
            <w:tcW w:w="66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59">
              <w:r>
                <w:rPr>
                  <w:rFonts w:ascii="Arial" w:cs="Arial" w:eastAsia="Arial" w:hAnsi="Arial"/>
                  <w:sz w:val="18"/>
                  <w:szCs w:val="18"/>
                  <w:color w:val="0000EE"/>
                </w:rPr>
                <w:t>Consolidated Statements of Cash Flows</w:t>
              </w:r>
            </w:hyperlink>
          </w:p>
        </w:tc>
        <w:tc>
          <w:tcPr>
            <w:tcW w:w="2060" w:type="dxa"/>
            <w:vAlign w:val="bottom"/>
          </w:tcPr>
          <w:p>
            <w:pPr>
              <w:spacing w:after="0"/>
              <w:rPr>
                <w:sz w:val="17"/>
                <w:szCs w:val="17"/>
                <w:color w:val="auto"/>
              </w:rPr>
            </w:pPr>
          </w:p>
        </w:tc>
        <w:tc>
          <w:tcPr>
            <w:tcW w:w="240" w:type="dxa"/>
            <w:vAlign w:val="bottom"/>
            <w:tcBorders>
              <w:top w:val="single" w:sz="8" w:color="0000EE"/>
            </w:tcBorders>
          </w:tcPr>
          <w:p>
            <w:pPr>
              <w:spacing w:after="0" w:line="196" w:lineRule="exact"/>
              <w:rPr>
                <w:rFonts w:ascii="Arial" w:cs="Arial" w:eastAsia="Arial" w:hAnsi="Arial"/>
                <w:sz w:val="18"/>
                <w:szCs w:val="18"/>
                <w:color w:val="0000EE"/>
                <w:w w:val="81"/>
              </w:rPr>
            </w:pPr>
            <w:hyperlink w:anchor="page159">
              <w:r>
                <w:rPr>
                  <w:rFonts w:ascii="Arial" w:cs="Arial" w:eastAsia="Arial" w:hAnsi="Arial"/>
                  <w:sz w:val="18"/>
                  <w:szCs w:val="18"/>
                  <w:color w:val="0000EE"/>
                  <w:w w:val="81"/>
                </w:rPr>
                <w:t>F-7</w:t>
              </w:r>
            </w:hyperlink>
          </w:p>
        </w:tc>
        <w:tc>
          <w:tcPr>
            <w:tcW w:w="130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740" w:type="dxa"/>
            <w:vAlign w:val="bottom"/>
            <w:gridSpan w:val="9"/>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Notes to Consolidated Financial Statements</w:t>
              </w:r>
            </w:hyperlink>
          </w:p>
        </w:tc>
        <w:tc>
          <w:tcPr>
            <w:tcW w:w="1540" w:type="dxa"/>
            <w:vAlign w:val="bottom"/>
            <w:gridSpan w:val="2"/>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F-8</w:t>
              </w:r>
            </w:hyperlink>
          </w:p>
        </w:tc>
      </w:tr>
      <w:tr>
        <w:trPr>
          <w:trHeight w:val="451"/>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9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20" w:type="dxa"/>
            <w:vAlign w:val="bottom"/>
            <w:gridSpan w:val="2"/>
          </w:tcPr>
          <w:p>
            <w:pPr>
              <w:jc w:val="center"/>
              <w:ind w:right="3700"/>
              <w:spacing w:after="0"/>
              <w:rPr>
                <w:sz w:val="20"/>
                <w:szCs w:val="20"/>
                <w:color w:val="auto"/>
              </w:rPr>
            </w:pPr>
            <w:r>
              <w:rPr>
                <w:rFonts w:ascii="Arial" w:cs="Arial" w:eastAsia="Arial" w:hAnsi="Arial"/>
                <w:sz w:val="18"/>
                <w:szCs w:val="18"/>
                <w:color w:val="auto"/>
                <w:w w:val="88"/>
              </w:rPr>
              <w:t>F-1</w:t>
            </w:r>
          </w:p>
        </w:tc>
        <w:tc>
          <w:tcPr>
            <w:tcW w:w="24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MongoDB, Inc.:</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comprehensive loss, redeemable convertible preferred stock and stockholders' deficit, and cash flows present fairly, in all material respects, the financial position of MongoDB, Inc. and its subsidiaries as of January 31, 2016 and January 31, 2017, and the results of their operations and their cash flows for the years then ended in conformity with accounting principles generally accepted in the United States of America. These financial statements are the responsibility of MongoDB, Inc.'s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7, 2017</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vMerge w:val="restart"/>
          </w:tcPr>
          <w:p>
            <w:pPr>
              <w:jc w:val="right"/>
              <w:ind w:right="44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April 30,</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33,205</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69,305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44,193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79,954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47,195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64,576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7"/>
              </w:rPr>
              <w:t>Accounts receivable, net of allowance for doubtful accounts of $669, $958 and $1,266 as of</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January 31, 2016 and 2017 and April 30, 2017 (unaudited)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22,432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31,340</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26,326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Deferred commissions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5,864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7,481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7,448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ind w:left="240"/>
              <w:spacing w:after="0" w:line="142" w:lineRule="exact"/>
              <w:rPr>
                <w:sz w:val="20"/>
                <w:szCs w:val="20"/>
                <w:color w:val="auto"/>
              </w:rPr>
            </w:pPr>
            <w:r>
              <w:rPr>
                <w:rFonts w:ascii="Arial" w:cs="Arial" w:eastAsia="Arial" w:hAnsi="Arial"/>
                <w:sz w:val="14"/>
                <w:szCs w:val="14"/>
                <w:color w:val="auto"/>
              </w:rPr>
              <w:t>Total current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144,027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w w:val="98"/>
              </w:rPr>
              <w:t>158,452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color w:val="auto"/>
              </w:rPr>
              <w:t>148,518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6,031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Acquired intangible assets, net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164,346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8"/>
              </w:rPr>
              <w:t>Liabilities, Redeemable Convertible Preferred Stock and Stockholders' (Deficit) Equity</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Accrued compensation and benefits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11,402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accrued liabilities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7,769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20"/>
              <w:spacing w:after="0"/>
              <w:rPr>
                <w:sz w:val="20"/>
                <w:szCs w:val="20"/>
                <w:color w:val="auto"/>
              </w:rPr>
            </w:pPr>
            <w:r>
              <w:rPr>
                <w:rFonts w:ascii="Arial" w:cs="Arial" w:eastAsia="Arial" w:hAnsi="Arial"/>
                <w:sz w:val="14"/>
                <w:szCs w:val="14"/>
                <w:color w:val="auto"/>
              </w:rPr>
              <w:t>Deferred revenue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52,035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82,472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65,672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97,790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101,523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Redeemable convertible preferred stock warrant liability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1,172</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rent, non-current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spacing w:after="0" w:line="149" w:lineRule="exact"/>
              <w:rPr>
                <w:sz w:val="20"/>
                <w:szCs w:val="20"/>
                <w:color w:val="auto"/>
              </w:rPr>
            </w:pPr>
            <w:r>
              <w:rPr>
                <w:rFonts w:ascii="Arial" w:cs="Arial" w:eastAsia="Arial" w:hAnsi="Arial"/>
                <w:sz w:val="14"/>
                <w:szCs w:val="14"/>
                <w:color w:val="auto"/>
              </w:rPr>
              <w:t>Deferred tax liability, non-current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non-current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gridSpan w:val="2"/>
          </w:tcPr>
          <w:p>
            <w:pPr>
              <w:spacing w:after="0"/>
              <w:rPr>
                <w:sz w:val="20"/>
                <w:szCs w:val="20"/>
                <w:color w:val="auto"/>
              </w:rPr>
            </w:pPr>
            <w:r>
              <w:rPr>
                <w:rFonts w:ascii="Arial" w:cs="Arial" w:eastAsia="Arial" w:hAnsi="Arial"/>
                <w:sz w:val="14"/>
                <w:szCs w:val="14"/>
                <w:color w:val="auto"/>
              </w:rPr>
              <w:t>Total liabilities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115,689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Commitments and contingencies (Note 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tcPr>
          <w:p>
            <w:pPr>
              <w:spacing w:after="0" w:line="138" w:lineRule="exact"/>
              <w:rPr>
                <w:sz w:val="20"/>
                <w:szCs w:val="20"/>
                <w:color w:val="auto"/>
              </w:rPr>
            </w:pPr>
            <w:r>
              <w:rPr>
                <w:rFonts w:ascii="Arial" w:cs="Arial" w:eastAsia="Arial" w:hAnsi="Arial"/>
                <w:sz w:val="14"/>
                <w:szCs w:val="14"/>
                <w:color w:val="auto"/>
                <w:w w:val="92"/>
              </w:rPr>
              <w:t>Redeemable convertible preferred stock—par value $0.001 per share; 40,337,939, 41,234,841 and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3"/>
              </w:rPr>
              <w:t>41,234,841 shares authorized as of January 31, 2016 and 2017 and April 30, 2017 (unaudited);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1"/>
              </w:rPr>
              <w:t>39,055,497, 41,148,282 and 41,148,282 shares issued and outstanding with aggregate liquidation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w w:val="90"/>
              </w:rPr>
              <w:t>preference of $310,997, $345,997 and $345,997 as of January 31, 2016, 2017, and April 30, 2017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ind w:left="120"/>
              <w:spacing w:after="0" w:line="159" w:lineRule="exact"/>
              <w:rPr>
                <w:sz w:val="20"/>
                <w:szCs w:val="20"/>
                <w:color w:val="auto"/>
              </w:rPr>
            </w:pPr>
            <w:r>
              <w:rPr>
                <w:rFonts w:ascii="Arial" w:cs="Arial" w:eastAsia="Arial" w:hAnsi="Arial"/>
                <w:sz w:val="14"/>
                <w:szCs w:val="14"/>
                <w:color w:val="auto"/>
              </w:rPr>
              <w:t>(unaudited)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310,315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w w:val="98"/>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345,257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 equity:</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tcPr>
          <w:p>
            <w:pPr>
              <w:ind w:left="120"/>
              <w:spacing w:after="0" w:line="138" w:lineRule="exact"/>
              <w:rPr>
                <w:sz w:val="20"/>
                <w:szCs w:val="20"/>
                <w:color w:val="auto"/>
              </w:rPr>
            </w:pPr>
            <w:r>
              <w:rPr>
                <w:rFonts w:ascii="Arial" w:cs="Arial" w:eastAsia="Arial" w:hAnsi="Arial"/>
                <w:sz w:val="14"/>
                <w:szCs w:val="14"/>
                <w:color w:val="auto"/>
                <w:w w:val="92"/>
              </w:rPr>
              <w:t>Class A common stock, par value of $0.001 per share; no, 162,500,000 and 162,500,000 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40"/>
              <w:spacing w:after="0" w:line="149" w:lineRule="exact"/>
              <w:rPr>
                <w:sz w:val="20"/>
                <w:szCs w:val="20"/>
                <w:color w:val="auto"/>
              </w:rPr>
            </w:pPr>
            <w:r>
              <w:rPr>
                <w:rFonts w:ascii="Arial" w:cs="Arial" w:eastAsia="Arial" w:hAnsi="Arial"/>
                <w:sz w:val="14"/>
                <w:szCs w:val="14"/>
                <w:color w:val="auto"/>
                <w:w w:val="90"/>
              </w:rPr>
              <w:t>authorized as of January 31, 2016 and 2017 and April 30, 2017 (unaudited); no, no and 109,575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240"/>
              <w:spacing w:after="0" w:line="149" w:lineRule="exact"/>
              <w:rPr>
                <w:sz w:val="20"/>
                <w:szCs w:val="20"/>
                <w:color w:val="auto"/>
              </w:rPr>
            </w:pPr>
            <w:r>
              <w:rPr>
                <w:rFonts w:ascii="Arial" w:cs="Arial" w:eastAsia="Arial" w:hAnsi="Arial"/>
                <w:sz w:val="14"/>
                <w:szCs w:val="14"/>
                <w:color w:val="auto"/>
                <w:w w:val="94"/>
              </w:rPr>
              <w:t>shares issued and outstanding as of January 31, 2016, 2017 and April 30, 2017 (unaudited);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tcPr>
          <w:p>
            <w:pPr>
              <w:ind w:left="240"/>
              <w:spacing w:after="0" w:line="159" w:lineRule="exact"/>
              <w:rPr>
                <w:sz w:val="20"/>
                <w:szCs w:val="20"/>
                <w:color w:val="auto"/>
              </w:rPr>
            </w:pPr>
            <w:r>
              <w:rPr>
                <w:rFonts w:ascii="Arial" w:cs="Arial" w:eastAsia="Arial" w:hAnsi="Arial"/>
                <w:sz w:val="14"/>
                <w:szCs w:val="14"/>
                <w:color w:val="auto"/>
              </w:rPr>
              <w:t>109,575 issued and outstanding, pro forma, as of April 30, 2017 (unaudited)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6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w w:val="90"/>
              </w:rPr>
              <w:t>Class B common stock, par value of $0.001 per share; 110,000,000, 113,000,000 and 113,000,000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shares authorized as of January 31, 2016, 2017 and April 30, 2017 (unaudited); 23,330,430,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5"/>
              </w:rPr>
              <w:t>26,386,208 and 27,726,539 shares issued as of January 31, 2016, 2017 and April 30, 2017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9"/>
              </w:rPr>
              <w:t>(unaudited); 23,131,688, 26,187,466 and 27,527,797 shares outstanding as of January 31, 2016,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87"/>
              </w:rPr>
              <w:t>2017 and April 30, 2017 (unaudited); 81,526,243 shares issued and 81,327,501 shares outstanding,</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pro forma, as of April 30, 2017 (unaudited)</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32,411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62,544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70,266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416,642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Treasury stock, 198,742 shares as of January 31, 2016, 2017 and April 30, 2017 (unaudited)</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tcPr>
          <w:p>
            <w:pPr>
              <w:ind w:left="1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(259,269)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(347,401)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(367,091)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(367,091)</w:t>
            </w:r>
          </w:p>
        </w:tc>
        <w:tc>
          <w:tcPr>
            <w:tcW w:w="0" w:type="dxa"/>
            <w:vAlign w:val="bottom"/>
          </w:tcPr>
          <w:p>
            <w:pPr>
              <w:spacing w:after="0"/>
              <w:rPr>
                <w:sz w:val="1"/>
                <w:szCs w:val="1"/>
                <w:color w:val="auto"/>
              </w:rPr>
            </w:pPr>
          </w:p>
        </w:tc>
      </w:tr>
      <w:tr>
        <w:trPr>
          <w:trHeight w:val="142"/>
        </w:trPr>
        <w:tc>
          <w:tcPr>
            <w:tcW w:w="5680" w:type="dxa"/>
            <w:vAlign w:val="bottom"/>
            <w:gridSpan w:val="2"/>
          </w:tcPr>
          <w:p>
            <w:pPr>
              <w:spacing w:after="0" w:line="142" w:lineRule="exact"/>
              <w:rPr>
                <w:sz w:val="20"/>
                <w:szCs w:val="20"/>
                <w:color w:val="auto"/>
              </w:rPr>
            </w:pPr>
            <w:r>
              <w:rPr>
                <w:rFonts w:ascii="Arial" w:cs="Arial" w:eastAsia="Arial" w:hAnsi="Arial"/>
                <w:sz w:val="14"/>
                <w:szCs w:val="14"/>
                <w:color w:val="auto"/>
              </w:rPr>
              <w:t>Total stockholders' (deficit) equity</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(228,505)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(286,514)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(298,422)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 redeemable convertible preferred stock and stockholders' deficit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156,813</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174,432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164,346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1"/>
              </w:rPr>
              <w:t>Three Months 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right"/>
              <w:ind w:right="90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58,561</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91,235</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19,050</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29,187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65,271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Subscription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cost of revenue</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43,465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(72,738)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(85,947)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Loss before provision for income taxes</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(73,044)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Net loss per share attributable to common stockholders,</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8"/>
              </w:rPr>
              <w:t>Weighted-average shares used to compute net loss per share</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5"/>
              </w:rPr>
              <w:t>attributable to common stockholders, basic and diluted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26,329,373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 forma net loss per share attributable to common</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basic and diluted (unaudited)</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pro forma net loss</w:t>
            </w: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w w:val="90"/>
              </w:rPr>
              <w:t>per share attributable to common stockholders, basic and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diluted (unaudited)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76,136,260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80,129,077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178"/>
              <w:spacing w:after="0"/>
              <w:rPr>
                <w:sz w:val="20"/>
                <w:szCs w:val="20"/>
                <w:color w:val="auto"/>
              </w:rPr>
            </w:pPr>
            <w:r>
              <w:rPr>
                <w:rFonts w:ascii="Arial" w:cs="Arial" w:eastAsia="Arial" w:hAnsi="Arial"/>
                <w:sz w:val="14"/>
                <w:szCs w:val="14"/>
                <w:b w:val="1"/>
                <w:bCs w:val="1"/>
                <w:color w:val="auto"/>
                <w:w w:val="88"/>
              </w:rPr>
              <w:t>Year Ended January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jc w:val="center"/>
              <w:ind w:left="341"/>
              <w:spacing w:after="0"/>
              <w:rPr>
                <w:sz w:val="20"/>
                <w:szCs w:val="20"/>
                <w:color w:val="auto"/>
              </w:rPr>
            </w:pPr>
            <w:r>
              <w:rPr>
                <w:rFonts w:ascii="Arial" w:cs="Arial" w:eastAsia="Arial" w:hAnsi="Arial"/>
                <w:sz w:val="14"/>
                <w:szCs w:val="14"/>
                <w:b w:val="1"/>
                <w:bCs w:val="1"/>
                <w:color w:val="auto"/>
                <w:w w:val="90"/>
              </w:rPr>
              <w:t>April 30,</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00" w:type="dxa"/>
            <w:vAlign w:val="bottom"/>
            <w:gridSpan w:val="6"/>
          </w:tcPr>
          <w:p>
            <w:pPr>
              <w:jc w:val="center"/>
              <w:ind w:right="238"/>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(86,681)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5"/>
              </w:rPr>
              <w:t>(21,548)</w:t>
            </w:r>
          </w:p>
        </w:tc>
        <w:tc>
          <w:tcPr>
            <w:tcW w:w="2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92"/>
              </w:rPr>
              <w:t>(19,690)</w:t>
            </w: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 (loss) on available-for-sale 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(73,578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(86,694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(21,403</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(19,632</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Redeemable</w:t>
            </w:r>
          </w:p>
        </w:tc>
        <w:tc>
          <w:tcPr>
            <w:tcW w:w="32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Class A and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Convertible</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1"/>
              </w:rPr>
              <w:t>Class B</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gridSpan w:val="5"/>
            <w:vMerge w:val="continue"/>
          </w:tcPr>
          <w:p>
            <w:pPr>
              <w:spacing w:after="0"/>
              <w:rPr>
                <w:sz w:val="5"/>
                <w:szCs w:val="5"/>
                <w:color w:val="auto"/>
              </w:rPr>
            </w:pPr>
          </w:p>
        </w:tc>
        <w:tc>
          <w:tcPr>
            <w:tcW w:w="7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320" w:type="dxa"/>
            <w:vAlign w:val="bottom"/>
          </w:tcPr>
          <w:p>
            <w:pPr>
              <w:spacing w:after="0"/>
              <w:rPr>
                <w:sz w:val="7"/>
                <w:szCs w:val="7"/>
                <w:color w:val="auto"/>
              </w:rPr>
            </w:pPr>
          </w:p>
        </w:tc>
        <w:tc>
          <w:tcPr>
            <w:tcW w:w="13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Common Stock</w:t>
            </w:r>
          </w:p>
        </w:tc>
        <w:tc>
          <w:tcPr>
            <w:tcW w:w="7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380" w:type="dxa"/>
            <w:vAlign w:val="bottom"/>
            <w:tcBorders>
              <w:bottom w:val="single" w:sz="8" w:color="auto"/>
            </w:tcBorders>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360" w:type="dxa"/>
            <w:vAlign w:val="bottom"/>
            <w:tcBorders>
              <w:bottom w:val="single" w:sz="8" w:color="auto"/>
            </w:tcBorders>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restart"/>
          </w:tcPr>
          <w:p>
            <w:pPr>
              <w:jc w:val="right"/>
              <w:ind w:right="32"/>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87"/>
              </w:rPr>
              <w:t>Treasury</w:t>
            </w:r>
          </w:p>
        </w:tc>
        <w:tc>
          <w:tcPr>
            <w:tcW w:w="980" w:type="dxa"/>
            <w:vAlign w:val="bottom"/>
            <w:gridSpan w:val="4"/>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40" w:type="dxa"/>
            <w:vAlign w:val="bottom"/>
            <w:gridSpan w:val="4"/>
            <w:vMerge w:val="restart"/>
          </w:tcPr>
          <w:p>
            <w:pPr>
              <w:ind w:left="2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1000" w:type="dxa"/>
            <w:vAlign w:val="bottom"/>
            <w:gridSpan w:val="4"/>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980" w:type="dxa"/>
            <w:vAlign w:val="bottom"/>
            <w:gridSpan w:val="4"/>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10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w w:val="83"/>
              </w:rPr>
              <w:t>Amount</w:t>
            </w:r>
          </w:p>
        </w:tc>
        <w:tc>
          <w:tcPr>
            <w:tcW w:w="3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Deficits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22,003,676</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16,326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(259)</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(185,783)</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(171,013)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1,158,830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2,907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(30,818)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6"/>
              </w:rPr>
              <w:t>Unrealized loss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(59)</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(73,486)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(73,486)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39,055,497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310,315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23,131,688</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32,411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(259,269)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(228,505)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Cumulative effect of</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accounting change</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1,451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Proceeds from Series F</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financing, net of issuance</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costs of $58</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2,092,785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34,942</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3,068,490</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6,775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6,778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903</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(12,712)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for-sale securities</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(86,681)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(86,681)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Balances as of January 31,</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2017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26,187,466</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(347,401)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(286,514)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rPr>
              <w:t>Stock option exercises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1,450,781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3,052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3,054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Vesting of early exercised</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 options (unaudited)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2"/>
              </w:rPr>
              <w:t>Repurchase of common stock</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(875)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Stock-based compensation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4,454</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4,454</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tcPr>
          <w:p>
            <w:pPr>
              <w:ind w:left="100"/>
              <w:spacing w:after="0" w:line="138" w:lineRule="exact"/>
              <w:rPr>
                <w:sz w:val="20"/>
                <w:szCs w:val="20"/>
                <w:color w:val="auto"/>
              </w:rPr>
            </w:pPr>
            <w:r>
              <w:rPr>
                <w:rFonts w:ascii="Arial" w:cs="Arial" w:eastAsia="Arial" w:hAnsi="Arial"/>
                <w:sz w:val="14"/>
                <w:szCs w:val="14"/>
                <w:color w:val="auto"/>
                <w:w w:val="95"/>
              </w:rPr>
              <w:t>Unrealized gain on available-</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200"/>
              <w:spacing w:after="0" w:line="149" w:lineRule="exact"/>
              <w:rPr>
                <w:sz w:val="20"/>
                <w:szCs w:val="20"/>
                <w:color w:val="auto"/>
              </w:rPr>
            </w:pPr>
            <w:r>
              <w:rPr>
                <w:rFonts w:ascii="Arial" w:cs="Arial" w:eastAsia="Arial" w:hAnsi="Arial"/>
                <w:sz w:val="14"/>
                <w:szCs w:val="14"/>
                <w:color w:val="auto"/>
              </w:rPr>
              <w:t>for-sale securities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tcPr>
          <w:p>
            <w:pPr>
              <w:ind w:left="200"/>
              <w:spacing w:after="0" w:line="159" w:lineRule="exact"/>
              <w:rPr>
                <w:sz w:val="20"/>
                <w:szCs w:val="20"/>
                <w:color w:val="auto"/>
              </w:rPr>
            </w:pPr>
            <w:r>
              <w:rPr>
                <w:rFonts w:ascii="Arial" w:cs="Arial" w:eastAsia="Arial" w:hAnsi="Arial"/>
                <w:sz w:val="14"/>
                <w:szCs w:val="14"/>
                <w:color w:val="auto"/>
              </w:rPr>
              <w:t>(unaudited)</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7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9"/>
              </w:rPr>
              <w:t>Foreign currency translation</w:t>
            </w: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adjustment (unaudited)</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00"/>
              <w:spacing w:after="0" w:line="149" w:lineRule="exact"/>
              <w:rPr>
                <w:sz w:val="20"/>
                <w:szCs w:val="20"/>
                <w:color w:val="auto"/>
              </w:rPr>
            </w:pPr>
            <w:r>
              <w:rPr>
                <w:rFonts w:ascii="Arial" w:cs="Arial" w:eastAsia="Arial" w:hAnsi="Arial"/>
                <w:sz w:val="14"/>
                <w:szCs w:val="14"/>
                <w:color w:val="auto"/>
              </w:rPr>
              <w:t>Net loss (unaudited)</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(19,690)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4"/>
              </w:rPr>
              <w:t>Balances as of April 30, 2017</w:t>
            </w: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(unaudited)</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41,148,282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345,257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27,637,372</w:t>
            </w:r>
          </w:p>
        </w:tc>
        <w:tc>
          <w:tcPr>
            <w:tcW w:w="6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(1,319)</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(306)</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(367,091) $</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(298,422)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4"/>
          </w:tcPr>
          <w:p>
            <w:pPr>
              <w:jc w:val="center"/>
              <w:ind w:left="355"/>
              <w:spacing w:after="0" w:line="149" w:lineRule="exact"/>
              <w:rPr>
                <w:sz w:val="20"/>
                <w:szCs w:val="20"/>
                <w:color w:val="auto"/>
              </w:rPr>
            </w:pPr>
            <w:r>
              <w:rPr>
                <w:rFonts w:ascii="Arial" w:cs="Arial" w:eastAsia="Arial" w:hAnsi="Arial"/>
                <w:sz w:val="14"/>
                <w:szCs w:val="14"/>
                <w:b w:val="1"/>
                <w:bCs w:val="1"/>
                <w:color w:val="auto"/>
                <w:w w:val="88"/>
              </w:rPr>
              <w:t>Ended</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January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(73,486)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(86,681)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(21,548)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commissions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Other long-term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(38,078)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114,775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47,230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(117,954)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(82,036)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(64,620)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(80,422)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(18,102)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w w:val="96"/>
              </w:rPr>
              <w:t>Proceeds from exercise of stock options, including early exercised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options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issuance of Series F financing, net of issuance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rPr>
              <w:t>Repurchase of early exercised stock options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w w:val="89"/>
              </w:rPr>
              <w:t>Effect of exchange rate changes on cash, cash equivalents, and 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(124,388)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(11,716)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157,701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33,313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69,412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21,597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44,302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income taxes, net of refunds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40"/>
              <w:spacing w:after="0"/>
              <w:rPr>
                <w:sz w:val="20"/>
                <w:szCs w:val="20"/>
                <w:color w:val="auto"/>
              </w:rPr>
            </w:pPr>
            <w:r>
              <w:rPr>
                <w:rFonts w:ascii="Arial" w:cs="Arial" w:eastAsia="Arial" w:hAnsi="Arial"/>
                <w:sz w:val="18"/>
                <w:szCs w:val="18"/>
                <w:color w:val="auto"/>
              </w:rPr>
              <w:t>Cash paid for interest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2"/>
              </w:rPr>
              <w:t>Supplemental Disclosure of Noncash Investing and Financing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140"/>
              <w:spacing w:after="0"/>
              <w:rPr>
                <w:sz w:val="20"/>
                <w:szCs w:val="20"/>
                <w:color w:val="auto"/>
              </w:rPr>
            </w:pPr>
            <w:r>
              <w:rPr>
                <w:rFonts w:ascii="Arial" w:cs="Arial" w:eastAsia="Arial" w:hAnsi="Arial"/>
                <w:sz w:val="18"/>
                <w:szCs w:val="18"/>
                <w:color w:val="auto"/>
                <w:w w:val="99"/>
              </w:rPr>
              <w:t>Issuance of Series F redeemable convertible preferred stock warrants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70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rPr>
              <w:t>Vesting of early exercised stock options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903</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vMerge w:val="restart"/>
          </w:tcPr>
          <w:p>
            <w:pPr>
              <w:ind w:left="140"/>
              <w:spacing w:after="0"/>
              <w:rPr>
                <w:sz w:val="20"/>
                <w:szCs w:val="20"/>
                <w:color w:val="auto"/>
              </w:rPr>
            </w:pPr>
            <w:r>
              <w:rPr>
                <w:rFonts w:ascii="Arial" w:cs="Arial" w:eastAsia="Arial" w:hAnsi="Arial"/>
                <w:sz w:val="18"/>
                <w:szCs w:val="18"/>
                <w:color w:val="auto"/>
                <w:w w:val="98"/>
              </w:rPr>
              <w:t>Costs related to initial public offering included in accounts payable and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57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280"/>
              <w:spacing w:after="0"/>
              <w:rPr>
                <w:sz w:val="20"/>
                <w:szCs w:val="20"/>
                <w:color w:val="auto"/>
              </w:rPr>
            </w:pPr>
            <w:r>
              <w:rPr>
                <w:rFonts w:ascii="Arial" w:cs="Arial" w:eastAsia="Arial" w:hAnsi="Arial"/>
                <w:sz w:val="18"/>
                <w:szCs w:val="18"/>
                <w:color w:val="auto"/>
              </w:rPr>
              <w:t>accrued liabilities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w:t>
      </w:r>
    </w:p>
    <w:p>
      <w:pPr>
        <w:spacing w:after="0" w:line="225" w:lineRule="exact"/>
        <w:rPr>
          <w:sz w:val="20"/>
          <w:szCs w:val="20"/>
          <w:color w:val="auto"/>
        </w:rPr>
      </w:pPr>
    </w:p>
    <w:p>
      <w:pPr>
        <w:ind w:right="140" w:firstLine="351"/>
        <w:spacing w:after="0" w:line="253" w:lineRule="auto"/>
        <w:rPr>
          <w:sz w:val="20"/>
          <w:szCs w:val="20"/>
          <w:color w:val="auto"/>
        </w:rPr>
      </w:pPr>
      <w:r>
        <w:rPr>
          <w:rFonts w:ascii="Arial" w:cs="Arial" w:eastAsia="Arial" w:hAnsi="Arial"/>
          <w:sz w:val="18"/>
          <w:szCs w:val="18"/>
          <w:color w:val="auto"/>
        </w:rPr>
        <w:t>MongoDB, Inc. was originally incorporated in the state of Delaware on November 2007 under the name 10Gen, Inc. In August 2013 we changed our name to MongoDB, Inc. We are headquartered in New York, New York. We develop and sell subscriptions to a modern, general purpose database platform that was built to run applications at scale across a broad range of use cases in the cloud, on-premise or in a hybrid environment. We designed our platform to address the performance, scalability, flexibility and reliability demands of modern applications while maintaining the core capabilities of legacy databases. In addition to selling our software, we provide post-contract support, training, and consulting services for our offerings. The terms "MongoDB," "Company," "our," "us," and "we" in these notes to the consolidated financial statements refer to MongoDB, Inc. and, where appropriate, our consolidated subsidiaries. Our fiscal year ends January 31.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20" w:firstLine="348"/>
        <w:spacing w:after="0" w:line="370" w:lineRule="auto"/>
        <w:rPr>
          <w:sz w:val="20"/>
          <w:szCs w:val="20"/>
          <w:color w:val="auto"/>
        </w:rPr>
      </w:pPr>
      <w:r>
        <w:rPr>
          <w:rFonts w:ascii="Arial" w:cs="Arial" w:eastAsia="Arial" w:hAnsi="Arial"/>
          <w:sz w:val="15"/>
          <w:szCs w:val="15"/>
          <w:color w:val="auto"/>
        </w:rPr>
        <w:t>The consolidated financial statements are prepared in accordance with accounting principles generally accepted in the United States of America, or U.S. GAAP, and include the accounts of the Company and its wholly owned subsidiaries. All intercompany transactions and accounts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Consolidated Financial Statements</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The accompanying interim consolidated balance sheet as of April 30, 2017, the interim consolidated statements of operations and cash flows for the three months ended April 30, 2016 and 2017 and the interim consolidated statement of redeemable convertible preferred stock and stockholders' equity (deficit) for the three months ended April 30, 2017 are unaudited. The unaudited interim consolidated financial statements have been prepared on a basis consistent with the annual consolidated financial statements and, in the opinion of management, reflect all adjustments, which include only normal recurring adjustments, necessary to state fairly our financial position as of April 30, 2017 and its results of operations and cash flows for the three months ended April 30, 2016 and 2017. The financial data and the other financial information disclosed in the notes to these consolidated financial statements related to the three-month periods are also unaudited. The results of operations for the three months ended April 30, 2017 are not necessarily indicative of the results to be expected for the fiscal year ending January 31, 2018 or for any other future year or interim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 Such estimates include, but are not limited to, revenue recognition, allowances for doubtful accounts, fair value of stock-based awards, fair value of redeemable convertible preferred stock warrants, legal contingencies, fair value of acquired intangible assets and goodwill, useful lives of acquired intangible assets and property and equipment, and accounting for income taxes. We base these estimates on historical and anticipated results, trends and various other assumptions that we believe are reasonable under the circumstances, including assumptions as to future events. Actual results could differ from those estimates.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to Prior Period</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During the preparation of the consolidated financial statements as of and for the year ended January 31, 2017, we identified an immaterial error related to the presentation of contractual payments in our consolidated statements of cash flows for the year ended January 31, 2016. We evaluated the impact and concluded that it was not material to our 2016 consolidated financial statements and corrected the presentation, resulting in an increase in net cash used in operating activities from $43.4 million to $47.0 million and an associated increase in net cash provided by financing activities from $(0.5) million to $3.1 million. The adjustment had no impact on the net change in cash, cash equivalents and restricted cash in our consolidated statements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All currently outstanding shares of redeemable convertible preferred stock will automatically convert into shares of our Class B common stock and warrants to purchase shares of redeemable convertible preferred stock will expire upon the closing of a qualifying initial public offering, or IPO (see Note 8). The unaudited pro forma stockholder's equity shows the effect of the automatic conversion of the redeemable convertible preferred stock into common stock and the expiration of the redeemable convertible preferred stock warrants as of April 30, 2017.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unaudited pro forma net loss per share attributable to common stockholders basic and diluted has been computed to give effect to the assumed automatic conversion of redeemable convertible preferred stock into shares of our Class B common stock using the if converted method and the elimination of the revaluation adjustment for the redeemable convertible preferred stock warrant liability due to the expiration of those warrants upon the completion of a qualifying IPO as though such qualifying IPO event had occurred as of the beginning of the period or the date of issuance.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functional currency of the Company's international subsidiaries is either the U.S. dollar or the local currency in which the international subsidiary operates. For these subsidiaries where the U.S. dollar is the functional currency, foreign currency denominated monetary assets and liabilities are re-measured into U.S. dollars at current exchange rates and foreign currency denominated nonmonetary assets and liabilities are re-measured into U.S. dollars at historical exchange rates. Gains or losses from foreign currency re-measurement and settlements are included in other income (expense), net in the consolidated statements of operations. For foreign subsidiaries where the functional currency is the local currency, we use the period-end exchange rates to translate assets and liabilities, and the average exchange rates to translate revenue and expenses into U.S. dollars. We record translation gains and losses in accumulated other comprehensive income (loss) as a component of stockholders' deficit.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Our comprehensive loss includes net loss and unrealized gains and losses on available-for-sale securities and foreign currency translation adjustments.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consider all highly liquid investments, including money market funds with an original maturity of three months or less at the date of purchase, to be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short-term investments consist of U.S. government treasury securities and money market instruments. We determine the appropriate classification of our short-term investments at the time of purchase and reevaluate such designation at each balance sheet date. We have classified and accounted for our short-term investments as available-for-sale securities as we may sell these securities at any time for use in our current operations or for other purposes, even prior to maturity. As a result, we classify our short-term investments within current assets on the consolidated balance sheets.</w:t>
      </w:r>
    </w:p>
    <w:p>
      <w:pPr>
        <w:spacing w:after="0" w:line="167" w:lineRule="exact"/>
        <w:rPr>
          <w:sz w:val="20"/>
          <w:szCs w:val="20"/>
          <w:color w:val="auto"/>
        </w:rPr>
      </w:pPr>
    </w:p>
    <w:p>
      <w:pPr>
        <w:ind w:right="160" w:firstLine="341"/>
        <w:spacing w:after="0" w:line="290" w:lineRule="auto"/>
        <w:rPr>
          <w:sz w:val="20"/>
          <w:szCs w:val="20"/>
          <w:color w:val="auto"/>
        </w:rPr>
      </w:pPr>
      <w:r>
        <w:rPr>
          <w:rFonts w:ascii="Arial" w:cs="Arial" w:eastAsia="Arial" w:hAnsi="Arial"/>
          <w:sz w:val="16"/>
          <w:szCs w:val="16"/>
          <w:color w:val="auto"/>
        </w:rPr>
        <w:t>Available-for-sale securities are recorded at fair value each reporting period. Unrealized gains and losses on these short-term investments are reported as a separate component of accumulated other comprehensive loss on the consolidated balance sheets until realized. We periodically evaluate our short-term investments to assess whether those with unrealized loss positions are other than temporarily impaired. We consider various factors in determining whether to recognize an impairment charge. Realized gains and losses are determined based on the specific identification method and are reported in interest income in the consolidated statements of operations. If we determine that the decline in an investment's fair value is other-than-temporary, the difference is recognized as an impairment loss in the consolidated statements of operations. As of January 31, 2017 and April 30, 2017 (unaudited), we have not recorded any other-than-temporary-impairment in our consolidated statements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pledged $0.1 million of collateral for our available credit on corporate credit cards as of January 31, 2016 and 2017 and April 30, 2017 (unaudited).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balances are included in other assets on the consolidated balance sheets.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Our financial instruments consists of cash equivalents, other short-term investments, accounts receivable, accounts payable, accrued liabilities and the redeemable convertible preferred stock warrant liability. Cash equivalents are stated at amortized cost, which approximates fair value at the balance sheet dates, due to the short period of time to maturity. Short-term investments are recorded at fair value. Accounts receivable, accounts payable and accrued liabilities are stated at their carrying value, which approximates fair value due to the short time to the expected receipt or payment date. The redeemable convertible preferred stock warrant liability is carried at fair value.</w:t>
      </w:r>
    </w:p>
    <w:p>
      <w:pPr>
        <w:spacing w:after="0" w:line="197" w:lineRule="exact"/>
        <w:rPr>
          <w:sz w:val="20"/>
          <w:szCs w:val="20"/>
          <w:color w:val="auto"/>
        </w:rPr>
      </w:pPr>
    </w:p>
    <w:p>
      <w:pPr>
        <w:ind w:right="280" w:firstLine="341"/>
        <w:spacing w:after="0" w:line="294" w:lineRule="auto"/>
        <w:rPr>
          <w:sz w:val="20"/>
          <w:szCs w:val="20"/>
          <w:color w:val="auto"/>
        </w:rPr>
      </w:pPr>
      <w:r>
        <w:rPr>
          <w:rFonts w:ascii="Arial" w:cs="Arial" w:eastAsia="Arial" w:hAnsi="Arial"/>
          <w:sz w:val="16"/>
          <w:szCs w:val="16"/>
          <w:color w:val="auto"/>
        </w:rPr>
        <w:t>Assets and liabilities recorded at fair value on a recurring basis in the balance sheets consisting of cash equivalents, short-term investments and the redeemable convertible preferred stock warrant liability are categorized based upon the level of judgment associated with the inputs used to measure their fair values.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18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Observable inputs, such as quoted prices (unadjusted) in active markets for identical assets or liabilities at the measurement date.</w:t>
      </w:r>
    </w:p>
    <w:p>
      <w:pPr>
        <w:spacing w:after="0" w:line="252" w:lineRule="exact"/>
        <w:rPr>
          <w:sz w:val="20"/>
          <w:szCs w:val="20"/>
          <w:color w:val="auto"/>
        </w:rPr>
      </w:pPr>
    </w:p>
    <w:p>
      <w:pPr>
        <w:ind w:left="780" w:right="20" w:hanging="769"/>
        <w:spacing w:after="0" w:line="370" w:lineRule="auto"/>
        <w:tabs>
          <w:tab w:leader="none" w:pos="7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5"/>
          <w:szCs w:val="15"/>
          <w:color w:val="auto"/>
        </w:rPr>
        <w:t>Observable inputs, other than Level 1 prices, such as quoted prices in active markets for similar assets and liabilities, quoted prices in markets that are not active, or other inputs that are observable or can be corroborated by observable market data for substantially the full term of the assets or liabilities.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225" w:lineRule="exact"/>
        <w:rPr>
          <w:sz w:val="20"/>
          <w:szCs w:val="20"/>
          <w:color w:val="auto"/>
        </w:rPr>
      </w:pPr>
    </w:p>
    <w:p>
      <w:pPr>
        <w:ind w:right="340" w:firstLine="351"/>
        <w:spacing w:after="0" w:line="259" w:lineRule="auto"/>
        <w:rPr>
          <w:sz w:val="20"/>
          <w:szCs w:val="20"/>
          <w:color w:val="auto"/>
        </w:rPr>
      </w:pPr>
      <w:r>
        <w:rPr>
          <w:rFonts w:ascii="Arial" w:cs="Arial" w:eastAsia="Arial" w:hAnsi="Arial"/>
          <w:sz w:val="18"/>
          <w:szCs w:val="18"/>
          <w:color w:val="auto"/>
        </w:rPr>
        <w:t>Our financial instruments that are carried at fair value consist of Level 1 assets and Level 3 liabilities. Level 1 assets include highly liquid money market funds classified as cash equivalents vs. government treasury securities classified as short-term investments. Level 3 liabilities consist of the redeemable convertible preferred stock warrant liability.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Financial instruments that potentially subject us to concentrations of credit risk are primarily cash, cash equivalents, restricted cash, short-term investments, and accounts receivable. The primary focus of our investment strategy is to preserve capital and meet liquidity requirements. We maintain our cash accounts with financial institutions where, at times, deposits exceed federal insurance limits. We invest our excess cash in highly rated money market funds in U.S. government trading securities. We extend credit to customers in the normal course of business. We perform credit analysis and monitor the financials of our customers to reduce credit risk. Trade accounts receivable are recorded at the invoiced amount and do not bear interest. We record an allowance for doubtful accounts relating to certain trade accounts receivable. The allowance were based on various factors, including the review of credit profiles of our customers, contractual terms and conditions, current economic trends and historical customer payment experience.</w:t>
      </w:r>
    </w:p>
    <w:p>
      <w:pPr>
        <w:spacing w:after="0" w:line="172"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As of and for the fiscal years ended January 31, 2016 and 2017 and the three months ended April 30, 2017 (unaudited), no customer represented 10% or more of net accounts receivable or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perform initial and ongoing evaluations of our customers' financial position, and generally extend credit without collateral. We determine the need for an allowance for doubtful accounts based upon various factors, including past collection experience, credit quality of the customer, age of the receivable balance, and current economic conditions, as well as specific circumstances arising with individual customers. Trade receivables are written off against the allowance when management determines a balance is uncollectible and we no longer actively pursues collection of the receivable.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340" w:right="4680" w:hanging="332"/>
        <w:spacing w:after="0" w:line="602" w:lineRule="auto"/>
        <w:tabs>
          <w:tab w:leader="none" w:pos="174" w:val="left"/>
        </w:tabs>
        <w:numPr>
          <w:ilvl w:val="0"/>
          <w:numId w:val="10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Description of Operations and Summary of Significant Accounting Policies (Continued) </w:t>
      </w:r>
      <w:r>
        <w:rPr>
          <w:rFonts w:ascii="Arial" w:cs="Arial" w:eastAsia="Arial" w:hAnsi="Arial"/>
          <w:sz w:val="15"/>
          <w:szCs w:val="15"/>
          <w:color w:val="auto"/>
        </w:rPr>
        <w:t>Activity within the allowance for doubtful accounts was as follows (in thousands):</w:t>
      </w:r>
    </w:p>
    <w:tbl>
      <w:tblPr>
        <w:tblLayout w:type="fixed"/>
        <w:tblInd w:w="1720" w:type="dxa"/>
        <w:tblCellMar>
          <w:top w:w="0" w:type="dxa"/>
          <w:left w:w="0" w:type="dxa"/>
          <w:bottom w:w="0" w:type="dxa"/>
          <w:right w:w="0" w:type="dxa"/>
        </w:tblCellMar>
      </w:tblP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Allowance for</w:t>
            </w:r>
          </w:p>
        </w:tc>
      </w:tr>
      <w:tr>
        <w:trPr>
          <w:trHeight w:val="149"/>
        </w:trPr>
        <w:tc>
          <w:tcPr>
            <w:tcW w:w="5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9"/>
              </w:rPr>
              <w:t>doubtful</w:t>
            </w:r>
          </w:p>
        </w:tc>
      </w:tr>
      <w:tr>
        <w:trPr>
          <w:trHeight w:val="161"/>
        </w:trPr>
        <w:tc>
          <w:tcPr>
            <w:tcW w:w="5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1"/>
              </w:rPr>
              <w:t>accounts</w:t>
            </w:r>
          </w:p>
        </w:tc>
        <w:tc>
          <w:tcPr>
            <w:tcW w:w="160" w:type="dxa"/>
            <w:vAlign w:val="bottom"/>
          </w:tcPr>
          <w:p>
            <w:pPr>
              <w:spacing w:after="0"/>
              <w:rPr>
                <w:sz w:val="14"/>
                <w:szCs w:val="14"/>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331</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2016</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31, 2017</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958</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Bad debt expense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 against deferred revenue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Write-offs (unaudited)</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April 30, 2017 (unaudited)</w:t>
            </w:r>
          </w:p>
        </w:tc>
        <w:tc>
          <w:tcPr>
            <w:tcW w:w="17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1,266</w:t>
            </w:r>
          </w:p>
        </w:tc>
      </w:tr>
      <w:tr>
        <w:trPr>
          <w:trHeight w:val="20"/>
        </w:trPr>
        <w:tc>
          <w:tcPr>
            <w:tcW w:w="5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Costs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Software development costs for software to be sold, leased, or otherwise marketed are expensed as incurred until the establishment of technological feasibility, at which time those costs are capitalized until the product is available for general release to customers and amortized over the estimated life of the product. Technological feasibility is established upon the completion of a working prototype that has been certified as having no critical bugs and is a release candidate. To date, costs and time incurred between the establishment of technological feasibility and product release have not been material, resulting in software development costs qualifying for capitalization being immaterial. As a result, all software development costs have been recorded in research and development expense in the consolidated statements of operations.</w:t>
      </w:r>
    </w:p>
    <w:p>
      <w:pPr>
        <w:spacing w:after="0" w:line="198"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Costs related to software acquired, developed, or modified solely to meet our internal requirements, with no substantive plans to market such software at the time of development, or costs related to development of web-based product are capitalized. Costs incurred during the preliminary planning and evaluation stage of the project and during post implementation operational stage are expensed as incurred. Costs incurred during the application development stage of the project are capitalized. We did not capitalize any costs related to computer software developed for internal use or web-based product in the years ended January 31, 2016 and 2017 and the three months ended April 30, 2017 (unaudited).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capitalize qualified legal, accounting and other direct costs related to our efforts to raise capital through a sale of our common stock in our potential IPO. Deferred offering costs are included in other assets on the consolidated balance sheets and will be deferred until the completion of the IPO, at which time they will be reclassified to additional paid-in capital as a reduction of the IPO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we terminate plans for an IPO or significantly delay a potential IPO, any deferred costs will be expensed at that time. As of January 31, 2016 and 2017, we had no deferred offering costs that were capitalized. As of April 30, 2017 (unaudited), $0.7 million deferred offering costs were capitalized. We have not made any payments on the deferred offering costs as of April 30, 2017 (unaudited).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Property and equipment are recorded at cost and depreciated over their estimated useful lives using the straight-line method and the following estimated useful lives: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00" w:type="dxa"/>
            <w:vAlign w:val="bottom"/>
            <w:gridSpan w:val="3"/>
          </w:tcPr>
          <w:p>
            <w:pPr>
              <w:spacing w:after="0"/>
              <w:rPr>
                <w:sz w:val="20"/>
                <w:szCs w:val="20"/>
                <w:color w:val="auto"/>
              </w:rPr>
            </w:pPr>
            <w:r>
              <w:rPr>
                <w:rFonts w:ascii="Arial" w:cs="Arial" w:eastAsia="Arial" w:hAnsi="Arial"/>
                <w:sz w:val="14"/>
                <w:szCs w:val="14"/>
                <w:b w:val="1"/>
                <w:bCs w:val="1"/>
                <w:color w:val="auto"/>
              </w:rPr>
              <w:t>Property and Equipment</w:t>
            </w:r>
          </w:p>
        </w:tc>
        <w:tc>
          <w:tcPr>
            <w:tcW w:w="2600" w:type="dxa"/>
            <w:vAlign w:val="bottom"/>
            <w:gridSpan w:val="2"/>
          </w:tcPr>
          <w:p>
            <w:pPr>
              <w:ind w:left="660"/>
              <w:spacing w:after="0"/>
              <w:rPr>
                <w:sz w:val="20"/>
                <w:szCs w:val="20"/>
                <w:color w:val="auto"/>
              </w:rPr>
            </w:pPr>
            <w:r>
              <w:rPr>
                <w:rFonts w:ascii="Arial" w:cs="Arial" w:eastAsia="Arial" w:hAnsi="Arial"/>
                <w:sz w:val="14"/>
                <w:szCs w:val="14"/>
                <w:b w:val="1"/>
                <w:bCs w:val="1"/>
                <w:color w:val="auto"/>
              </w:rPr>
              <w:t>Estimated Useful Life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2580" w:type="dxa"/>
            <w:vAlign w:val="bottom"/>
          </w:tcPr>
          <w:p>
            <w:pPr>
              <w:jc w:val="right"/>
              <w:spacing w:after="0"/>
              <w:rPr>
                <w:sz w:val="20"/>
                <w:szCs w:val="20"/>
                <w:color w:val="auto"/>
              </w:rPr>
            </w:pPr>
            <w:r>
              <w:rPr>
                <w:rFonts w:ascii="Arial" w:cs="Arial" w:eastAsia="Arial" w:hAnsi="Arial"/>
                <w:sz w:val="18"/>
                <w:szCs w:val="18"/>
                <w:color w:val="auto"/>
              </w:rPr>
              <w:t>2 - 3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5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Lesser of lease term or useful life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Upon retirement or sale, the cost of assets disposed of, and the related accumulated depreciation, is removed from the accounts and any resulting gain or loss is reflected in the consolidated statements of operations. There was no material gain or loss incurred as a result of retirement or sale in the periods presented. Repair and maintenance costs are expensed as incurred.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Including Goodwill and Other Acquired Intangible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evaluate the recoverability of property and equipment and amortizable intangible assets for possible impairment whenever events or circumstances indicate that the carrying amount of such assets may not be recoverable. Recoverability of these assets is measured by a comparison of the carrying amounts to the future undiscounted cash flows the assets are expected to generate. If such review indicates that the carrying amount of property and equipment and intangible assets is not recoverable, the carrying amount of such assets is reduced to fair value. In addition, we test goodwill for impairment at least annually or more frequently if events or changes in circumstances indicate that this asset may be impaired. These tests are based on our single operating segment and reporting unit structure. No indications of impairment of goodwill were noted during the years ended January 31, 2016 and 2017 and the three months ended April 30, 2017 (unaudited).</w:t>
      </w:r>
    </w:p>
    <w:p>
      <w:pPr>
        <w:spacing w:after="0" w:line="201"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Acquired amortizable intangible assets are amortized on a straight-line basis over the estimated useful lives of the assets. The estimated remaining useful lives for intangible assets range from 2.8 to 3.2 years as of January 31, 2017 and 2.6 to 2.9 years as of April 30, 2017 (unaudited).</w:t>
      </w:r>
    </w:p>
    <w:p>
      <w:pPr>
        <w:spacing w:after="0" w:line="13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addition to the recoverability assessment, we periodically review the remaining estimated useful lives of property and equipment and amortizable intangible assets. If the estimated useful life assumption for any asset is changed, the remaining unamortized balance would be amortized or depreciated over the revised estimated useful life.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Rent expense is recognized on a straight-line basis over the non-cancelable term of the operating lease. We record the difference between cash rent payments and recognized rent expense as a deferred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rent liability included in accrued liabilities and other liabilities on the consolidated balance sheets. Incentives granted under our facility leases, including allowances to fund leasehold improvements, are deferred and are recognized as adjustments to rental expense on a straight-line basis over the term of the lease.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derive our revenue from two sources: (1) sales of subscriptions, including term license and technical support arrangements and consumption-based hosted as-a-service offerings; and (2) services revenue comprised of consulting and training arrangements. We consider revenue realizable and earned when all of the following criteria are satisfied:</w:t>
      </w:r>
    </w:p>
    <w:p>
      <w:pPr>
        <w:spacing w:after="0" w:line="208" w:lineRule="exact"/>
        <w:rPr>
          <w:sz w:val="20"/>
          <w:szCs w:val="20"/>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delivery has occurred;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collection of the fees is probable;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fees for consideration are fixed or determinable.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subscription service arrangements generally are non-cancelable and do not contain refund-type provisions.</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recognize subscription revenue ratably over the contract term, provided that all other revenue recognition criteria have been met. We provide our support services pursuant to these subscription arrangements, which are primarily on an annual basis and involve technical support and access to new software versions on a when-and-if available basis. In addition, revenue related to hosted as-a-service solutions are recognized on a usage-basis, as consideration for these arrangements are contingent upon the frequency that the licensee uses the product or on the size and speed of the required infrastructure of the hosted deployment. We recognize revenue from services agreements on a percent complete basis if sold on a stand-alone basis and over the contractual subscription period if sold as a bundled element along with our subscriptions. When services commence later than the start date of the subscription, as long as all other revenue recognition criteria have been met, we record a cumulative catch up of revenue that would have been recognized over the period from the beginning of the subscription term until the commencement of services.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Our subscription revenue is primarily comprised of time-based software licenses sold in conjunction with post-contract customer support, or PCS. We typically bill subscription revenue annually in advance. As our subscription offerings include a software license and PCS for which we have not established Vendor Specific Objective Evidence, or VSOE, the entire fee is recognized ratably over the term of the PCS. See "—Multiple-Element Arrangements" section below. In certain circumstances, we make software available to our customers online under hosting arrangements. The online services are currently comprised of an automated database backup storage tool, a database management automation tool and a database as-a-service tool wherein the customer can purchase storage, security and monitoring capabilities. Generally, revenue related to hosted as-a-service solutions are recognized on a usage-basis, as consideration for these arrangements are contingent upon the frequency that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licensee uses the product or on the size and speed of the required infrastructure of the hosted deployment.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Services Revenue</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Our services contracts are provisioned on either a time-and-materials basis, fixed-fee basis or subscription basis. Revenue is recognized on a proportional performance basis as the services are delivered for standalone time and materials contracts and for standalone fixed price contracts. As arrangements in which services are sold with subscription offerings are in essence multiple-element arrangements, pursuant to Accounting Standards Codification, or ASC, 985-605-25-10, all revenue in the arrangement is recognized ratably over the term of the undelivered elements assuming all other revenue recognition criteria have been met. See "—Multiple-Element Arrangements" section below.</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Multiple-Element Arrangements</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Guidance for multiple-element arrangements, or MEA's, dictate that contract fees be allocated across each element in an MEA based on VSOE of fair value. In cases where MEA software arrangements include both delivered and undelivered elements and VSOE of fair value exists for all undelivered elements, we may utilize the residual method for allocating fair value. Essentially, revenue recognition occurs immediately for the delivered elements and commence for the undelivered element(s), assuming all other revenue recognition criteria have been met.</w:t>
      </w:r>
    </w:p>
    <w:p>
      <w:pPr>
        <w:spacing w:after="0" w:line="16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the event an MEA includes both delivered and undelivered elements, and we have not established VSOE for the undelivered elements, all revenue from the arrangement shall be deferred until the earlier of the point at which VSOE is established or all elements have been delivered. As an exception to this guidance, in the event VSOE is not established for the undelivered elements and the only undelivered element is either PCS or services that do not involve significant production, modification or customization of software, the entire fee is recognized ratably over the term of the undelivered elements assuming all other revenue recognition criteria have been met and services are generally provided at the beginning or over the course of the arrangement.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Cost of revenue consists primarily of costs related to providing our subscription and hosting services to our paying customers, including personnel costs, including salaries, bonuses and benefits, and stock-based compensation and related expenses for datacenter operations, customer support and services personnel, as well as depreciation of servers and equipment.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 and Commissions Expense</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Deferred commissions are the incremental costs that are directly associated with non-cancelable subscription contracts with customers and consist of sales commissions paid to our direct sales force. The commissions are deferred and amortized over the non-cancelable terms of the related customer contracts. Sales commissions are generally paid up front and one month in arrears, however, payment timing is based on contractual terms of the underlying subscription contract and is subject to an evaluation of customer credit-worthiness. The deferred commission amounts are recoverable through the future revenue streams under the non-cancelable customer contracts. We capitalized commission costs of $8.0 million, $14.2 million, $2.4 million and $1.7 million for the years ended January 31, 2016</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and 2017 and the three months ended April 30, 2016 and 2017 (unaudited), respectively. Amortization of deferred commissions is included in sales and marketing expense in the consolidated statements of operations. As of January 31, 2017 and April 30, 2017 (unaudited), we recorded short-term deferred commissions of $7.5 million and $7.4 million, respectively, and long-term deferred commissions of $5.6 million and $4.8 million, respectively, in other long-term assets on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Research and development costs are expensed as incurred and consists primarily of personnel costs, including salaries, bonuses and benefits, and stock-based compensation. It also includes amortization associated with intangible acquired assets and allocated overhead.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225" w:lineRule="exact"/>
        <w:rPr>
          <w:sz w:val="20"/>
          <w:szCs w:val="20"/>
          <w:color w:val="auto"/>
        </w:rPr>
      </w:pPr>
    </w:p>
    <w:p>
      <w:pPr>
        <w:ind w:right="120" w:firstLine="341"/>
        <w:spacing w:after="0" w:line="286" w:lineRule="auto"/>
        <w:rPr>
          <w:sz w:val="20"/>
          <w:szCs w:val="20"/>
          <w:color w:val="auto"/>
        </w:rPr>
      </w:pPr>
      <w:r>
        <w:rPr>
          <w:rFonts w:ascii="Arial" w:cs="Arial" w:eastAsia="Arial" w:hAnsi="Arial"/>
          <w:sz w:val="16"/>
          <w:szCs w:val="16"/>
          <w:color w:val="auto"/>
        </w:rPr>
        <w:t>Advertising costs are charged to operations as incurred or the first time the advertising takes place, based on the nature of the advertising, and include direct marketing, events, public relations, sales collateral materials and partner programs. Advertising costs were $1.2 million, $2.4 million, $0.3 million and</w:t>
      </w:r>
    </w:p>
    <w:p>
      <w:pPr>
        <w:ind w:right="140"/>
        <w:spacing w:after="0" w:line="261" w:lineRule="auto"/>
        <w:rPr>
          <w:sz w:val="20"/>
          <w:szCs w:val="20"/>
          <w:color w:val="auto"/>
        </w:rPr>
      </w:pPr>
      <w:r>
        <w:rPr>
          <w:rFonts w:ascii="Arial" w:cs="Arial" w:eastAsia="Arial" w:hAnsi="Arial"/>
          <w:sz w:val="18"/>
          <w:szCs w:val="18"/>
          <w:color w:val="auto"/>
        </w:rPr>
        <w:t>$0.7 million for the years ended January 31, 2016 and 2017 and the three months ended April 30, 2016 and 2017 (unaudited), respectively. Advertising costs are recorded in sales and marketing expenses in the consolidated statement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Our redeemable convertible preferred stock warrants require liability classification and accounting as the underlying convertible preferred stock is contingently redeemable as discussed in Note 6. At initial recognition, the warrants are recorded at their estimated fair value. The warrants are subject to remeasurement at each balance sheet date, with changes in fair value recognized as a component of other income (expense), net. We will continue to adjust the warrant liability for changes in fair value until the earlier of the expiration or exercise of the warrants.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Common stock warrants are measured at their estimated fair value upon issuance using the Black-Scholes pricing model and recorded in additional paid-in capital on the consolidated balance sheets. Our common stock warrants are equity classified and no subsequent remeasurement is required.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Compensation expense related to stock options granted to employees is calculated based on the fair value of stock-based awards on the date of grant. We determine the grant date fair value of the awards using the Black-Scholes option-pricing model. The related stock-based compensation expense is recognized on a straight-line basis over the period in which an employee is required to provide service in exchange for the stock-based award, which is generally four years.</w:t>
      </w:r>
    </w:p>
    <w:p>
      <w:pPr>
        <w:spacing w:after="0" w:line="16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stock-based awards issued to non-employees, including consultants, we record expense related to stock options based on the fair value of the options calculated using the Black-Scholes option-pricing model over the service performance period. We believe that the fair value of the stock options is more reliably measured than the fair value of the services received. The fair value of each non-employee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award is re-measured each period until a commitment date is reached, which is generally the vesting date.</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stock price volatility and expected option life involve management's best estimates, both of which impact the fair value of the option calculated under the Black-Scholes option pricing model and, ultimately, the expense that will be recognized over the life of the option. During the year ended January 31, 2017, we adopted Accounting Standards Update, or ASU, 2016-09 allowing the recognition of forfeitures as they occur. See "Recently Adopted Accounting Pronouncements" for the impact of the adoption.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calculate basic and diluted net loss per share attributable to common stockholders in conformity with the two-class method required for companies with participating securities. We consider all series of redeemable convertible preferred stock to be participating securities as the holders are entitled to receive non-cumulative dividends on a pari passu basis in the event that a dividend is paid on common stock. Under the two-class method, the net loss attributable to common stockholders is not allocated to the redeemable convertible preferred stock as the holders of redeemable convertible preferred stock do not have a contractual obligation to share in losses.</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Under the two-class method, basic net loss per share attributable to common stockholders is calculated by dividing the net loss by the weighted-average number of shares of common stock outstanding during the period, less shares subject to repurchase. Diluted net loss per share attributable to common stockholders is computed by giving effect to all potentially dilutive common stock equivalents outstanding for the period. For purposes of this calculation, redeemable convertible preferred stock, stock options to purchase common stock, early exercised stock options, and warrants to purchase redeemable convertible preferred stock and common stock are considered common shares equivalents but have been excluded from the calculation of diluted net loss per share attributable to common stockholders as their effect is antidilutive. We did not present dilutive net loss per share on an if-converted basis because the impact was not dilutive.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operate as one operating segment as we only report financial information on an aggregate and consolidated basis to our Chief Executive Officer, who is our chief operating decision maker.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60" w:firstLine="348"/>
        <w:spacing w:after="0" w:line="335" w:lineRule="auto"/>
        <w:rPr>
          <w:sz w:val="20"/>
          <w:szCs w:val="20"/>
          <w:color w:val="auto"/>
        </w:rPr>
      </w:pPr>
      <w:r>
        <w:rPr>
          <w:rFonts w:ascii="Arial" w:cs="Arial" w:eastAsia="Arial" w:hAnsi="Arial"/>
          <w:sz w:val="15"/>
          <w:szCs w:val="15"/>
          <w:color w:val="auto"/>
        </w:rPr>
        <w:t>We follow the asset and liability method of accounting for income taxes. This method requires recognition of deferred tax assets and liabilities for the expected future tax consequences of temporary differences between the carrying amounts and the tax basis of assets and liabilities. A valuation allowance has been established for the full amount of the net deferred tax assets as we have determined that the future realization of the tax benefit is not more likely than not.</w:t>
      </w:r>
    </w:p>
    <w:p>
      <w:pPr>
        <w:spacing w:after="0" w:line="142"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recognize the tax benefit from uncertain tax positions only if it is more likely than not that the tax position will be sustained on examination by the tax authorities, based on the technical merits of the position. The tax benefit is measured based on the largest benefit that is more likely than not of</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being realized upon ultimate settlement. We recognize interest and penalties on amounts due to taxing authorities as a component of other income and expense.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Starting February 1, 2016, we elected to early adopt ASU No. 2016-09, Compensation—Stock Compensation (Topic 718):</w:t>
      </w:r>
      <w:r>
        <w:rPr>
          <w:rFonts w:ascii="Arial" w:cs="Arial" w:eastAsia="Arial" w:hAnsi="Arial"/>
          <w:sz w:val="16"/>
          <w:szCs w:val="16"/>
          <w:i w:val="1"/>
          <w:iCs w:val="1"/>
          <w:color w:val="auto"/>
        </w:rPr>
        <w:t xml:space="preserve"> Improvement to Employee Share-based Payment Accounting</w:t>
      </w:r>
      <w:r>
        <w:rPr>
          <w:rFonts w:ascii="Arial" w:cs="Arial" w:eastAsia="Arial" w:hAnsi="Arial"/>
          <w:sz w:val="16"/>
          <w:szCs w:val="16"/>
          <w:color w:val="auto"/>
        </w:rPr>
        <w:t>, which would among other items, provide an accounting policy election to account for forfeitures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they occur, rather than to account for them based on an estimate of expected forfeitures and modifies financial statement presentation of excess tax benefits or deficiencies. We elected to account for forfeitures as they occur and therefore, stock-based compensation expense for the year ended January 31, 2017 has been calculated based on actual forfeitures in the consolidated statements of operations. The cumulative effect of this change increased the accumulated deficit and decreased additional paid-in capital as of February 1, 2016 by $1.5 million. Stock-based compensation expense for the year ended January 31, 2016 was recorded net of estimated forfeitures, which was based on historical forfeitures. In addition, the effect on our historical financial statements is limited to an immaterial cumulative-effect adjustment for previously unrecognized excess tax benefits as a deferred tax asset with an offset to opening accumulated deficit which was fully offset by a valuation allowance.</w:t>
      </w:r>
    </w:p>
    <w:p>
      <w:pPr>
        <w:spacing w:after="0" w:line="17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Consolidated Statements of Cash Flows. </w:t>
      </w:r>
      <w:r>
        <w:rPr>
          <w:rFonts w:ascii="Arial" w:cs="Arial" w:eastAsia="Arial" w:hAnsi="Arial"/>
          <w:sz w:val="16"/>
          <w:szCs w:val="16"/>
          <w:color w:val="auto"/>
        </w:rPr>
        <w:t>Starting February 1, 2016, we elected to early adopt ASU No. 2016-15, Statement of Cash Flows (Topic 230):</w:t>
      </w:r>
      <w:r>
        <w:rPr>
          <w:rFonts w:ascii="Arial" w:cs="Arial" w:eastAsia="Arial" w:hAnsi="Arial"/>
          <w:sz w:val="16"/>
          <w:szCs w:val="16"/>
          <w:i w:val="1"/>
          <w:iCs w:val="1"/>
          <w:color w:val="auto"/>
        </w:rPr>
        <w:t xml:space="preserve"> Classification of Certain Cash Receipts and Cash Payments </w:t>
      </w:r>
      <w:r>
        <w:rPr>
          <w:rFonts w:ascii="Arial" w:cs="Arial" w:eastAsia="Arial" w:hAnsi="Arial"/>
          <w:sz w:val="16"/>
          <w:szCs w:val="16"/>
          <w:color w:val="auto"/>
        </w:rPr>
        <w:t>and ASU No. 2016-18, Statement of Cash Flows (Topic 230):</w:t>
      </w:r>
      <w:r>
        <w:rPr>
          <w:rFonts w:ascii="Arial" w:cs="Arial" w:eastAsia="Arial" w:hAnsi="Arial"/>
          <w:sz w:val="16"/>
          <w:szCs w:val="16"/>
          <w:i w:val="1"/>
          <w:iCs w:val="1"/>
          <w:color w:val="auto"/>
        </w:rPr>
        <w:t xml:space="preserve"> Restricted Cash</w:t>
      </w:r>
      <w:r>
        <w:rPr>
          <w:rFonts w:ascii="Arial" w:cs="Arial" w:eastAsia="Arial" w:hAnsi="Arial"/>
          <w:sz w:val="16"/>
          <w:szCs w:val="16"/>
          <w:color w:val="auto"/>
        </w:rPr>
        <w:t>. ASU No. 2016-15</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eliminates the diversity in practice related to the classification of certain cash receipts and payments for debt prepayment or extinguishment costs, the maturing of a zero coupon bond, the settlement of contingent liabilities arising from a business combination, proceeds from insurance settlements, distributions from certain equity method investees and beneficial interests obtained in a financial asset securitization. ASU No. 2016-18 requires that the statement of cash flows explain the change during the period in the total of cash, cash equivalents, and amounts generally described as restricted cash or restricted cash equivalents. We adopted ASU No. 2016-15 and ASU No. 2016-18 using the retrospective transition method and adjusted the consolidated statements of cash flows in all comparative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Stock Based Compensation. </w:t>
      </w:r>
      <w:r>
        <w:rPr>
          <w:rFonts w:ascii="Arial" w:cs="Arial" w:eastAsia="Arial" w:hAnsi="Arial"/>
          <w:sz w:val="16"/>
          <w:szCs w:val="16"/>
          <w:color w:val="auto"/>
        </w:rPr>
        <w:t>In May 2017, the Financial Accounting Standards Board, or FASB, issued ASU 2017-09,</w:t>
      </w:r>
      <w:r>
        <w:rPr>
          <w:rFonts w:ascii="Arial" w:cs="Arial" w:eastAsia="Arial" w:hAnsi="Arial"/>
          <w:sz w:val="16"/>
          <w:szCs w:val="16"/>
          <w:i w:val="1"/>
          <w:iCs w:val="1"/>
          <w:color w:val="auto"/>
        </w:rPr>
        <w:t xml:space="preserve"> Compensation—Stock Compensation </w:t>
      </w:r>
      <w:r>
        <w:rPr>
          <w:rFonts w:ascii="Arial" w:cs="Arial" w:eastAsia="Arial" w:hAnsi="Arial"/>
          <w:sz w:val="16"/>
          <w:szCs w:val="16"/>
          <w:color w:val="auto"/>
        </w:rPr>
        <w:t>(Topic 718). The amendments in the update provide guidance on types of changes to the terms or conditions of share-based payment awards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required to apply modification accounting under ASC 718. The new guidance becomes effective for us for the fiscal year ending January 31, 2018, though early adoption is permitted. We are currently evaluating whether this standard will have a material impact on our consolidated financial statements.</w:t>
      </w:r>
    </w:p>
    <w:p>
      <w:pPr>
        <w:spacing w:after="0" w:line="167"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In January 2017, the FASB issued ASU 2017-04—</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will simplify the measurement of goodwill by eliminating step two of the two-step impairment test. Step two measures a goodwill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loss by comparing the implied fair value of a reporting unit's goodwill with the carrying amount of that goodwill. The new guidance requires an entity to compare the fair value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Operations and Summary of Significant Accounting Policies (Continued)</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reporting unit with its carrying amount and recognize an impairment charge for the amount by which the carrying amount exceeds the reporting unit's fair value. Additionally, an entity should consider income tax effects from any tax deductible goodwill on the carrying amount of the reporting unit when measuring the goodwill impairment loss, if applicable. The new guidance becomes effective for us for the fiscal year ending January 31, 2022, though early adoption is permitted. We do not expect the adoption of the new accounting standard to have a material impact on the consolidated financial statements.</w:t>
      </w:r>
    </w:p>
    <w:p>
      <w:pPr>
        <w:spacing w:after="0" w:line="16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In February 2016, the FASB issued ASU No. 2016-02,</w:t>
      </w:r>
      <w:r>
        <w:rPr>
          <w:rFonts w:ascii="Arial" w:cs="Arial" w:eastAsia="Arial" w:hAnsi="Arial"/>
          <w:sz w:val="18"/>
          <w:szCs w:val="18"/>
          <w:i w:val="1"/>
          <w:iCs w:val="1"/>
          <w:color w:val="auto"/>
        </w:rPr>
        <w:t xml:space="preserve"> Leases </w:t>
      </w:r>
      <w:r>
        <w:rPr>
          <w:rFonts w:ascii="Arial" w:cs="Arial" w:eastAsia="Arial" w:hAnsi="Arial"/>
          <w:sz w:val="18"/>
          <w:szCs w:val="18"/>
          <w:color w:val="auto"/>
        </w:rPr>
        <w:t>(Topic 842), which modifies lease accounting for lessees to increase transparency</w:t>
      </w:r>
      <w:r>
        <w:rPr>
          <w:rFonts w:ascii="Arial" w:cs="Arial" w:eastAsia="Arial" w:hAnsi="Arial"/>
          <w:sz w:val="18"/>
          <w:szCs w:val="18"/>
          <w:i w:val="1"/>
          <w:iCs w:val="1"/>
          <w:color w:val="auto"/>
        </w:rPr>
        <w:t xml:space="preserve"> </w:t>
      </w:r>
      <w:r>
        <w:rPr>
          <w:rFonts w:ascii="Arial" w:cs="Arial" w:eastAsia="Arial" w:hAnsi="Arial"/>
          <w:sz w:val="18"/>
          <w:szCs w:val="18"/>
          <w:color w:val="auto"/>
        </w:rPr>
        <w:t>and comparability by recording lease assets and liabilities for operating leases and disclosing key information about leasing arrangements. ASU 2016-02 will be effective for us beginning in our first quarter of 2021, and early adoption is permitted. We are currently evaluating adoption methods and whether this standard will have a material impact on our consolidated financial statements.</w:t>
      </w:r>
    </w:p>
    <w:p>
      <w:pPr>
        <w:spacing w:after="0" w:line="197"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In May 2014, the FASB issued ASU No. 2014-09,</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(Topic 606), which amends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for revenue recognition. ASU 2014-09 is based on principles that govern the recognition of revenue at an amount an entity expects to be entitled when products are transferred to customers. ASU 2014-09 will be effective for us at the earlier of losing the emerging growth company status or in our annual results for 2020, though early adoption is permitted.</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Subsequently, the FASB has issued the following standards related to ASU 2014-09: ASU No. 2016-08, </w:t>
      </w:r>
      <w:r>
        <w:rPr>
          <w:rFonts w:ascii="Arial" w:cs="Arial" w:eastAsia="Arial" w:hAnsi="Arial"/>
          <w:sz w:val="16"/>
          <w:szCs w:val="16"/>
          <w:i w:val="1"/>
          <w:iCs w:val="1"/>
          <w:color w:val="auto"/>
        </w:rPr>
        <w:t>Revenue from Contracts with Customers (Topic</w:t>
      </w:r>
    </w:p>
    <w:p>
      <w:pPr>
        <w:spacing w:after="0" w:line="38"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i w:val="1"/>
          <w:iCs w:val="1"/>
          <w:color w:val="auto"/>
        </w:rPr>
        <w:t>606): Principal versus Agent Considerations</w:t>
      </w:r>
      <w:r>
        <w:rPr>
          <w:rFonts w:ascii="Arial" w:cs="Arial" w:eastAsia="Arial" w:hAnsi="Arial"/>
          <w:sz w:val="16"/>
          <w:szCs w:val="16"/>
          <w:color w:val="auto"/>
        </w:rPr>
        <w:t>; ASU No. 2016-10,</w:t>
      </w:r>
      <w:r>
        <w:rPr>
          <w:rFonts w:ascii="Arial" w:cs="Arial" w:eastAsia="Arial" w:hAnsi="Arial"/>
          <w:sz w:val="16"/>
          <w:szCs w:val="16"/>
          <w:i w:val="1"/>
          <w:iCs w:val="1"/>
          <w:color w:val="auto"/>
        </w:rPr>
        <w:t xml:space="preserve"> Revenue from Contracts with Customers (Topic 606): Identifying Performance Obligations and Licensing</w:t>
      </w:r>
      <w:r>
        <w:rPr>
          <w:rFonts w:ascii="Arial" w:cs="Arial" w:eastAsia="Arial" w:hAnsi="Arial"/>
          <w:sz w:val="16"/>
          <w:szCs w:val="16"/>
          <w:color w:val="auto"/>
        </w:rPr>
        <w:t>; ASU No. 2016-12,</w:t>
      </w:r>
      <w:r>
        <w:rPr>
          <w:rFonts w:ascii="Arial" w:cs="Arial" w:eastAsia="Arial" w:hAnsi="Arial"/>
          <w:sz w:val="16"/>
          <w:szCs w:val="16"/>
          <w:i w:val="1"/>
          <w:iCs w:val="1"/>
          <w:color w:val="auto"/>
        </w:rPr>
        <w:t xml:space="preserve"> Revenue from Contracts with Customers (Topic 606): Narrow-Scope Improvements and Practical Expedients</w:t>
      </w:r>
      <w:r>
        <w:rPr>
          <w:rFonts w:ascii="Arial" w:cs="Arial" w:eastAsia="Arial" w:hAnsi="Arial"/>
          <w:sz w:val="16"/>
          <w:szCs w:val="16"/>
          <w:color w:val="auto"/>
        </w:rPr>
        <w:t>; and</w:t>
      </w:r>
      <w:r>
        <w:rPr>
          <w:rFonts w:ascii="Arial" w:cs="Arial" w:eastAsia="Arial" w:hAnsi="Arial"/>
          <w:sz w:val="16"/>
          <w:szCs w:val="16"/>
          <w:i w:val="1"/>
          <w:iCs w:val="1"/>
          <w:color w:val="auto"/>
        </w:rPr>
        <w:t xml:space="preserve"> ASU 2016-20, Technical Corrections and Improvements to Topic 606</w:t>
      </w:r>
      <w:r>
        <w:rPr>
          <w:rFonts w:ascii="Arial" w:cs="Arial" w:eastAsia="Arial" w:hAnsi="Arial"/>
          <w:sz w:val="16"/>
          <w:szCs w:val="16"/>
          <w:color w:val="auto"/>
        </w:rPr>
        <w:t>, which clarifies narrow aspects of ASC 606 or corrects unintended application of the guidance. We must</w:t>
      </w:r>
      <w:r>
        <w:rPr>
          <w:rFonts w:ascii="Arial" w:cs="Arial" w:eastAsia="Arial" w:hAnsi="Arial"/>
          <w:sz w:val="16"/>
          <w:szCs w:val="16"/>
          <w:i w:val="1"/>
          <w:iCs w:val="1"/>
          <w:color w:val="auto"/>
        </w:rPr>
        <w:t xml:space="preserve"> </w:t>
      </w:r>
      <w:r>
        <w:rPr>
          <w:rFonts w:ascii="Arial" w:cs="Arial" w:eastAsia="Arial" w:hAnsi="Arial"/>
          <w:sz w:val="16"/>
          <w:szCs w:val="16"/>
          <w:color w:val="auto"/>
        </w:rPr>
        <w:t>adopt ASU 2016-08, ASU 2016-10, ASU 2016-12, and ASU 2016-20 with ASU 2014-09 (collectively, the "new revenue standards").</w:t>
      </w:r>
    </w:p>
    <w:p>
      <w:pPr>
        <w:spacing w:after="0" w:line="169"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plan to adopt the new revenue standards using the full retrospective transition method when it becomes effective for us, which is the earlier of losing the emerging growth company status, or our annual results for our fiscal year ending on January 31, 2020. While we are continuing to assess the potential impacts of the new revenue standards, we currently expect unearned subscription revenue will decline significantly upon adoption. Currently, as our subscription offerings include a software term license and PCS for which we have not established VSOE, the entire subscription fee is recognized ratably over the term of the contract. However, under the new revenue standard we would generally expect that substantially all software term license revenue related to the sale of our licenses will be recognized upon delivery. We are continuing to evaluate the effect that the new revenue standard will have on our consolidated financial statements and related disclosures, and preliminary assessments are subject to change.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31" w:lineRule="exact"/>
        <w:rPr>
          <w:sz w:val="20"/>
          <w:szCs w:val="20"/>
          <w:color w:val="auto"/>
        </w:rPr>
      </w:pPr>
    </w:p>
    <w:p>
      <w:pPr>
        <w:ind w:right="60" w:firstLine="348"/>
        <w:spacing w:after="0" w:line="370" w:lineRule="auto"/>
        <w:rPr>
          <w:sz w:val="20"/>
          <w:szCs w:val="20"/>
          <w:color w:val="auto"/>
        </w:rPr>
      </w:pPr>
      <w:r>
        <w:rPr>
          <w:rFonts w:ascii="Arial" w:cs="Arial" w:eastAsia="Arial" w:hAnsi="Arial"/>
          <w:sz w:val="15"/>
          <w:szCs w:val="15"/>
          <w:color w:val="auto"/>
        </w:rPr>
        <w:t>The following tables present information about our financial assets and liabilities that have been measured at fair value on a recurring basis as of January 31, 2016 and 2017 and April 30, 2017 (unaudited), and indicates the fair value hierarchy of the valuation inputs utilized to determine such fair value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2016</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79,954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1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97,997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2"/>
          </w:tcPr>
          <w:p>
            <w:pPr>
              <w:ind w:left="420"/>
              <w:spacing w:after="0"/>
              <w:rPr>
                <w:sz w:val="20"/>
                <w:szCs w:val="20"/>
                <w:color w:val="auto"/>
              </w:rPr>
            </w:pPr>
            <w:r>
              <w:rPr>
                <w:rFonts w:ascii="Arial" w:cs="Arial" w:eastAsia="Arial" w:hAnsi="Arial"/>
                <w:sz w:val="14"/>
                <w:szCs w:val="14"/>
                <w:b w:val="1"/>
                <w:bCs w:val="1"/>
                <w:color w:val="auto"/>
              </w:rPr>
              <w:t>Fair Value Measurement at January 31, 2017</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2"/>
              </w:rPr>
              <w:t>Level 3</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Total</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U.S. government treasury securities</w:t>
            </w:r>
          </w:p>
        </w:tc>
        <w:tc>
          <w:tcPr>
            <w:tcW w:w="1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47,195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assets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102,299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Financial Liability:</w:t>
            </w: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4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3"/>
              </w:rPr>
              <w:t>Redeemable convertible preferred stock warrant liability</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Total financial liability</w:t>
            </w:r>
          </w:p>
        </w:tc>
        <w:tc>
          <w:tcPr>
            <w:tcW w:w="1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20" w:type="dxa"/>
            <w:vAlign w:val="bottom"/>
            <w:gridSpan w:val="2"/>
          </w:tcPr>
          <w:p>
            <w:pPr>
              <w:jc w:val="right"/>
              <w:ind w:right="603"/>
              <w:spacing w:after="0"/>
              <w:rPr>
                <w:sz w:val="20"/>
                <w:szCs w:val="20"/>
                <w:color w:val="auto"/>
              </w:rPr>
            </w:pPr>
            <w:r>
              <w:rPr>
                <w:rFonts w:ascii="Arial" w:cs="Arial" w:eastAsia="Arial" w:hAnsi="Arial"/>
                <w:sz w:val="18"/>
                <w:szCs w:val="18"/>
                <w:color w:val="auto"/>
              </w:rPr>
              <w:t>F-20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(Continued)</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11"/>
          </w:tcPr>
          <w:p>
            <w:pPr>
              <w:ind w:left="220"/>
              <w:spacing w:after="0"/>
              <w:rPr>
                <w:sz w:val="20"/>
                <w:szCs w:val="20"/>
                <w:color w:val="auto"/>
              </w:rPr>
            </w:pPr>
            <w:r>
              <w:rPr>
                <w:rFonts w:ascii="Arial" w:cs="Arial" w:eastAsia="Arial" w:hAnsi="Arial"/>
                <w:sz w:val="14"/>
                <w:szCs w:val="14"/>
                <w:b w:val="1"/>
                <w:bCs w:val="1"/>
                <w:color w:val="auto"/>
              </w:rPr>
              <w:t>Fair Value Measurement at April 30, 2017</w:t>
            </w: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8"/>
              </w:rPr>
              <w:t>Level 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tcPr>
          <w:p>
            <w:pPr>
              <w:jc w:val="right"/>
              <w:ind w:right="256"/>
              <w:spacing w:after="0" w:line="142" w:lineRule="exact"/>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29,118</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Short-term investments: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government treasury securities</w:t>
            </w:r>
          </w:p>
        </w:tc>
        <w:tc>
          <w:tcPr>
            <w:tcW w:w="9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64,576</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93,694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Liability:</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financial liability</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utilized the market approach and Level 1 valuation inputs to value our money market mutual funds and U.S. government treasury securities because published net asset values were readily available. As of January 31, 2016 and 2017 and April 30, 2017 (unaudited), gross unrealized gains and unrealized losses for cash equivalent for short-term investments were not material, and the contractual maturity of all marketable securities was less than one year.</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We estimate the fair value of our redeemable convertible preferred stock warrant liability using the Black-Scholes pricing model. The significant unobservable inputs used in the fair value measurement of the redeemable convertible preferred stock warrant liability are the fair value of the underlying stock at the valuation date and the estimated term of the warrant. Generally, increases (decreases) in the fair value of the underlying stock and estimated term would result in a directionally similar impact to the fair value measurement, as recognized in other income (expense), net in the consolidated statements of operations. Our redeemable convertible preferred stock warrants are categorized as Level 3 because they were valued based on unobservable inputs and management's judgment due to the absence of quoted mark prices, inherent lack of liquidity and the long-term nature of such financial instruments.</w:t>
      </w:r>
    </w:p>
    <w:p>
      <w:pPr>
        <w:spacing w:after="0" w:line="174"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The following table presents a reconciliation of the redeemable convertible preferred stock warrant liability measured at fair value using significant unobservable inputs (in thousands):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3"/>
          </w:tcPr>
          <w:p>
            <w:pPr>
              <w:jc w:val="center"/>
              <w:ind w:right="1980"/>
              <w:spacing w:after="0"/>
              <w:rPr>
                <w:sz w:val="20"/>
                <w:szCs w:val="20"/>
                <w:color w:val="auto"/>
              </w:rPr>
            </w:pPr>
            <w:r>
              <w:rPr>
                <w:rFonts w:ascii="Arial" w:cs="Arial" w:eastAsia="Arial" w:hAnsi="Arial"/>
                <w:sz w:val="14"/>
                <w:szCs w:val="14"/>
                <w:b w:val="1"/>
                <w:bCs w:val="1"/>
                <w:color w:val="auto"/>
                <w:w w:val="94"/>
              </w:rPr>
              <w:t>April 30,</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2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(Unaudited)</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Fair value, beginning balance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7"/>
              </w:rPr>
              <w:t>Issuance of redeemable convertible preferred stock warrants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Change in fair value of redeemable convertible preferred stock</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1720"/>
              <w:spacing w:after="0"/>
              <w:rPr>
                <w:sz w:val="20"/>
                <w:szCs w:val="20"/>
                <w:color w:val="auto"/>
              </w:rPr>
            </w:pPr>
            <w:r>
              <w:rPr>
                <w:rFonts w:ascii="Arial" w:cs="Arial" w:eastAsia="Arial" w:hAnsi="Arial"/>
                <w:sz w:val="18"/>
                <w:szCs w:val="18"/>
                <w:color w:val="auto"/>
              </w:rPr>
              <w:t>Fair value, ending balance</w:t>
            </w: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900" w:type="dxa"/>
            <w:vAlign w:val="bottom"/>
            <w:vMerge w:val="restart"/>
          </w:tcPr>
          <w:p>
            <w:pPr>
              <w:ind w:left="3820"/>
              <w:spacing w:after="0"/>
              <w:rPr>
                <w:sz w:val="20"/>
                <w:szCs w:val="20"/>
                <w:color w:val="auto"/>
              </w:rPr>
            </w:pPr>
            <w:r>
              <w:rPr>
                <w:rFonts w:ascii="Arial" w:cs="Arial" w:eastAsia="Arial" w:hAnsi="Arial"/>
                <w:sz w:val="18"/>
                <w:szCs w:val="18"/>
                <w:color w:val="auto"/>
              </w:rPr>
              <w:t>F-21</w:t>
            </w: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January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Servers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4,175</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4,253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2,107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7,756</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14,606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(10,404)</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w:t>
            </w:r>
          </w:p>
        </w:tc>
      </w:tr>
      <w:tr>
        <w:trPr>
          <w:trHeight w:val="20"/>
        </w:trPr>
        <w:tc>
          <w:tcPr>
            <w:tcW w:w="4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Depreciation and amortization expense related to property and equipment was $3.2 million, $2.9 million, $0.7 million and $0.7 million for the year ended January 31, 2016 and 2017 and the three months ended April 30, 2016 and 2017 (unaudited),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gross carrying amount and accumulated amortization of our intangible assets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2016</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3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January 31, 2017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29"/>
        </w:trPr>
        <w:tc>
          <w:tcPr>
            <w:tcW w:w="17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49"/>
        </w:trPr>
        <w:tc>
          <w:tcPr>
            <w:tcW w:w="17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3"/>
          </w:tcPr>
          <w:p>
            <w:pPr>
              <w:jc w:val="center"/>
              <w:ind w:right="1980"/>
              <w:spacing w:after="0" w:line="149" w:lineRule="exact"/>
              <w:rPr>
                <w:sz w:val="20"/>
                <w:szCs w:val="20"/>
                <w:color w:val="auto"/>
              </w:rPr>
            </w:pPr>
            <w:r>
              <w:rPr>
                <w:rFonts w:ascii="Arial" w:cs="Arial" w:eastAsia="Arial" w:hAnsi="Arial"/>
                <w:sz w:val="14"/>
                <w:szCs w:val="14"/>
                <w:b w:val="1"/>
                <w:bCs w:val="1"/>
                <w:color w:val="auto"/>
                <w:w w:val="87"/>
              </w:rPr>
              <w:t>Net Book</w:t>
            </w:r>
          </w:p>
        </w:tc>
      </w:tr>
      <w:tr>
        <w:trPr>
          <w:trHeight w:val="161"/>
        </w:trPr>
        <w:tc>
          <w:tcPr>
            <w:tcW w:w="17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0"/>
              </w:rPr>
              <w:t>Value</w:t>
            </w:r>
          </w:p>
        </w:tc>
        <w:tc>
          <w:tcPr>
            <w:tcW w:w="1880" w:type="dxa"/>
            <w:vAlign w:val="bottom"/>
            <w:gridSpan w:val="2"/>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4,300</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Domain name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4,455</w:t>
            </w:r>
          </w:p>
        </w:tc>
        <w:tc>
          <w:tcPr>
            <w:tcW w:w="3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2,511</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420" w:type="dxa"/>
            <w:vAlign w:val="bottom"/>
            <w:gridSpan w:val="2"/>
          </w:tcPr>
          <w:p>
            <w:pPr>
              <w:jc w:val="right"/>
              <w:ind w:right="960"/>
              <w:spacing w:after="0"/>
              <w:rPr>
                <w:sz w:val="20"/>
                <w:szCs w:val="20"/>
                <w:color w:val="auto"/>
              </w:rPr>
            </w:pPr>
            <w:r>
              <w:rPr>
                <w:rFonts w:ascii="Arial" w:cs="Arial" w:eastAsia="Arial" w:hAnsi="Arial"/>
                <w:sz w:val="18"/>
                <w:szCs w:val="18"/>
                <w:color w:val="auto"/>
              </w:rPr>
              <w:t>F-22</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Acquired Intangible Assets, Net (Continued)</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88"/>
              </w:rPr>
              <w:t>April 30, 2017</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2"/>
                <w:szCs w:val="12"/>
                <w:color w:val="auto"/>
              </w:rPr>
            </w:pPr>
          </w:p>
        </w:tc>
        <w:tc>
          <w:tcPr>
            <w:tcW w:w="86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Net Book</w:t>
            </w:r>
          </w:p>
        </w:tc>
      </w:tr>
      <w:tr>
        <w:trPr>
          <w:trHeight w:val="161"/>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8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Value</w:t>
            </w:r>
          </w:p>
        </w:tc>
      </w:tr>
      <w:tr>
        <w:trPr>
          <w:trHeight w:val="142"/>
        </w:trPr>
        <w:tc>
          <w:tcPr>
            <w:tcW w:w="3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Domain name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2,289</w:t>
            </w: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41"/>
        <w:spacing w:after="0" w:line="256" w:lineRule="auto"/>
        <w:rPr>
          <w:sz w:val="20"/>
          <w:szCs w:val="20"/>
          <w:color w:val="auto"/>
        </w:rPr>
      </w:pPr>
      <w:r>
        <w:rPr>
          <w:rFonts w:ascii="Arial" w:cs="Arial" w:eastAsia="Arial" w:hAnsi="Arial"/>
          <w:sz w:val="18"/>
          <w:szCs w:val="18"/>
          <w:color w:val="auto"/>
        </w:rPr>
        <w:t>Acquired intangible assets are amortized on a straight-line basis. As of April 30, 2017 (unaudited), the weighted-average remaining useful lives of identifiable, acquisition-related intangible assets was 2.6 years for developed technology and 2.9 years for domain name. Amortization expense of intangible assets for the years ended January 31, 2016 and 2017 and the three months ended April 30, 2016 and 2017 (unaudited) was $0.9 million, $0.9 million, $0.2 million and $0.2 million, respectively.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31, 2017,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2,511</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2017 (unaudited), future amortization expense related to the intangible assets is as follows (in thousands):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6"/>
              </w:rPr>
              <w:t>Years Ending January 31,</w:t>
            </w:r>
          </w:p>
        </w:tc>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Remainder of 2018</w:t>
            </w:r>
          </w:p>
        </w:tc>
        <w:tc>
          <w:tcPr>
            <w:tcW w:w="58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2019</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741</w:t>
            </w: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7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2,289</w:t>
            </w: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entered into non-cancellable operating leases, primarily related to rental of office space expiring through 2027. We recognize operating lease costs on a straight-line basis over the term of the agreement, taking into account adjustments for market provisions such as free or escalating base monthly rental payments or deferred payment terms such as rent holidays that defer the commencement date of the required payments. We may receive renewal or expansion options, leasehold improvement allowances or other incentives on certain lease agreements. Total rent expense related to operating leases for the years ended January 31, 2016 and 2017 and the three months ended</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April 30, 2016 and 2017 (unaudited) was $5.3 million, $7.0 million, $1.5 million and $2.1 million, respectively.</w:t>
      </w:r>
    </w:p>
    <w:p>
      <w:pPr>
        <w:spacing w:after="0" w:line="225"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In August 2016, we amended an existing irrevocable, standby letter of credit with Silicon Valley Bank for $0.5 million to serve as a security deposit for our lease in New York. The amendment reduced the letter of credit from $1.1 million to $0.5 million. In January 2017, we entered into an irrevocable, standby letter of credit with Silicon Valley Bank for $0.4 million to serve as a security deposit for our lease in Texas. These letters of credit mature at various dates, but do not extend beyond the corresponding lease agreements for which such letter of credit has been obtained.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entered into certain other non-cancellable agreements primarily for subscription and marketing services.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January 31, 2017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8,361</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4,377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25,810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Future minimum lease payments under noncancelable operating leases and other non-cancellable agreements as of April 30, 2017 (unaudited), were as follows (in thousands):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Operating</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1"/>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Year Ending January 31,</w:t>
            </w:r>
          </w:p>
        </w:tc>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Leases</w:t>
            </w:r>
          </w:p>
        </w:tc>
        <w:tc>
          <w:tcPr>
            <w:tcW w:w="8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6"/>
              </w:rPr>
              <w:t>Obligations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91"/>
              </w:rPr>
              <w:t>Remainder of 2018</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2019</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2021</w:t>
            </w:r>
          </w:p>
        </w:tc>
        <w:tc>
          <w:tcPr>
            <w:tcW w:w="2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2,372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4,421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minimum payments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24,550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From time to time, we have become involved in claims and other legal matters arising in the ordinary course of business. We investigate these claims as they arise. Although claims are inherently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unpredictable, we are currently not aware of any matters that may have a material adverse effect on our business, financial position, results of operations or cash flows, individually or in the aggregate.</w:t>
      </w:r>
    </w:p>
    <w:p>
      <w:pPr>
        <w:spacing w:after="0" w:line="186"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record an accrual for legal and other contingencies when losses are probable and estimable. From time to time, we are a party to litigation and subject to claims incident to the ordinary course of business, including intellectual property claims, labor and employment claims, and threatened claims, breach of contract claims, and other matters.</w:t>
      </w:r>
    </w:p>
    <w:p>
      <w:pPr>
        <w:spacing w:after="0" w:line="194"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Although the results of litigation and claims are inherently unpredictable, we believe that there was not at least a reasonable possibility that we had incurred a material loss with respect to such loss contingencies, as of January 31, 2016 and 2017 and April 30, 2017 (unaudited), therefore, we have not recorded an accrual for any contingencies.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enter into indemnification provisions under our agreements with other companies in the ordinary course of business, including business partners, contractors and parties performing its research and development. Pursuant to these arrangements, we agree to indemnify, hold harmless, and reimburse the indemnified party for certain losses suffered or incurred by the indemnified party as a result of our activities. The terms of these indemnification agreements are generally perpetual. The maximum potential amount of future payments we could be required to make under these agreements is not determinable. We have never incurred costs to defend lawsuits or settle claims related to these indemnification agreements. As a result, we believe the fair value of these agreements is not material. We maintain commercial general liability insurance and product liability insurance to offset certain of our potential liabilities under these indemnification provisions.</w:t>
      </w:r>
    </w:p>
    <w:p>
      <w:pPr>
        <w:spacing w:after="0" w:line="20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entered into indemnification agreements with each of our directors. These agreements require us to indemnify such individuals, to the fullest extent permitted by Delaware law, for certain liabilities to which they may become subject as a result of their affiliation with 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Redeemable convertible preferred stock is issuable in one or more series, each with such designations, rights, qualifications, limitations, and restrictions as set forth in our certificate of incorporation. In January 2017, we issued 2,092,785 shares of Series F redeemable convertible preferred stock to an existing investor at a price of $16.724127 per share for a total gross consideration of $35.0 million.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Redeemable convertible preferred stock as of January 31, 2016 and 2017 and April 30, 2017 (unaudited) consists of the following (in thousands, except share data):</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2016</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14,989,719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13,752,578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40,337,939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39,055,497</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310,997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rPr>
              <w:t>January 31,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2"/>
              </w:rPr>
              <w:t>Shares Issued</w:t>
            </w:r>
          </w:p>
        </w:tc>
        <w:tc>
          <w:tcPr>
            <w:tcW w:w="80" w:type="dxa"/>
            <w:vAlign w:val="bottom"/>
          </w:tcPr>
          <w:p>
            <w:pPr>
              <w:spacing w:after="0"/>
              <w:rPr>
                <w:sz w:val="11"/>
                <w:szCs w:val="11"/>
                <w:color w:val="auto"/>
              </w:rPr>
            </w:pPr>
          </w:p>
        </w:tc>
        <w:tc>
          <w:tcPr>
            <w:tcW w:w="1000" w:type="dxa"/>
            <w:vAlign w:val="bottom"/>
            <w:gridSpan w:val="4"/>
          </w:tcPr>
          <w:p>
            <w:pPr>
              <w:jc w:val="center"/>
              <w:ind w:right="200"/>
              <w:spacing w:after="0" w:line="129" w:lineRule="exact"/>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00" w:type="dxa"/>
            <w:vAlign w:val="bottom"/>
            <w:gridSpan w:val="4"/>
          </w:tcPr>
          <w:p>
            <w:pPr>
              <w:jc w:val="center"/>
              <w:ind w:right="212"/>
              <w:spacing w:after="0" w:line="149"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1200" w:type="dxa"/>
            <w:vAlign w:val="bottom"/>
            <w:gridSpan w:val="4"/>
          </w:tcPr>
          <w:p>
            <w:pPr>
              <w:jc w:val="center"/>
              <w:ind w:right="212"/>
              <w:spacing w:after="0"/>
              <w:rPr>
                <w:sz w:val="20"/>
                <w:szCs w:val="20"/>
                <w:color w:val="auto"/>
              </w:rPr>
            </w:pPr>
            <w:r>
              <w:rPr>
                <w:rFonts w:ascii="Arial" w:cs="Arial" w:eastAsia="Arial" w:hAnsi="Arial"/>
                <w:sz w:val="14"/>
                <w:szCs w:val="14"/>
                <w:b w:val="1"/>
                <w:bCs w:val="1"/>
                <w:color w:val="auto"/>
                <w:w w:val="87"/>
              </w:rPr>
              <w:t>Authorized</w:t>
            </w:r>
          </w:p>
        </w:tc>
        <w:tc>
          <w:tcPr>
            <w:tcW w:w="1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Outstanding</w:t>
            </w:r>
          </w:p>
        </w:tc>
        <w:tc>
          <w:tcPr>
            <w:tcW w:w="80" w:type="dxa"/>
            <w:vAlign w:val="bottom"/>
          </w:tcPr>
          <w:p>
            <w:pPr>
              <w:spacing w:after="0"/>
              <w:rPr>
                <w:sz w:val="14"/>
                <w:szCs w:val="14"/>
                <w:color w:val="auto"/>
              </w:rPr>
            </w:pPr>
          </w:p>
        </w:tc>
        <w:tc>
          <w:tcPr>
            <w:tcW w:w="10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Borders>
              <w:lef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2380" w:type="dxa"/>
            <w:vAlign w:val="bottom"/>
            <w:tcBorders>
              <w:lef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7,131,860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4,706,017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15,886,621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15,845,363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41,234,841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41,148,282</w:t>
            </w:r>
          </w:p>
        </w:tc>
        <w:tc>
          <w:tcPr>
            <w:tcW w:w="1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345,997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0"/>
              </w:rPr>
              <w:t>April 30, 2017</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3"/>
          </w:tcPr>
          <w:p>
            <w:pPr>
              <w:jc w:val="right"/>
              <w:ind w:right="212"/>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Issued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Redeemable Convertible Preferred Stock</w:t>
            </w:r>
          </w:p>
        </w:tc>
        <w:tc>
          <w:tcPr>
            <w:tcW w:w="280" w:type="dxa"/>
            <w:vAlign w:val="bottom"/>
          </w:tcPr>
          <w:p>
            <w:pPr>
              <w:spacing w:after="0"/>
              <w:rPr>
                <w:sz w:val="14"/>
                <w:szCs w:val="14"/>
                <w:color w:val="auto"/>
              </w:rPr>
            </w:pPr>
          </w:p>
        </w:tc>
        <w:tc>
          <w:tcPr>
            <w:tcW w:w="92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Authorized</w:t>
            </w:r>
          </w:p>
        </w:tc>
        <w:tc>
          <w:tcPr>
            <w:tcW w:w="160" w:type="dxa"/>
            <w:vAlign w:val="bottom"/>
          </w:tcPr>
          <w:p>
            <w:pPr>
              <w:spacing w:after="0"/>
              <w:rPr>
                <w:sz w:val="14"/>
                <w:szCs w:val="14"/>
                <w:color w:val="auto"/>
              </w:rPr>
            </w:pPr>
          </w:p>
        </w:tc>
        <w:tc>
          <w:tcPr>
            <w:tcW w:w="840" w:type="dxa"/>
            <w:vAlign w:val="bottom"/>
            <w:gridSpan w:val="2"/>
          </w:tcPr>
          <w:p>
            <w:pPr>
              <w:jc w:val="center"/>
              <w:ind w:left="10"/>
              <w:spacing w:after="0"/>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1920" w:type="dxa"/>
            <w:vAlign w:val="bottom"/>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3,311,258</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7,131,860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3,520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6,041,034</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4,706,017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19,936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E</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4,158,051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4,112,750</w:t>
            </w:r>
          </w:p>
        </w:tc>
        <w:tc>
          <w:tcPr>
            <w:tcW w:w="16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Series F</w:t>
            </w:r>
          </w:p>
        </w:tc>
        <w:tc>
          <w:tcPr>
            <w:tcW w:w="28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15,886,621</w:t>
            </w:r>
          </w:p>
        </w:tc>
        <w:tc>
          <w:tcPr>
            <w:tcW w:w="16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15,845,363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redeemable convertible preferred stock</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41,234,841</w:t>
            </w:r>
          </w:p>
        </w:tc>
        <w:tc>
          <w:tcPr>
            <w:tcW w:w="108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41,148,282</w:t>
            </w:r>
          </w:p>
        </w:tc>
        <w:tc>
          <w:tcPr>
            <w:tcW w:w="26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345,997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terms of our redeemable convertible preferred stock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share of redeemable convertible preferred stock is convertible at the option of the holder into such number of Class B common stock as is determined by dividing the original issue price of the</w:t>
      </w:r>
    </w:p>
    <w:p>
      <w:pPr>
        <w:spacing w:after="0" w:line="1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applicable series of redeemable convertible preferred stock by the conversion price for the applicable series of redeemable convertible preferred stock in effect at the time of the conversion. The conversion price and the original purchase price for each series of redeemable convertible preferred stock is subject to adjustment for certain events, including subdivisions, dividends, stock splits or combinations of common stock, reclassifications, exchange and substitution or for dilutive issuances. All shares of redeemable convertible preferred stock will be automatically converted to Class B common stock at the then-effective conversion rate following the approval, (a) by affirmative vote, written consent, or agreement, of the holders of at least 50% of the outstanding redeemable convertible preferred stock (including at least 50% of the outstanding Series F redeemable convertible preferred stock unless the conversion is in connection with the consummation of a redeemable convertible preferred stock financing at a price per share less than the Series F redeemable convertible preferred stock conversion price) or (b) upon closing of the sale of our Class A common stock to the public, in a firm-commitment underwritten public offering listed on the NASDAQ Stock Market or the New York Stock Exchange, pursuant to an effective registration statement under the Securities Act of 1933, as amended, resulting in at least $40.0 million in gross proceeds to us, constituting a qualifying IPO. As of January 31, 2016 and 2017 and April 30, 2017 (unaudited), the Series A, B, C, D and E redeemable convertible preferred stock are convertible into shares of Class B common stock at 1:1.5, and the Series F redeemable convertible preferred stock is convertible into shares of Class B common stock at 1:1.</w:t>
      </w:r>
    </w:p>
    <w:p>
      <w:pPr>
        <w:spacing w:after="0" w:line="17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i w:val="1"/>
          <w:iCs w:val="1"/>
          <w:color w:val="auto"/>
        </w:rPr>
        <w:t xml:space="preserve">Adjustment of Conversion Price for Qualifying Dilutive Issuances. </w:t>
      </w:r>
      <w:r>
        <w:rPr>
          <w:rFonts w:ascii="Arial" w:cs="Arial" w:eastAsia="Arial" w:hAnsi="Arial"/>
          <w:sz w:val="16"/>
          <w:szCs w:val="16"/>
          <w:color w:val="auto"/>
        </w:rPr>
        <w:t>In the event we issue additional shares of Class B common stock after the original issue</w:t>
      </w:r>
      <w:r>
        <w:rPr>
          <w:rFonts w:ascii="Arial" w:cs="Arial" w:eastAsia="Arial" w:hAnsi="Arial"/>
          <w:sz w:val="16"/>
          <w:szCs w:val="16"/>
          <w:i w:val="1"/>
          <w:iCs w:val="1"/>
          <w:color w:val="auto"/>
        </w:rPr>
        <w:t xml:space="preserve"> </w:t>
      </w:r>
      <w:r>
        <w:rPr>
          <w:rFonts w:ascii="Arial" w:cs="Arial" w:eastAsia="Arial" w:hAnsi="Arial"/>
          <w:sz w:val="16"/>
          <w:szCs w:val="16"/>
          <w:color w:val="auto"/>
        </w:rPr>
        <w:t>date without consideration or for a consideration per share less than the redeemable convertible preferred stock conversion price in effect immediately prior to such issuance, the conversion price will be reduced to a price equal to such conversion price multiplied by the following fraction:</w:t>
      </w:r>
    </w:p>
    <w:p>
      <w:pPr>
        <w:spacing w:after="0" w:line="174" w:lineRule="exact"/>
        <w:rPr>
          <w:sz w:val="20"/>
          <w:szCs w:val="20"/>
          <w:color w:val="auto"/>
        </w:rPr>
      </w:pPr>
    </w:p>
    <w:p>
      <w:pPr>
        <w:jc w:val="both"/>
        <w:ind w:left="1080" w:right="100" w:hanging="532"/>
        <w:spacing w:after="0" w:line="306" w:lineRule="auto"/>
        <w:tabs>
          <w:tab w:leader="none" w:pos="10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numerator of which is equal to the sum of (i) the number of shares of Class B common stock outstanding immediately prior to such issuance; and (ii) the number of shares of Class B common stock that would have been issued if such additional shares of Class B common stock had been issued at a price per share equal to the conversion price in effect immediately prior to such issuance; and</w:t>
      </w:r>
    </w:p>
    <w:p>
      <w:pPr>
        <w:spacing w:after="0" w:line="187"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denominator of which is equal to the number of shares of Class B common stock outstanding immediately prior to such issuance plus the number of additional shares of Class B common stock so issued.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Upon liquidation, dissolution, winding up of the Company, or a change in control, each a deemed liquidation event, either voluntarily or involuntarily, the holders of redeemable convertible preferred stock will receive an amount per share equal to the greater of: (i) the original issue price plus any dividends declared but unpaid theron; or (ii) such amount per share as would have been payable had all series of redeemable convertible preferred stock been converted into Class B common stock, on a pari passu basis, and prior and in preference to any payment or distribution to holders of common stock. The original issue price for the Series A, B, C, D, E, F redeemable convertible preferred stock is $0.453, $0.493537, $1.079573108, $4.2498787, $12.024864, and $16.724127 per share, respectively. If assets remain available for distribution after the distribution of all preferential amounts to holders of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Redeemable Convertible Preferred Stock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redeemable convertible preferred stockholders, the remaining assets will be distributed on an equal priority to the holders of Class A and Class B common stock on a pro rata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holders of the redeemable convertible preferred stock are entitled to the number of votes equal to the number of shares of Class B common stock into which its respective shares of redeemable convertible preferred stock is convertible on the record date for the vote. The holders of Series E redeemable convertible preferred stock are entitled to elect one non-voting director. The holders of Series A, Series B and Series D redeemable convertible preferred stock, each voting as a separate class, are each entitled to elect one director. The holders of common stock, voting as a separate class, are entitled to elect four directors. The holders of redeemable convertible preferred stock and common stock, voting together as a single class on an as-if-converted basis, are entitled to elect the remaining directors.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right="180" w:firstLine="351"/>
        <w:spacing w:after="0" w:line="294" w:lineRule="auto"/>
        <w:rPr>
          <w:sz w:val="20"/>
          <w:szCs w:val="20"/>
          <w:color w:val="auto"/>
        </w:rPr>
      </w:pPr>
      <w:r>
        <w:rPr>
          <w:rFonts w:ascii="Arial" w:cs="Arial" w:eastAsia="Arial" w:hAnsi="Arial"/>
          <w:sz w:val="16"/>
          <w:szCs w:val="16"/>
          <w:color w:val="auto"/>
        </w:rPr>
        <w:t>Holders of redeemable convertible preferred stock are entitled to receive noncumulative dividends at the rate of 8% of their applicable original issue price per share (as adjusted for any stock dividends, combinations, recapitalizations, or stock splits), on a pari passu basis when, as, and if, declared by our Board of Directors. No dividends will be paid to holders of common stock at a rate greater than that paid to the holders of redeemable convertible preferred stock. After payment in full of such amounts as set forth above, any additional dividends declared will be distributed among all holders of redeemable convertible preferred stock and common stock on an as-if-converted basis. No dividends have been declared by our Board of Directors for any of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Our redeemable convertible preferred stock does not contain any date-certain redemption features. Shares of redeemable convertible preferred stock are redeemable at a price equal to their applicable original issue price, plus all declared but unpaid dividends thereon, in three annual installments commencing not more than 60 days after receipt of written notice from holders of at least 50% of the then-outstanding shares of redeemable convertible preferred stock on or after October 2, 2018.</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classify our redeemable convertible preferred stock outside of stockholders' deficit since the redemption of the redeemable convertible preferred stock, including the occurrence of deemed liquidation event, is not solely within our control. The carrying values of the redeemable convertible preferred stock were not adjusted to its redemption amount or liquidation values since the redemption or deemed liquidation event was not probable at any of the balance sheet dates. Subsequent adjustments to increase or decrease the carrying values to the ultimate redemption amount or liquidation values will be made only if and when it becomes probable that such an event will occur.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two classes of common stock, Class A and Class B. The rights of the holders of Class A and Class B common stock are identical, except with respect to voting. Each share of Class A common stock is entitled to one vote per share. Each share of Class B common stock is entitled to 10 votes per share. Shares of Class B common stock may be converted to Class A common stock at any time at the option of the stockholder. Shares of Class B common stock automatically convert to Class A common stock following the closing of the IPO upon the following: (i) sale or transfer of such share of Class B common stock, subject to specified permitted transfers; (ii) the death of the Class B common stockholder (or nine months after the date of death if the stockholder is one of the founders); and (iii) on the final conversion date, defined as the earlier of (a) the first trading day on or after the date on which the outstanding shares of Class B common stock represent less than 10% of the then-outstanding Class A and Class B common stock; or (b) the date specified by vote of our Board of Directors and the holders of a majority of the outstanding shares of Class B common stock and redeemable convertible preferred stock, voting together as a single class on an as-converted basis.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Class A and Class B common stock are referred to as common stock throughout the notes to the consolidated financial statements, unless otherwise noted.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Issuance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and Class B common stock has been reserved, on an as-if-converted basis, for future issuance as follows:</w:t>
      </w:r>
    </w:p>
    <w:p>
      <w:pPr>
        <w:spacing w:after="0" w:line="275"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January 31, 2016</w:t>
      </w: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w w:val="89"/>
              </w:rPr>
              <w:t>Class A</w:t>
            </w:r>
          </w:p>
        </w:tc>
        <w:tc>
          <w:tcPr>
            <w:tcW w:w="2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880" w:type="dxa"/>
            <w:vAlign w:val="bottom"/>
            <w:gridSpan w:val="2"/>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51,706,919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color w:val="auto"/>
              </w:rPr>
              <w:t>Outstanding stock options to purchase common stock</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18,644,596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1,948,694</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582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72,653,505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6540" w:type="dxa"/>
            <w:vAlign w:val="bottom"/>
            <w:gridSpan w:val="2"/>
          </w:tcPr>
          <w:p>
            <w:pPr>
              <w:ind w:left="3820"/>
              <w:spacing w:after="0"/>
              <w:rPr>
                <w:sz w:val="20"/>
                <w:szCs w:val="20"/>
                <w:color w:val="auto"/>
              </w:rPr>
            </w:pPr>
            <w:r>
              <w:rPr>
                <w:rFonts w:ascii="Arial" w:cs="Arial" w:eastAsia="Arial" w:hAnsi="Arial"/>
                <w:sz w:val="18"/>
                <w:szCs w:val="18"/>
                <w:color w:val="auto"/>
              </w:rPr>
              <w:t>F-29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8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January 31,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690,000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21,491,188</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1,356,324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2,046,324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75,644,188</w:t>
            </w:r>
          </w:p>
        </w:tc>
        <w:tc>
          <w:tcPr>
            <w:tcW w:w="1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5900" w:type="dxa"/>
            <w:vAlign w:val="bottom"/>
          </w:tcPr>
          <w:p>
            <w:pPr>
              <w:spacing w:after="0"/>
              <w:rPr>
                <w:sz w:val="24"/>
                <w:szCs w:val="24"/>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0"/>
              </w:rPr>
              <w:t>April 30, 2017</w:t>
            </w:r>
          </w:p>
        </w:tc>
      </w:tr>
      <w:tr>
        <w:trPr>
          <w:trHeight w:val="142"/>
        </w:trPr>
        <w:tc>
          <w:tcPr>
            <w:tcW w:w="59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Class A</w:t>
            </w:r>
          </w:p>
        </w:tc>
        <w:tc>
          <w:tcPr>
            <w:tcW w:w="160" w:type="dxa"/>
            <w:vAlign w:val="bottom"/>
            <w:tcBorders>
              <w:top w:val="single" w:sz="8" w:color="auto"/>
            </w:tcBorders>
            <w:gridSpan w:val="2"/>
          </w:tcPr>
          <w:p>
            <w:pPr>
              <w:spacing w:after="0"/>
              <w:rPr>
                <w:sz w:val="12"/>
                <w:szCs w:val="12"/>
                <w:color w:val="auto"/>
              </w:rPr>
            </w:pPr>
          </w:p>
        </w:tc>
        <w:tc>
          <w:tcPr>
            <w:tcW w:w="9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2080" w:type="dxa"/>
            <w:vAlign w:val="bottom"/>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outstanding redeemable convertible preferred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109,209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244,087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Outstanding stock options to purchase common stock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4,787,175</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19,600,909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Options available for future issuance</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3,698,647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900" w:type="dxa"/>
            <w:vAlign w:val="bottom"/>
          </w:tcPr>
          <w:p>
            <w:pPr>
              <w:ind w:left="1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8,485,822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73,753,909</w:t>
            </w:r>
          </w:p>
        </w:tc>
        <w:tc>
          <w:tcPr>
            <w:tcW w:w="16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 Warrants</w:t>
      </w:r>
    </w:p>
    <w:p>
      <w:pPr>
        <w:spacing w:after="0" w:line="225" w:lineRule="exact"/>
        <w:rPr>
          <w:sz w:val="20"/>
          <w:szCs w:val="20"/>
          <w:color w:val="auto"/>
        </w:rPr>
      </w:pPr>
    </w:p>
    <w:p>
      <w:pPr>
        <w:ind w:right="240" w:firstLine="351"/>
        <w:spacing w:after="0" w:line="303" w:lineRule="auto"/>
        <w:rPr>
          <w:sz w:val="20"/>
          <w:szCs w:val="20"/>
          <w:color w:val="auto"/>
        </w:rPr>
      </w:pPr>
      <w:r>
        <w:rPr>
          <w:rFonts w:ascii="Arial" w:cs="Arial" w:eastAsia="Arial" w:hAnsi="Arial"/>
          <w:sz w:val="15"/>
          <w:szCs w:val="15"/>
          <w:color w:val="auto"/>
        </w:rPr>
        <w:t>In June 2012 and July 2013, in connection with a software development contract with a customer, we issued warrants to purchase Series E and Series F redeemable convertible preferred stock at an exercise price of $0.01 per share. The number of shares of redeemable convertible preferred stock available for purchase under the warrant is determined based on a pro rata portion of installation payments received from the customer. The warrants expire at the earlier of</w:t>
      </w:r>
    </w:p>
    <w:p>
      <w:pPr>
        <w:spacing w:after="0" w:line="1" w:lineRule="exact"/>
        <w:rPr>
          <w:sz w:val="20"/>
          <w:szCs w:val="20"/>
          <w:color w:val="auto"/>
        </w:rPr>
      </w:pPr>
    </w:p>
    <w:p>
      <w:pPr>
        <w:ind w:firstLine="8"/>
        <w:spacing w:after="0" w:line="287" w:lineRule="auto"/>
        <w:tabs>
          <w:tab w:leader="none" w:pos="21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June 29, 2017 for Series E warrants and July 31, 2018 for Series F warrants; and (ii) the consummation of an acceleration event, including sale of all or substantially all of our assets, change in control, closing of a firm-commitment underwritten public offering, and completion of a liquidation event. During the year ended January 31, 2016, we issued 9,148 shares of Series F warrants under the arrangement and determined the fair value on issuance date to be $151,000. These warrants were recognized as a reduction of deferred revenue with a corresponding increase in redeemable convertible preferred stock warrant liability. The fair value was estimated using the Black-Scholes pricing model based on the following assumptions: expected term of 2.75 years, risk-free interest rate of 0.98%, expected volatility of 39.0% and expected dividend yield of 0%. As of January 31, 2016 and 2017 and April 30, 2017 (unaudited), 43,222 shares of Series E redeemable convertible preferred stock warrants and 41,258 shares of Series F redeemable convertible preferred stock warrants were outstanding. No additional warrant shares are issuable under the arrangement.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In November 2012, in connection with a service contract with another customer, we issued a warrant to purchase 2,079 shares of Series E redeemable convertible preferred stock at an exercise price of $12.025 per share. The warrant expires at the earlier of (i) November 5, 2017; (ii) the date of closing of the issuance and sale of shares of common stock in an initial public offering; (iii) change in control; and (iv) sale of all or substantially all of our assets. As of January 31, 2016 and 2017 and April 30, 2017 (unaudited), all of these warrants were still outstanding.</w:t>
      </w:r>
    </w:p>
    <w:p>
      <w:pPr>
        <w:spacing w:after="0" w:line="167" w:lineRule="exact"/>
        <w:rPr>
          <w:sz w:val="20"/>
          <w:szCs w:val="20"/>
          <w:color w:val="auto"/>
        </w:rPr>
      </w:pPr>
    </w:p>
    <w:p>
      <w:pPr>
        <w:jc w:val="both"/>
        <w:ind w:right="80" w:firstLine="348"/>
        <w:spacing w:after="0" w:line="298" w:lineRule="auto"/>
        <w:rPr>
          <w:sz w:val="20"/>
          <w:szCs w:val="20"/>
          <w:color w:val="auto"/>
        </w:rPr>
      </w:pPr>
      <w:r>
        <w:rPr>
          <w:rFonts w:ascii="Arial" w:cs="Arial" w:eastAsia="Arial" w:hAnsi="Arial"/>
          <w:sz w:val="16"/>
          <w:szCs w:val="16"/>
          <w:color w:val="auto"/>
        </w:rPr>
        <w:t>The redeemable convertible preferred stock warrants are classified as a liability on the consolidated balance sheet. At each reporting date, we remeasure the redeemable convertible preferred stock warrant liabilities to their fair value and changes in fair value of warrant liability are recorded in other income (expense), net in the consolidated statements of operations. As of January 31, 2016 and 2017 and April 30, 2017 (unaudited), we estimated the fair value of the redeemable convertible preferred stock warrants using the Black-Scholes option-pricing model with the following assumptions:</w:t>
      </w:r>
    </w:p>
    <w:p>
      <w:pPr>
        <w:spacing w:after="0" w:line="3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January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April 30,</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160" w:type="dxa"/>
            <w:vAlign w:val="bottom"/>
            <w:gridSpan w:val="3"/>
          </w:tcPr>
          <w:p>
            <w:pPr>
              <w:jc w:val="center"/>
              <w:ind w:left="74"/>
              <w:spacing w:after="0" w:line="142" w:lineRule="exact"/>
              <w:rPr>
                <w:sz w:val="20"/>
                <w:szCs w:val="20"/>
                <w:color w:val="auto"/>
              </w:rPr>
            </w:pPr>
            <w:r>
              <w:rPr>
                <w:rFonts w:ascii="Arial" w:cs="Arial" w:eastAsia="Arial" w:hAnsi="Arial"/>
                <w:sz w:val="14"/>
                <w:szCs w:val="14"/>
                <w:b w:val="1"/>
                <w:bCs w:val="1"/>
                <w:color w:val="auto"/>
                <w:w w:val="89"/>
              </w:rPr>
              <w:t>2017</w:t>
            </w:r>
          </w:p>
        </w:tc>
        <w:tc>
          <w:tcPr>
            <w:tcW w:w="1140" w:type="dxa"/>
            <w:vAlign w:val="bottom"/>
            <w:gridSpan w:val="3"/>
          </w:tcPr>
          <w:p>
            <w:pPr>
              <w:jc w:val="center"/>
              <w:ind w:left="74"/>
              <w:spacing w:after="0" w:line="142" w:lineRule="exact"/>
              <w:rPr>
                <w:sz w:val="20"/>
                <w:szCs w:val="20"/>
                <w:color w:val="auto"/>
              </w:rPr>
            </w:pPr>
            <w:r>
              <w:rPr>
                <w:rFonts w:ascii="Arial" w:cs="Arial" w:eastAsia="Arial" w:hAnsi="Arial"/>
                <w:sz w:val="14"/>
                <w:szCs w:val="14"/>
                <w:b w:val="1"/>
                <w:bCs w:val="1"/>
                <w:color w:val="auto"/>
                <w:w w:val="83"/>
              </w:rPr>
              <w:t>2017</w:t>
            </w: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Series E Redeemable Convertible Preferred Stock Warrants</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540" w:type="dxa"/>
            <w:vAlign w:val="bottom"/>
          </w:tcPr>
          <w:p>
            <w:pPr>
              <w:ind w:left="20"/>
              <w:spacing w:after="0"/>
              <w:rPr>
                <w:sz w:val="20"/>
                <w:szCs w:val="20"/>
                <w:color w:val="auto"/>
              </w:rPr>
            </w:pPr>
            <w:r>
              <w:rPr>
                <w:rFonts w:ascii="Arial" w:cs="Arial" w:eastAsia="Arial" w:hAnsi="Arial"/>
                <w:sz w:val="18"/>
                <w:szCs w:val="18"/>
                <w:color w:val="auto"/>
              </w:rPr>
              <w:t>- 1.76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0.41</w:t>
            </w:r>
          </w:p>
        </w:tc>
        <w:tc>
          <w:tcPr>
            <w:tcW w:w="560" w:type="dxa"/>
            <w:vAlign w:val="bottom"/>
          </w:tcPr>
          <w:p>
            <w:pPr>
              <w:ind w:left="20"/>
              <w:spacing w:after="0"/>
              <w:rPr>
                <w:sz w:val="20"/>
                <w:szCs w:val="20"/>
                <w:color w:val="auto"/>
              </w:rPr>
            </w:pPr>
            <w:r>
              <w:rPr>
                <w:rFonts w:ascii="Arial" w:cs="Arial" w:eastAsia="Arial" w:hAnsi="Arial"/>
                <w:sz w:val="18"/>
                <w:szCs w:val="18"/>
                <w:color w:val="auto"/>
              </w:rPr>
              <w:t>- 0.76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0.16</w:t>
            </w:r>
          </w:p>
        </w:tc>
        <w:tc>
          <w:tcPr>
            <w:tcW w:w="540" w:type="dxa"/>
            <w:vAlign w:val="bottom"/>
          </w:tcPr>
          <w:p>
            <w:pPr>
              <w:ind w:left="20"/>
              <w:spacing w:after="0"/>
              <w:rPr>
                <w:sz w:val="20"/>
                <w:szCs w:val="20"/>
                <w:color w:val="auto"/>
              </w:rPr>
            </w:pPr>
            <w:r>
              <w:rPr>
                <w:rFonts w:ascii="Arial" w:cs="Arial" w:eastAsia="Arial" w:hAnsi="Arial"/>
                <w:sz w:val="18"/>
                <w:szCs w:val="18"/>
                <w:color w:val="auto"/>
              </w:rPr>
              <w:t>- 0.52</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- 38%</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0.6%</w:t>
            </w:r>
          </w:p>
        </w:tc>
        <w:tc>
          <w:tcPr>
            <w:tcW w:w="540" w:type="dxa"/>
            <w:vAlign w:val="bottom"/>
          </w:tcPr>
          <w:p>
            <w:pPr>
              <w:ind w:left="20"/>
              <w:spacing w:after="0"/>
              <w:rPr>
                <w:sz w:val="20"/>
                <w:szCs w:val="20"/>
                <w:color w:val="auto"/>
              </w:rPr>
            </w:pPr>
            <w:r>
              <w:rPr>
                <w:rFonts w:ascii="Arial" w:cs="Arial" w:eastAsia="Arial" w:hAnsi="Arial"/>
                <w:sz w:val="18"/>
                <w:szCs w:val="18"/>
                <w:color w:val="auto"/>
                <w:w w:val="96"/>
              </w:rPr>
              <w:t>- 0.7%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560" w:type="dxa"/>
            <w:vAlign w:val="bottom"/>
          </w:tcPr>
          <w:p>
            <w:pPr>
              <w:ind w:left="20"/>
              <w:spacing w:after="0"/>
              <w:rPr>
                <w:sz w:val="20"/>
                <w:szCs w:val="20"/>
                <w:color w:val="auto"/>
              </w:rPr>
            </w:pPr>
            <w:r>
              <w:rPr>
                <w:rFonts w:ascii="Arial" w:cs="Arial" w:eastAsia="Arial" w:hAnsi="Arial"/>
                <w:sz w:val="18"/>
                <w:szCs w:val="18"/>
                <w:color w:val="auto"/>
                <w:w w:val="99"/>
              </w:rPr>
              <w:t>- 0.7%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540" w:type="dxa"/>
            <w:vAlign w:val="bottom"/>
          </w:tcPr>
          <w:p>
            <w:pPr>
              <w:ind w:left="20"/>
              <w:spacing w:after="0"/>
              <w:rPr>
                <w:sz w:val="20"/>
                <w:szCs w:val="20"/>
                <w:color w:val="auto"/>
              </w:rPr>
            </w:pPr>
            <w:r>
              <w:rPr>
                <w:rFonts w:ascii="Arial" w:cs="Arial" w:eastAsia="Arial" w:hAnsi="Arial"/>
                <w:sz w:val="18"/>
                <w:szCs w:val="18"/>
                <w:color w:val="auto"/>
                <w:w w:val="96"/>
              </w:rPr>
              <w:t>- 1.0%</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0%</w:t>
            </w:r>
          </w:p>
        </w:tc>
        <w:tc>
          <w:tcPr>
            <w:tcW w:w="11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92"/>
              </w:rPr>
              <w:t>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2"/>
              </w:rPr>
              <w:t>0%</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Series F Redeemable Convertible Preferred Stock Warrants</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2.5</w:t>
            </w:r>
          </w:p>
        </w:tc>
        <w:tc>
          <w:tcPr>
            <w:tcW w:w="116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1.5</w:t>
            </w:r>
          </w:p>
        </w:tc>
        <w:tc>
          <w:tcPr>
            <w:tcW w:w="114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5"/>
              </w:rPr>
              <w:t>1.25</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4"/>
              </w:rPr>
              <w:t>38%</w:t>
            </w:r>
          </w:p>
        </w:tc>
        <w:tc>
          <w:tcPr>
            <w:tcW w:w="1160" w:type="dxa"/>
            <w:vAlign w:val="bottom"/>
            <w:gridSpan w:val="3"/>
          </w:tcPr>
          <w:p>
            <w:pPr>
              <w:jc w:val="center"/>
              <w:ind w:left="74"/>
              <w:spacing w:after="0"/>
              <w:rPr>
                <w:sz w:val="20"/>
                <w:szCs w:val="20"/>
                <w:color w:val="auto"/>
              </w:rPr>
            </w:pPr>
            <w:r>
              <w:rPr>
                <w:rFonts w:ascii="Arial" w:cs="Arial" w:eastAsia="Arial" w:hAnsi="Arial"/>
                <w:sz w:val="18"/>
                <w:szCs w:val="18"/>
                <w:color w:val="auto"/>
                <w:w w:val="88"/>
              </w:rPr>
              <w:t>41%</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88"/>
              </w:rPr>
              <w:t>37%</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160" w:type="dxa"/>
            <w:vAlign w:val="bottom"/>
            <w:gridSpan w:val="3"/>
            <w:shd w:val="clear" w:color="auto" w:fill="CCEEFF"/>
          </w:tcPr>
          <w:p>
            <w:pPr>
              <w:jc w:val="center"/>
              <w:ind w:left="74"/>
              <w:spacing w:after="0"/>
              <w:rPr>
                <w:sz w:val="20"/>
                <w:szCs w:val="20"/>
                <w:color w:val="auto"/>
              </w:rPr>
            </w:pPr>
            <w:r>
              <w:rPr>
                <w:rFonts w:ascii="Arial" w:cs="Arial" w:eastAsia="Arial" w:hAnsi="Arial"/>
                <w:sz w:val="18"/>
                <w:szCs w:val="18"/>
                <w:color w:val="auto"/>
                <w:w w:val="87"/>
              </w:rPr>
              <w:t>1.0%</w:t>
            </w:r>
          </w:p>
        </w:tc>
        <w:tc>
          <w:tcPr>
            <w:tcW w:w="114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7"/>
              </w:rPr>
              <w:t>1.1%</w:t>
            </w:r>
          </w:p>
        </w:tc>
      </w:tr>
      <w:tr>
        <w:trPr>
          <w:trHeight w:val="222"/>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4"/>
              </w:rPr>
              <w:t>0%</w:t>
            </w:r>
          </w:p>
        </w:tc>
        <w:tc>
          <w:tcPr>
            <w:tcW w:w="116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54"/>
              <w:spacing w:after="0"/>
              <w:rPr>
                <w:sz w:val="20"/>
                <w:szCs w:val="20"/>
                <w:color w:val="auto"/>
              </w:rPr>
            </w:pPr>
            <w:r>
              <w:rPr>
                <w:rFonts w:ascii="Arial" w:cs="Arial" w:eastAsia="Arial" w:hAnsi="Arial"/>
                <w:sz w:val="18"/>
                <w:szCs w:val="18"/>
                <w:color w:val="auto"/>
                <w:w w:val="92"/>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April 2013, in connection with a lease agreement and a loan agreement with the same financial institution, we issued immediately exercisable and fully vested warrants to purchase an aggregate of 232,516 shares of Class B common stock at an exercise price of $2.86 per share. These warrants expire at the later of (i) April 29, 2020; or (ii) five years from the effective date of an initial public offering closed prior to April 29, 2020.</w:t>
      </w:r>
    </w:p>
    <w:p>
      <w:pPr>
        <w:spacing w:after="0" w:line="16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April 2013, in connection with a loan agreement with another financial institution, we issued immediately exercisable and fully vested warrants to purchase 11,571 shares of Class B common stock at an exercise price of $2.86 per share. These warrants expire at the earlier of (i) April 29, 2023; and (ii) a change in control event including sale of all or substantially all of our assets, merge or consolidation of the Company in which the stockholders immediately prior to such merger own less than a majority of the outstanding voting power of the successor entity, and sale or transfer of shares representing at least a majority of our then-outstanding combined voting power.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 (Continued)</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Warrants to purchase Class B common stock are accounted for as equity instruments. We estimated the aggregate fair value of the common stock warrants on issuance date to be $0.3 million, which was recorded in additional paid-in capital on the consolidated balance sheets. No common stock warrants were granted or exercised during the years ended January 31, 2016 and 2017 and the three months ended April 30, 2017 (unaudited).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and 2016 Stock Plan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5"/>
          <w:szCs w:val="15"/>
          <w:color w:val="auto"/>
        </w:rPr>
        <w:t>In 2008 and 2016, we adopted the 2008 Stock Incentive Plan as amended, or the 2008 Plan, and the 2016 Equity Incentive Plan, or the 2016 Plan, for the purpose of granting stock-based awards to employees, directors, and consultants, including stock options and other stock-based awards including restricted stock units. With the establishment of the 2016 Plan in December 2016, all shares available for grant under the 2008 Plan were transferred to the 2016 Plan. We no longer grant any stock-based awards under the 2008 Plan and any shares underlying stock options cancelled under the 2008 Plan will be automatically transferred to the 2016 Plan. Stock options granted under the stock option plans may be either incentive stock options, or ISOs, or nonstatutory stock options, or NSOs. ISOs may be granted to employees and NSOs may be granted to employees, directors, or consultants. As of January 31, 2017, we made one ISO grant, all other stock options outstanding were granted as NSOs. The exercise prices of the stock option grants must be not less than 100% of the fair value of the common stock on the grant date as determined by the Board of Directors. If, at the date of grant, the optionee owns more than 10% of the total combined voting power of all classes of outstanding stock, or a 10% stockholder, the exercise price must be at least 110% of the fair value of the common stock on the date of grant as determined by the Board of Directors. Options granted are exercisable over a maximum term of 10 years from the date of grant or five years from the date of grant for ISOs granted to any 10% stockholder. Stock option awards generally vest over a period of four years with 25% vesting on the one year anniversary of the award and the remainder vesting monthly over the next 36 months of the grantee's service to the Company. All outstanding restricted stock awards were fully vested in January 2014, and no restricted stock awards were granted during the years ended January 31, 2016 and 2017 and the three months ended April 30, 2017 (unaudited). Our Board of Directors determines the vesting schedule for all equity awards. We generally perform a valuation analysis of our common stock on a quarterly basis.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stock option activity for the 2008 and 2016 Plans (in thousands, except share and per share data and years):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1"/>
              </w:rPr>
              <w:t>Options Outstanding</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Available</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8"/>
              </w:rPr>
              <w:t>Price Per</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Term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for Grant</w:t>
            </w:r>
          </w:p>
        </w:tc>
        <w:tc>
          <w:tcPr>
            <w:tcW w:w="160" w:type="dxa"/>
            <w:vAlign w:val="bottom"/>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2,166,489</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17,054,813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2,500,000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(5,051,818)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(1,158,830)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2,303,205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(2,303,205)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30,818</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1,948,694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18,644,596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(8,808,462)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8,808,462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(3,068,490)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2,203,380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(2,203,380)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Early exercised shares repurchased</w:t>
            </w:r>
          </w:p>
        </w:tc>
        <w:tc>
          <w:tcPr>
            <w:tcW w:w="900" w:type="dxa"/>
            <w:vAlign w:val="bottom"/>
          </w:tcPr>
          <w:p>
            <w:pPr>
              <w:jc w:val="right"/>
              <w:spacing w:after="0"/>
              <w:rPr>
                <w:sz w:val="20"/>
                <w:szCs w:val="20"/>
                <w:color w:val="auto"/>
              </w:rPr>
            </w:pPr>
            <w:r>
              <w:rPr>
                <w:rFonts w:ascii="Arial" w:cs="Arial" w:eastAsia="Arial" w:hAnsi="Arial"/>
                <w:sz w:val="18"/>
                <w:szCs w:val="18"/>
                <w:color w:val="auto"/>
              </w:rPr>
              <w:t>12,712</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1,356,324</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22,181,188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Authorized (unaudited)</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granted (unaudited)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(4,226,750)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4,226,750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Options exercised (unaudited)</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(1,450,781)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forfeited and expired (unaudited)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569,073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(569,073)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20"/>
                <w:szCs w:val="20"/>
                <w:color w:val="auto"/>
              </w:rPr>
            </w:pPr>
            <w:r>
              <w:rPr>
                <w:rFonts w:ascii="Arial" w:cs="Arial" w:eastAsia="Arial" w:hAnsi="Arial"/>
                <w:sz w:val="18"/>
                <w:szCs w:val="18"/>
                <w:color w:val="auto"/>
              </w:rPr>
              <w:t>Balance—April 30, 2017 (unaudited)</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3,698,647</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24,388,084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exercisable—January 31, 2017</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8,688,407</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c>
          <w:tcPr>
            <w:tcW w:w="10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9,875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exercisable—April 30, 2017</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2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(unaudited)</w:t>
            </w: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8,774,428</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For the years ended January 31, 2016 and 2017 and the three months ended April 30, 2016 and 2017 (unaudited), total estimated fair value for stock-based compensation awards granted to employees was $19.0 million, $11.7 million, $7.5 million and $7.7 million, respectively. The weighted-average grant-date fair value of options granted to employees for the years ended January 31, 2016 and 2017 and the three months ended April 30, 2016 and 2017 (unaudited), was $3.77 per share, $1.46 per share, $1.42 per share and $1.84 per share, respectively. The intrinsic value of options exercised for the years ended January 31, 2016 and 2017 and the three months ended April 30, 2016 and 2017 (unaudited), was determined to be $6.5 million, $2.9 million, $0.6 million and $1.6 million, respectively.</w:t>
      </w:r>
    </w:p>
    <w:p>
      <w:pPr>
        <w:spacing w:after="0" w:line="198" w:lineRule="exact"/>
        <w:rPr>
          <w:sz w:val="20"/>
          <w:szCs w:val="20"/>
          <w:color w:val="auto"/>
        </w:rPr>
      </w:pPr>
    </w:p>
    <w:p>
      <w:pPr>
        <w:ind w:right="660" w:firstLine="348"/>
        <w:spacing w:after="0" w:line="332" w:lineRule="auto"/>
        <w:rPr>
          <w:sz w:val="20"/>
          <w:szCs w:val="20"/>
          <w:color w:val="auto"/>
        </w:rPr>
      </w:pPr>
      <w:r>
        <w:rPr>
          <w:rFonts w:ascii="Arial" w:cs="Arial" w:eastAsia="Arial" w:hAnsi="Arial"/>
          <w:sz w:val="16"/>
          <w:szCs w:val="16"/>
          <w:color w:val="auto"/>
        </w:rPr>
        <w:t>The total grant date fair value of options vested for the years ended January 31, 2016 and 2017 and the three months ended April 30, 2016 and 2017 (unaudited), was $11.6 million, $15.5 million, $9.7 million and $3.4 million, respectively. As of January 31, 2017 and April 30, 2017 (unaudited),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had stock-based compensation expenses of $36.7 million and $39.4 million, respectively, related to unvested stock options that we expect to recognize over a weighted-average period of 2.59 years and 2.72 years,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Repricing</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On April 13, 2016, we amended all then-current employee and active non-employee stock options with an exercise price greater than $3.25 per share that remained outstanding and unexercised on such date to reprice their respective exercise prices to $3.25 per share, the fair market value of our common stock as of April 13, 2016, as determined by the Board of Directors. Pursuant to this repricing, options to purchase 13,797,483 shares of common stock were repriced, including options to purchase 6,607,572 shares of common stock held by our executive officers. We determined the total incremental compensation expenses related to the repriced awards was $10.7 million, of which $5.6 million was recorded in the year ended January 31, 2017 and $0.6 million in the three months ended April 30, 2017 (unaudited).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Exercise of Stock Options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allow employees and directors to exercise options granted prior to vesting. The unvested shares are subject to lapsing repurchase rights upon termination of employment. For early exercised stock options under the 2008 Plan, the repurchase price is at the original purchase price. For early exercised stock options under the 2016 Plan, the repurchase price is the lower of (i) the then-current fair market value of the common stock on the date of repurchase, and (ii) the original purchase price. The proceeds initially are recorded in other current and noncurrent liabilities from the early exercise of stock options and reclassified to common stock and paid-in capital as the repurchase right lapses.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For the years ended January 31, 2016 and 2017 and the three months ended April 30, 2016 and 2017 (unaudited), we issued common stock of 24,213, 481,346, nil and 418,423 shares for stock options exercised prior to vesting, respectively. For the years ended January 31, 2016 and 2017 and the three months ended April 30, 2016 and 2017 (unaudited), we repurchased 30,818, 12,712, nil and 875 shares of common stock related to unvested stock options at the original exercise price due to the termination of employees. As of January 31, 2016 and 2017 and April 30, 2017 (unaudited), 30,389, 236,099 and 583,769 shares held by employees and directors were subject to potential repurchase at an aggregate price of $0.2 million, $0.8 million and $2.1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China Stock Appreciation Rights Plan</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April 2016, we adopted the 2016 China Stock Appreciation Rights Plan, or the China SAR Plan, for our employees in China. The China SAR Plan includes a service vesting condition and a performance vesting condition. The service vesting condition is generally over four years with 25% vesting on the one year anniversary of the award and the remainder vesting monthly over the next 36 months of the grantee's service to the Company. The performance vesting condition is defined as our common stock being publicly traded (a qualifying liquidity event). The China SAR Plan units are cash settled upon exercise and will be paid as a cash bonus equal to the difference between the strike price of the vested plan units and the then-current fair market value of common stock.</w:t>
      </w:r>
    </w:p>
    <w:p>
      <w:pPr>
        <w:spacing w:after="0" w:line="170"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For the year ended January 31, 2017, we granted 43,000 units of the China SAR Plan at a weighted average strike price of $3.39 per share. We granted no units under this plan for the three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months ended April 30, 2017 (unaudited). All of the units granted in the year ended January 31, 2017 are still outstanding as of January 31, 2017 and April 30, 2017 (unaudited). We did not recognize any compensation expenses related to the China SAR Plan units because we did not believe the performance conditions to be probable until the occurrence of a qualifying liquidity event.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25"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The determination of the fair value of stock options on the date of grant using an option-pricing model is affected by the estimated fair value of our common stock, as well as assumptions regarding a number of complex and subjective variables. The variables used to calculate the fair value of stock options using the Black-Scholes option-pricing model include actual and projected employee stock option exercise behaviors, expected price volatility of our common stock, the risk-free interest rate and expected dividends. Each of these inputs is subjective and generally requires significant judgment to determine.</w:t>
      </w:r>
    </w:p>
    <w:p>
      <w:pPr>
        <w:spacing w:after="0" w:line="167"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i w:val="1"/>
          <w:iCs w:val="1"/>
          <w:color w:val="auto"/>
        </w:rPr>
        <w:t xml:space="preserve">Fair Value of Common Stock. </w:t>
      </w:r>
      <w:r>
        <w:rPr>
          <w:rFonts w:ascii="Arial" w:cs="Arial" w:eastAsia="Arial" w:hAnsi="Arial"/>
          <w:sz w:val="16"/>
          <w:szCs w:val="16"/>
          <w:color w:val="auto"/>
        </w:rPr>
        <w:t>The fair value of common stock underlying the stock options has historically been determined by our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with input from our management. Because there has been no public market for our common stock, the Board of Directors has determined the fair value of the common stock at the time of grant of the options by considering a number of objective and subjective factors, including valuations of comparable companies, sales of redeemable convertible preferred stock, sale of common stock to unrelated third parties, operating and financial performance, the lack of liquidity of our capital stock, and general and industry-specific economic outlook. The fair value of the underlying common stock will be determined by the Board of Directors until such time as our common stock is listed on an established stock exchange or national market system.</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stock-based awards are expected to be outstanding. For option grants that are considered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"plain vanilla," we determine the expected term using the simplified method. The simplified method deems the term to be the average of the time-to-vesting and the contractual life of the options. For other option grants, we estimate the expected term using historical data on employee exercises and post-vesting employment termination behavior taking into account the contractual life of the award.</w:t>
      </w:r>
    </w:p>
    <w:p>
      <w:pPr>
        <w:spacing w:after="0" w:line="197"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Since we do not have a trading history of our common stock, the expected volatility is derived from the average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volatilities of several unrelated public companies within our industry that we considers to be comparable to our own business over a period equivalent to the expected term of the stock option grants.</w:t>
      </w:r>
    </w:p>
    <w:p>
      <w:pPr>
        <w:spacing w:after="0" w:line="194"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curve in effect at the time of grant for zero-coupon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notes with maturities approximately equal to the option's expected term.</w:t>
      </w:r>
    </w:p>
    <w:p>
      <w:pPr>
        <w:spacing w:after="0" w:line="186"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i w:val="1"/>
          <w:iCs w:val="1"/>
          <w:color w:val="auto"/>
        </w:rPr>
        <w:t>Dividend Rate.</w:t>
      </w:r>
      <w:r>
        <w:rPr>
          <w:sz w:val="20"/>
          <w:szCs w:val="20"/>
          <w:color w:val="auto"/>
        </w:rPr>
        <w:tab/>
      </w:r>
      <w:r>
        <w:rPr>
          <w:rFonts w:ascii="Arial" w:cs="Arial" w:eastAsia="Arial" w:hAnsi="Arial"/>
          <w:sz w:val="15"/>
          <w:szCs w:val="15"/>
          <w:color w:val="auto"/>
        </w:rPr>
        <w:t>The expected dividend was assumed to be zero as we has never paid dividends and has no current plans to do so.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stock options granted was estimated on the date of grant using the Black-Scholes option pricing model with the following assumptions: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3"/>
          </w:tcPr>
          <w:p>
            <w:pPr>
              <w:jc w:val="center"/>
              <w:ind w:left="292"/>
              <w:spacing w:after="0" w:line="149" w:lineRule="exact"/>
              <w:rPr>
                <w:sz w:val="20"/>
                <w:szCs w:val="20"/>
                <w:color w:val="auto"/>
              </w:rPr>
            </w:pPr>
            <w:r>
              <w:rPr>
                <w:rFonts w:ascii="Arial" w:cs="Arial" w:eastAsia="Arial" w:hAnsi="Arial"/>
                <w:sz w:val="14"/>
                <w:szCs w:val="14"/>
                <w:b w:val="1"/>
                <w:bCs w:val="1"/>
                <w:color w:val="auto"/>
                <w:w w:val="88"/>
              </w:rPr>
              <w:t>Ended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4400" w:type="dxa"/>
            <w:vAlign w:val="bottom"/>
          </w:tcPr>
          <w:p>
            <w:pPr>
              <w:spacing w:after="0"/>
              <w:rPr>
                <w:sz w:val="14"/>
                <w:szCs w:val="14"/>
                <w:color w:val="auto"/>
              </w:rPr>
            </w:pPr>
          </w:p>
        </w:tc>
        <w:tc>
          <w:tcPr>
            <w:tcW w:w="212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13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April 30,</w:t>
            </w:r>
          </w:p>
        </w:tc>
      </w:tr>
      <w:tr>
        <w:trPr>
          <w:trHeight w:val="142"/>
        </w:trPr>
        <w:tc>
          <w:tcPr>
            <w:tcW w:w="440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2"/>
                <w:szCs w:val="12"/>
                <w:color w:val="auto"/>
              </w:rPr>
            </w:pPr>
          </w:p>
        </w:tc>
      </w:tr>
      <w:tr>
        <w:trPr>
          <w:trHeight w:val="142"/>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5"/>
          </w:tcPr>
          <w:p>
            <w:pPr>
              <w:jc w:val="center"/>
              <w:ind w:right="16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6.08</w:t>
            </w:r>
          </w:p>
        </w:tc>
        <w:tc>
          <w:tcPr>
            <w:tcW w:w="1140" w:type="dxa"/>
            <w:vAlign w:val="bottom"/>
            <w:gridSpan w:val="3"/>
            <w:shd w:val="clear" w:color="auto" w:fill="CCEEFF"/>
          </w:tcPr>
          <w:p>
            <w:pPr>
              <w:jc w:val="center"/>
              <w:ind w:left="72"/>
              <w:spacing w:after="0"/>
              <w:rPr>
                <w:sz w:val="20"/>
                <w:szCs w:val="20"/>
                <w:color w:val="auto"/>
              </w:rPr>
            </w:pPr>
            <w:r>
              <w:rPr>
                <w:rFonts w:ascii="Arial" w:cs="Arial" w:eastAsia="Arial" w:hAnsi="Arial"/>
                <w:sz w:val="18"/>
                <w:szCs w:val="18"/>
                <w:color w:val="auto"/>
                <w:w w:val="85"/>
              </w:rPr>
              <w:t>6.29</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6.38</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6.08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Expected volatility</w:t>
            </w: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ind w:left="20"/>
              <w:spacing w:after="0"/>
              <w:rPr>
                <w:sz w:val="20"/>
                <w:szCs w:val="20"/>
                <w:color w:val="auto"/>
              </w:rPr>
            </w:pPr>
            <w:r>
              <w:rPr>
                <w:rFonts w:ascii="Arial" w:cs="Arial" w:eastAsia="Arial" w:hAnsi="Arial"/>
                <w:sz w:val="18"/>
                <w:szCs w:val="18"/>
                <w:color w:val="auto"/>
              </w:rPr>
              <w:t>- 45%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0" w:type="dxa"/>
            <w:vAlign w:val="bottom"/>
          </w:tcPr>
          <w:p>
            <w:pPr>
              <w:ind w:left="20"/>
              <w:spacing w:after="0"/>
              <w:rPr>
                <w:sz w:val="20"/>
                <w:szCs w:val="20"/>
                <w:color w:val="auto"/>
              </w:rPr>
            </w:pPr>
            <w:r>
              <w:rPr>
                <w:rFonts w:ascii="Arial" w:cs="Arial" w:eastAsia="Arial" w:hAnsi="Arial"/>
                <w:sz w:val="18"/>
                <w:szCs w:val="18"/>
                <w:color w:val="auto"/>
              </w:rPr>
              <w:t>- 44%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- 2.0%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22"/>
        </w:trPr>
        <w:tc>
          <w:tcPr>
            <w:tcW w:w="440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140" w:type="dxa"/>
            <w:vAlign w:val="bottom"/>
            <w:gridSpan w:val="3"/>
          </w:tcPr>
          <w:p>
            <w:pPr>
              <w:jc w:val="center"/>
              <w:ind w:left="92"/>
              <w:spacing w:after="0"/>
              <w:rPr>
                <w:sz w:val="20"/>
                <w:szCs w:val="20"/>
                <w:color w:val="auto"/>
              </w:rPr>
            </w:pPr>
            <w:r>
              <w:rPr>
                <w:rFonts w:ascii="Arial" w:cs="Arial" w:eastAsia="Arial" w:hAnsi="Arial"/>
                <w:sz w:val="18"/>
                <w:szCs w:val="18"/>
                <w:color w:val="auto"/>
                <w:w w:val="92"/>
              </w:rPr>
              <w:t>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stock-based compensation expense recognized in our consolidated statements of operations is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300"/>
              <w:spacing w:after="0"/>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46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142"/>
        </w:trPr>
        <w:tc>
          <w:tcPr>
            <w:tcW w:w="4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tcPr>
          <w:p>
            <w:pPr>
              <w:jc w:val="center"/>
              <w:ind w:right="28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revenue—subscription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Cost of revenue—services</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4,034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5,755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1,245</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8,683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1,771</w:t>
            </w:r>
          </w:p>
        </w:tc>
      </w:tr>
      <w:tr>
        <w:trPr>
          <w:trHeight w:val="210"/>
        </w:trPr>
        <w:tc>
          <w:tcPr>
            <w:tcW w:w="468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12,787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21,004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60" w:type="dxa"/>
            <w:vAlign w:val="bottom"/>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January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Ended April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(73,486)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(21,548)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w w:val="87"/>
              </w:rPr>
              <w:t>Weighted-average shares used to compute net loss per share</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w w:val="94"/>
              </w:rPr>
              <w:t>attributable to common stockholders, basic and diluted</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22,481,535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24,423,623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23,193,171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26,329,373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Net loss per share attributable to common stockholders,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780" w:firstLine="348"/>
        <w:spacing w:after="0" w:line="332" w:lineRule="auto"/>
        <w:rPr>
          <w:sz w:val="20"/>
          <w:szCs w:val="20"/>
          <w:color w:val="auto"/>
        </w:rPr>
      </w:pPr>
      <w:r>
        <w:rPr>
          <w:rFonts w:ascii="Arial" w:cs="Arial" w:eastAsia="Arial" w:hAnsi="Arial"/>
          <w:sz w:val="16"/>
          <w:szCs w:val="16"/>
          <w:color w:val="auto"/>
        </w:rPr>
        <w:t>The following weighted-average outstanding potentially dilutive common shares were excluded from the computation of diluted net loss per share attributable to common stockholders for the periods presented because the impact of including them would have been antidilutive: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5"/>
          </w:tcPr>
          <w:p>
            <w:pPr>
              <w:jc w:val="center"/>
              <w:ind w:right="132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116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Pr>
          <w:p>
            <w:pPr>
              <w:spacing w:after="0"/>
              <w:rPr>
                <w:sz w:val="14"/>
                <w:szCs w:val="14"/>
                <w:color w:val="auto"/>
              </w:rPr>
            </w:pPr>
          </w:p>
        </w:tc>
        <w:tc>
          <w:tcPr>
            <w:tcW w:w="3300" w:type="dxa"/>
            <w:vAlign w:val="bottom"/>
            <w:gridSpan w:val="5"/>
          </w:tcPr>
          <w:p>
            <w:pPr>
              <w:jc w:val="center"/>
              <w:ind w:right="130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300" w:type="dxa"/>
            <w:vAlign w:val="bottom"/>
            <w:gridSpan w:val="5"/>
          </w:tcPr>
          <w:p>
            <w:pPr>
              <w:jc w:val="center"/>
              <w:ind w:right="1320"/>
              <w:spacing w:after="0" w:line="142" w:lineRule="exact"/>
              <w:rPr>
                <w:sz w:val="20"/>
                <w:szCs w:val="20"/>
                <w:color w:val="auto"/>
              </w:rPr>
            </w:pPr>
            <w:r>
              <w:rPr>
                <w:rFonts w:ascii="Arial" w:cs="Arial" w:eastAsia="Arial" w:hAnsi="Arial"/>
                <w:sz w:val="14"/>
                <w:szCs w:val="14"/>
                <w:b w:val="1"/>
                <w:bCs w:val="1"/>
                <w:color w:val="auto"/>
                <w:w w:val="89"/>
              </w:rPr>
              <w:t>(Unaudited)</w:t>
            </w: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0"/>
              </w:rPr>
              <w:t>Redeemable convertible preferred stock (on an if-converted basis)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51,712,637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51,706,919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53,799,704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Redeemable convertible preferred stock warrants (on an if-</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converted basis)</w:t>
            </w:r>
          </w:p>
        </w:tc>
        <w:tc>
          <w:tcPr>
            <w:tcW w:w="920" w:type="dxa"/>
            <w:vAlign w:val="bottom"/>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109,209</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8"/>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244,087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Stock options to purchase Class B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17,688,832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21,554,634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19,302,517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20,680,799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Class A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1,821,025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Early exercised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59,483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158,777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23,646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257,380</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4800" w:type="dxa"/>
            <w:vAlign w:val="bottom"/>
          </w:tcPr>
          <w:p>
            <w:pPr>
              <w:ind w:left="4380"/>
              <w:spacing w:after="0"/>
              <w:rPr>
                <w:sz w:val="20"/>
                <w:szCs w:val="20"/>
                <w:color w:val="auto"/>
              </w:rPr>
            </w:pPr>
            <w:r>
              <w:rPr>
                <w:rFonts w:ascii="Arial" w:cs="Arial" w:eastAsia="Arial" w:hAnsi="Arial"/>
                <w:sz w:val="18"/>
                <w:szCs w:val="18"/>
                <w:color w:val="auto"/>
              </w:rPr>
              <w:t>F-37</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540" w:right="5060" w:hanging="539"/>
        <w:spacing w:after="0" w:line="605" w:lineRule="auto"/>
        <w:rPr>
          <w:sz w:val="20"/>
          <w:szCs w:val="20"/>
          <w:color w:val="auto"/>
        </w:rPr>
      </w:pPr>
      <w:r>
        <w:rPr>
          <w:rFonts w:ascii="Arial" w:cs="Arial" w:eastAsia="Arial" w:hAnsi="Arial"/>
          <w:sz w:val="15"/>
          <w:szCs w:val="15"/>
          <w:b w:val="1"/>
          <w:bCs w:val="1"/>
          <w:color w:val="auto"/>
        </w:rPr>
        <w:t xml:space="preserve">10. Net Loss per Share Attributable to Common Stockholders (Continued) </w:t>
      </w:r>
      <w:r>
        <w:rPr>
          <w:rFonts w:ascii="Arial" w:cs="Arial" w:eastAsia="Arial" w:hAnsi="Arial"/>
          <w:sz w:val="15"/>
          <w:szCs w:val="15"/>
          <w:b w:val="1"/>
          <w:bCs w:val="1"/>
          <w:i w:val="1"/>
          <w:iCs w:val="1"/>
          <w:color w:val="auto"/>
        </w:rPr>
        <w:t>Unaudited Pro Forma Net Loss per Share Attributable to Common Stockholders</w:t>
      </w:r>
    </w:p>
    <w:p>
      <w:pPr>
        <w:spacing w:after="0" w:line="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reconciliation of the numerator and denominator used in the calculation of unaudited pro forma basic and diluted loss per share is as follows (in thousands, except share and per share data):</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61"/>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8"/>
              </w:rPr>
              <w:t>January 31, 2017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April 30, 2017</w:t>
            </w: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 basic and 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08"/>
        </w:trPr>
        <w:tc>
          <w:tcPr>
            <w:tcW w:w="5520" w:type="dxa"/>
            <w:vAlign w:val="bottom"/>
          </w:tcPr>
          <w:p>
            <w:pPr>
              <w:spacing w:after="0"/>
              <w:rPr>
                <w:sz w:val="20"/>
                <w:szCs w:val="20"/>
                <w:color w:val="auto"/>
              </w:rPr>
            </w:pPr>
            <w:r>
              <w:rPr>
                <w:rFonts w:ascii="Arial" w:cs="Arial" w:eastAsia="Arial" w:hAnsi="Arial"/>
                <w:sz w:val="18"/>
                <w:szCs w:val="18"/>
                <w:color w:val="auto"/>
                <w:w w:val="97"/>
              </w:rPr>
              <w:t>Change in fair value of convertible redeemable preferred stock warrant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Pro Forma net loss attributable to common stockholders used to compute pro</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forma net loss per share, basic and diluted</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(86,719)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w w:val="90"/>
              </w:rPr>
              <w:t>Weighted-average shares used to compute net loss per share attributable to</w:t>
            </w: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520" w:type="dxa"/>
            <w:vAlign w:val="bottom"/>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24,423,623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26,329,373</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adjustments to reflect conversion of redeemable convertible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51,712,637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53,799,704</w:t>
            </w:r>
          </w:p>
        </w:tc>
        <w:tc>
          <w:tcPr>
            <w:tcW w:w="0" w:type="dxa"/>
            <w:vAlign w:val="bottom"/>
          </w:tcPr>
          <w:p>
            <w:pPr>
              <w:spacing w:after="0"/>
              <w:rPr>
                <w:sz w:val="1"/>
                <w:szCs w:val="1"/>
                <w:color w:val="auto"/>
              </w:rPr>
            </w:pPr>
          </w:p>
        </w:tc>
      </w:tr>
      <w:tr>
        <w:trPr>
          <w:trHeight w:val="201"/>
        </w:trPr>
        <w:tc>
          <w:tcPr>
            <w:tcW w:w="5520" w:type="dxa"/>
            <w:vAlign w:val="bottom"/>
          </w:tcPr>
          <w:p>
            <w:pPr>
              <w:spacing w:after="0" w:line="201" w:lineRule="exact"/>
              <w:rPr>
                <w:sz w:val="20"/>
                <w:szCs w:val="20"/>
                <w:color w:val="auto"/>
              </w:rPr>
            </w:pPr>
            <w:r>
              <w:rPr>
                <w:rFonts w:ascii="Arial" w:cs="Arial" w:eastAsia="Arial" w:hAnsi="Arial"/>
                <w:sz w:val="18"/>
                <w:szCs w:val="18"/>
                <w:color w:val="auto"/>
                <w:w w:val="95"/>
              </w:rPr>
              <w:t>Weighted-average shares used to compute pro forma net loss per share</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180"/>
              <w:spacing w:after="0"/>
              <w:rPr>
                <w:sz w:val="20"/>
                <w:szCs w:val="20"/>
                <w:color w:val="auto"/>
              </w:rPr>
            </w:pPr>
            <w:r>
              <w:rPr>
                <w:rFonts w:ascii="Arial" w:cs="Arial" w:eastAsia="Arial" w:hAnsi="Arial"/>
                <w:sz w:val="18"/>
                <w:szCs w:val="18"/>
                <w:color w:val="auto"/>
              </w:rPr>
              <w:t>attributable to common stockholders, basic and diluted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76,136,260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80,129,077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0"/>
              </w:rPr>
              <w:t>Pro forma net loss per share attributable to common stockholders, basic and</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loss before provision for income taxes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17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(44,218)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(55,878)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Foreign</w:t>
            </w: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(28,826)</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(30,084)</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(73,044)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(85,962)</w:t>
            </w: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860" w:type="dxa"/>
            <w:vAlign w:val="bottom"/>
            <w:gridSpan w:val="2"/>
          </w:tcPr>
          <w:p>
            <w:pPr>
              <w:jc w:val="right"/>
              <w:ind w:right="2003"/>
              <w:spacing w:after="0"/>
              <w:rPr>
                <w:sz w:val="20"/>
                <w:szCs w:val="20"/>
                <w:color w:val="auto"/>
              </w:rPr>
            </w:pPr>
            <w:r>
              <w:rPr>
                <w:rFonts w:ascii="Arial" w:cs="Arial" w:eastAsia="Arial" w:hAnsi="Arial"/>
                <w:sz w:val="18"/>
                <w:szCs w:val="18"/>
                <w:color w:val="auto"/>
              </w:rPr>
              <w:t>F-38</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37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provision for income taxes were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January 31,</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Deferred:</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State</w:t>
            </w: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vMerge w:val="continue"/>
          </w:tcPr>
          <w:p>
            <w:pPr>
              <w:spacing w:after="0"/>
              <w:rPr>
                <w:sz w:val="18"/>
                <w:szCs w:val="18"/>
                <w:color w:val="auto"/>
              </w:rPr>
            </w:pPr>
          </w:p>
        </w:tc>
        <w:tc>
          <w:tcPr>
            <w:tcW w:w="2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federal statutory income tax rate of 34% and the provision for income taxes consisted of the following (in thousands):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6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statutory rate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(24,834)</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(29,228)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1,796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19,390</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Prior year true ups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w:t>
            </w:r>
          </w:p>
        </w:tc>
      </w:tr>
      <w:tr>
        <w:trPr>
          <w:trHeight w:val="210"/>
        </w:trPr>
        <w:tc>
          <w:tcPr>
            <w:tcW w:w="612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w:t>
            </w:r>
          </w:p>
        </w:tc>
        <w:tc>
          <w:tcPr>
            <w:tcW w:w="1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At January 31, 2017, we had net operating loss, or NOL, carryforwards for federal, state and Irish income tax purposes of $175.6 million, $138.6 million and $119.3 million, respectively, which begin to expire in the year ending January 31, 2028 for federal purposes and for the year ending January 31, 2021 for state purposes. Ireland allows NOLs to be carried forward indefinitely. The deferred tax assets associated with the NOL carryforwards in each of these jurisdictions are subject to a full valuation allowance. Under Section 382 of the U.S. Internal Revenue Code of 1986, a corporation that experiences an "ownership change" is subject to a limitation on our ability to utilize our pre-change NOLs to offset future taxable income. In April 2017, we completed an analysis under Section 382 to evaluate whether there are any limitations on our NOLs through January 31, 2017 and concluded that any prior ownership changes do not limit the utilization of the NOLs before they expire assuming sufficient future federal and state taxable income. However, it is possible that we could experience 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future ownership change under Section 382 or other regulatory changes, such as suspension on the use of the NOLs, that could result in the expiration of our NOLs or otherwise cause them to be unavailable to offset future federal and state taxable income.</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Deferred income taxes arise from temporary differences between the carrying amounts of assets and liabilities for financial reporting and the amounts used for income tax reporting purposes, as well as operating losses and tax credit carryforwards.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Significant components of our deferred tax assets for federal and state income taxes are as follows at January 31, 2016 and 2017, respectively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8"/>
              </w:rPr>
              <w:t>Year Ended January 31,</w:t>
            </w:r>
          </w:p>
        </w:tc>
      </w:tr>
      <w:tr>
        <w:trPr>
          <w:trHeight w:val="142"/>
        </w:trPr>
        <w:tc>
          <w:tcPr>
            <w:tcW w:w="5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59,604</w:t>
            </w:r>
          </w:p>
        </w:tc>
        <w:tc>
          <w:tcPr>
            <w:tcW w:w="16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82,762</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1,683</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liabilities and accruals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7,863</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Depreciable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1,919</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 reserves</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352</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deferred tax assets</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94,579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Valuation allowance</w:t>
            </w: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(68,692)</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(94,465)</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 net of valuation allowance</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0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0"/>
        </w:trPr>
        <w:tc>
          <w:tcPr>
            <w:tcW w:w="5060" w:type="dxa"/>
            <w:vAlign w:val="bottom"/>
          </w:tcPr>
          <w:p>
            <w:pPr>
              <w:ind w:left="360"/>
              <w:spacing w:after="0"/>
              <w:rPr>
                <w:sz w:val="20"/>
                <w:szCs w:val="20"/>
                <w:color w:val="auto"/>
              </w:rPr>
            </w:pPr>
            <w:r>
              <w:rPr>
                <w:rFonts w:ascii="Arial" w:cs="Arial" w:eastAsia="Arial" w:hAnsi="Arial"/>
                <w:sz w:val="18"/>
                <w:szCs w:val="18"/>
                <w:color w:val="auto"/>
              </w:rPr>
              <w:t>Total deferred tax liability</w:t>
            </w:r>
          </w:p>
        </w:tc>
        <w:tc>
          <w:tcPr>
            <w:tcW w:w="10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5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Deferred tax assets are recognized when management believes it is more likely than not that they will be realized. Deferred tax assets are reduced by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if, based on available evidence, it is more likely than not that some or all of the deferred tax assets will not be realized. Due to the significant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 evidence resulting from losses since inception in the U.S. federal, U.S. state and Ireland jurisdictions, management maintains a full valuation allowance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the net deferred tax assets in these jurisdictions. The valuation allowance for deferred tax assets as of January 31, 2016 and January 31, 2017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$68.7 million and $94.5 million, respectively. In assessing the realizability of deferred tax assets, management considers whether it is more likely than not that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some portion or all of the deferred tax assets will not be realized. The ultimate realization of deferred tax assets is dependent upon the generation of future taxable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income during the periods in which those temporary differences become deductible. Management considers the scheduled reversal of deferred tax liabilities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impact of available carryback and carryforward periods), projected future taxable income, and tax planning strategies in making this assessment.</w:t>
      </w:r>
    </w:p>
    <w:p>
      <w:pPr>
        <w:spacing w:after="0" w:line="242"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 xml:space="preserve">The calculation of our tax obligations involves dealing with uncertainties in the application of complex tax laws and regulations. 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that a tax benefit from an uncertain tax position may be recognized when it is more likely than not that the position will be sustained upon examination, including resolutions of any related appeals or litigation processes, on the basis of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 (Continued)</w:t>
      </w:r>
    </w:p>
    <w:p>
      <w:pPr>
        <w:spacing w:after="0" w:line="2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technical merits. We have assessed our income tax positions and recorded tax benefits for all years subject to examination, based upon our evaluation of the facts, circumstances and information available at each period end. For those tax positions where we have determined there is a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w:t>
      </w:r>
    </w:p>
    <w:p>
      <w:pPr>
        <w:spacing w:after="0" w:line="197"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Although we believe that we have adequately reserved for our uncertain tax positions, we can provide no assurance that the final tax outcome of these matters will not be materially different. As we expand internationally, we will face increased complexity, and our unrecognized tax benefits may increase in the future. We make adjustments to our reserves when facts and circumstances change, such as the closing of a tax audit or the refinement of an estimate. To the extent that the final tax outcome of these matters is different than the amounts recorded, such differences will affect the provision for income taxes in the period in which such determination is made.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activity within our unrecognized gross tax benefits was as follows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3,411</w:t>
            </w:r>
          </w:p>
        </w:tc>
      </w:tr>
      <w:tr>
        <w:trPr>
          <w:trHeight w:val="216"/>
        </w:trPr>
        <w:tc>
          <w:tcPr>
            <w:tcW w:w="6420" w:type="dxa"/>
            <w:vAlign w:val="bottom"/>
          </w:tcPr>
          <w:p>
            <w:pPr>
              <w:ind w:left="180"/>
              <w:spacing w:after="0"/>
              <w:rPr>
                <w:sz w:val="20"/>
                <w:szCs w:val="20"/>
                <w:color w:val="auto"/>
              </w:rPr>
            </w:pPr>
            <w:r>
              <w:rPr>
                <w:rFonts w:ascii="Arial" w:cs="Arial" w:eastAsia="Arial" w:hAnsi="Arial"/>
                <w:sz w:val="18"/>
                <w:szCs w:val="18"/>
                <w:color w:val="auto"/>
              </w:rPr>
              <w:t>Decreases in tax positions in prior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based on tax positions in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w:t>
            </w:r>
          </w:p>
        </w:tc>
      </w:tr>
      <w:tr>
        <w:trPr>
          <w:trHeight w:val="210"/>
        </w:trPr>
        <w:tc>
          <w:tcPr>
            <w:tcW w:w="6420" w:type="dxa"/>
            <w:vAlign w:val="bottom"/>
          </w:tcPr>
          <w:p>
            <w:pPr>
              <w:spacing w:after="0"/>
              <w:rPr>
                <w:sz w:val="20"/>
                <w:szCs w:val="20"/>
                <w:color w:val="auto"/>
              </w:rPr>
            </w:pPr>
            <w:r>
              <w:rPr>
                <w:rFonts w:ascii="Arial" w:cs="Arial" w:eastAsia="Arial" w:hAnsi="Arial"/>
                <w:sz w:val="18"/>
                <w:szCs w:val="18"/>
                <w:color w:val="auto"/>
              </w:rPr>
              <w:t>Unrecognized tax benefits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60" w:type="dxa"/>
            <w:vAlign w:val="bottom"/>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We have not provided for U.S. federal income and foreign withholding taxes on approximately $1.2 million of undistributed earnings from non-U.S. operations as of January 31, 2017 because we intend to reinvest such earnings indefinitely outside of the United States. If we were to distribute these earnings, foreign tax credits may become available under current law to reduce the resulting U.S. income tax liability. Determination of the amount of unrecognized deferred tax liability related to these earnings is not practicable due to the fact that the amount and timing of a hypothetical distribution is unknown.</w:t>
      </w:r>
    </w:p>
    <w:p>
      <w:pPr>
        <w:spacing w:after="0" w:line="152" w:lineRule="exact"/>
        <w:rPr>
          <w:sz w:val="20"/>
          <w:szCs w:val="20"/>
          <w:color w:val="auto"/>
        </w:rPr>
      </w:pPr>
    </w:p>
    <w:p>
      <w:pPr>
        <w:jc w:val="both"/>
        <w:ind w:right="60" w:firstLine="348"/>
        <w:spacing w:after="0" w:line="298" w:lineRule="auto"/>
        <w:rPr>
          <w:sz w:val="20"/>
          <w:szCs w:val="20"/>
          <w:color w:val="auto"/>
        </w:rPr>
      </w:pPr>
      <w:r>
        <w:rPr>
          <w:rFonts w:ascii="Arial" w:cs="Arial" w:eastAsia="Arial" w:hAnsi="Arial"/>
          <w:sz w:val="16"/>
          <w:szCs w:val="16"/>
          <w:color w:val="auto"/>
        </w:rPr>
        <w:t>We are not currently under Internal Revenue Service, state, or foreign income tax examination. We do not anticipate any significant increases or decreases in our uncertain tax positions within the next twelve months. We file tax returns in the United States for federal, New York, California and other states. All tax years remain open to examination for both federal and state purposes as a result of the net operating loss and credit carryforwards. We file foreign tax returns in various locations. These foreign returns are open to examination for the years ending January 31, 2012 through January 31,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operate as one operating segment as we only reports financial information on an aggregate and consolidated basis to our Chief Executive Officer, who is our chief operating decision maker.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following table sets forth our total revenue by geographic areas based on the customers' location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Three Months</w:t>
            </w:r>
          </w:p>
        </w:tc>
      </w:tr>
      <w:tr>
        <w:trPr>
          <w:trHeight w:val="161"/>
        </w:trPr>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0"/>
              </w:rPr>
              <w:t>Ended April 30,</w:t>
            </w:r>
          </w:p>
        </w:tc>
      </w:tr>
      <w:tr>
        <w:trPr>
          <w:trHeight w:val="142"/>
        </w:trPr>
        <w:tc>
          <w:tcPr>
            <w:tcW w:w="4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center"/>
              <w:ind w:right="300"/>
              <w:spacing w:after="0" w:line="142" w:lineRule="exact"/>
              <w:rPr>
                <w:sz w:val="20"/>
                <w:szCs w:val="20"/>
                <w:color w:val="auto"/>
              </w:rPr>
            </w:pPr>
            <w:r>
              <w:rPr>
                <w:rFonts w:ascii="Arial" w:cs="Arial" w:eastAsia="Arial" w:hAnsi="Arial"/>
                <w:sz w:val="14"/>
                <w:szCs w:val="14"/>
                <w:b w:val="1"/>
                <w:bCs w:val="1"/>
                <w:color w:val="auto"/>
                <w:w w:val="87"/>
              </w:rPr>
              <w:t>(Unaudited)</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14,691</w:t>
            </w:r>
          </w:p>
        </w:tc>
        <w:tc>
          <w:tcPr>
            <w:tcW w:w="24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22,402</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29,139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6,152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8,929</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APAC</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w:t>
            </w:r>
          </w:p>
        </w:tc>
      </w:tr>
      <w:tr>
        <w:trPr>
          <w:trHeight w:val="210"/>
        </w:trPr>
        <w:tc>
          <w:tcPr>
            <w:tcW w:w="4360" w:type="dxa"/>
            <w:vAlign w:val="bottom"/>
          </w:tcPr>
          <w:p>
            <w:pPr>
              <w:ind w:left="1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65,271</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101,358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32,390</w:t>
            </w:r>
          </w:p>
        </w:tc>
        <w:tc>
          <w:tcPr>
            <w:tcW w:w="160" w:type="dxa"/>
            <w:vAlign w:val="bottom"/>
          </w:tcPr>
          <w:p>
            <w:pPr>
              <w:spacing w:after="0"/>
              <w:rPr>
                <w:sz w:val="18"/>
                <w:szCs w:val="18"/>
                <w:color w:val="auto"/>
              </w:rPr>
            </w:pPr>
          </w:p>
        </w:tc>
      </w:tr>
      <w:tr>
        <w:trPr>
          <w:trHeight w:val="20"/>
        </w:trPr>
        <w:tc>
          <w:tcPr>
            <w:tcW w:w="4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Customers located in the United States accounted for 69%, 65%, 66% and 66% of total revenue for the year ended January 31, 2016 and 2017 and the three months ended April 30, 2016 and 2017 (unaudited), respectively. Customers located in the United Kingdom accounted for 11%, 11%, and 10% for the year ended January 31, 2017 and the three months ended April 30, 2016 and 2017 (unaudited), respectively. No other country accounted for 10% or more of revenue for the periods presented.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January 31, 2016 and 2017 and April 30, 2017 (unaudited), substantially all of our long-lived assets were located in the United States.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231"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All contracts with related parties are executed in ordinary course of business. There were no material related party transactions in the fiscal years ending January 31, 2016 or 2017 or the three months ended April 30, 2017 (unaudited). As of January 31, 2016 and 2017 and April 30, 2017 (unaudited), there were no material amounts payable to or amounts receivable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evaluated subsequent events through June 7, 2017, which is the date the annual audited consolidated financial statements were issued.</w:t>
      </w:r>
    </w:p>
    <w:p>
      <w:pPr>
        <w:spacing w:after="0" w:line="24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On April 5, 2017, our Board of Directors authorized an additional 6,000,000 shares to our 2016 Plan which increased the number of shares of Class A common stock reserved for future issuance.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April 2017, we granted stock options to purchase an aggregate of 4,226,750 shares of Class A common stock with an exercise price of $4.20 per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stock options have a grant date fair value of $7.7 million that is expected to be recognized over a weighted-average requisite service period of four years.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preparing the unaudited interim consolidated financial statements as of April 30, 2017 and for the three months then ended, we evaluated subsequent events through August 2, 2017, the date the unaudited interim consolidated financial statements were available for issuance.</w:t>
      </w:r>
    </w:p>
    <w:p>
      <w:pPr>
        <w:spacing w:after="0" w:line="139"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On June 27, 2017 warrants to purchase 43,222 shares of Series E redeemable convertible preferred stock and 41,258 shares of Series F redeemable convertible preferred stock were exercised. Upon the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(unaudited)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exercise of the warrants, the aggregate fair value of these warrants of $1.2 million was reclassified from liabilities to additional paid-in capital, and we no longer record a change in fair value adjustments.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On July 13, 2017 we granted stock options to purchase an aggregate of 1,308,100 shares of Class A common stock with an exercise price of $5.59 per share.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These stock options have a grant date fair value of $3.0 million that is expected to be recognized over a weighted-average requisite service period of four years.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5" w:name="page196"/>
    <w:bookmarkEnd w:id="195"/>
    <w:p>
      <w:pPr>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50430" cy="43840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438404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payable by us in connection with the sale of the Class A common stock being registered. All amounts shown are estimates except for the Securities and Exchange Commission, or SEC, registration fee, the Financial Industry Regulatory Authority, or FINRA, filing fee and the exchange listing fee.</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 to</w:t>
            </w:r>
          </w:p>
        </w:tc>
      </w:t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2"/>
              </w:rPr>
              <w:t>be Paid</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FINRA filing fee</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initial listing fee</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Blue sky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Legal fees and expenses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Transfer agent and registrar fees</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8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1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29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437"/>
        </w:trPr>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180" w:type="dxa"/>
            <w:vAlign w:val="bottom"/>
            <w:gridSpan w:val="2"/>
          </w:tcPr>
          <w:p>
            <w:pPr>
              <w:ind w:left="400"/>
              <w:spacing w:after="0"/>
              <w:rPr>
                <w:sz w:val="20"/>
                <w:szCs w:val="20"/>
                <w:color w:val="auto"/>
              </w:rPr>
            </w:pPr>
            <w:r>
              <w:rPr>
                <w:rFonts w:ascii="Arial" w:cs="Arial" w:eastAsia="Arial" w:hAnsi="Arial"/>
                <w:sz w:val="18"/>
                <w:szCs w:val="18"/>
                <w:color w:val="auto"/>
              </w:rPr>
              <w:t>To be filed by amendment.</w:t>
            </w:r>
          </w:p>
        </w:tc>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4"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6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As permitted by the Delaware General Corporation Law, (A) our amended and restated certificate of incorporation will provide that we are authorized to indemnify our directors and officers (and any other persons whom applicable law permits) to the fullest extent permitted by Delaware law and (B) our amended and restated bylaws will provide that: (1) we are required to indemnify our directors and executive officers to the fullest extent permitted by the Delaware General Corporation Law; (2) we may, in our discretion, indemnify our other officers, employees and agents as set forth in the Delaware General Corporation Law; (3) we are required, upon satisfaction of certain conditions, to advance all expenses incurred by our directors and executive officers in connection with certain legal proceedings; (4) the rights conferred in the amended and restated bylaws are not exclusive; (5) we are authorized to enter into indemnification agreements with our directors, officers, employees and agents and (6) we may secure insurance on behalf of any director, officer, employee or other agent for any liability arising out of his or her actions in that capacity regardless of whether we would otherwise be permitted to indemnify him or her under the provisions of Delaware law.</w:t>
      </w:r>
    </w:p>
    <w:p>
      <w:pPr>
        <w:spacing w:after="0" w:line="172"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policy is to enter into agreements with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These indemnification agreements also set forth certain procedures that will apply in the event of a claim for indemnification thereunder. At present, no litigation or proceeding is pending that involves any of our directors or officers regarding which indemnification is sought, nor are we aware of any threatened litigation that may result in claims for indemnification.</w:t>
      </w:r>
    </w:p>
    <w:p>
      <w:pPr>
        <w:spacing w:after="0" w:line="172"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94"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of 1933, as amended, or the Securities Act, or otherwise. Our amended and restated investors' rights agreement with certain stockholders also provides for cross-indemnification in connection with the registration of our common stock on behalf of such investors.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the undertakings set forth in response to Item 17 herein.</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i w:val="1"/>
          <w:iCs w:val="1"/>
          <w:color w:val="auto"/>
        </w:rPr>
        <w:t>Recent Sales of Unregistered Securities.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list sets forth information regarding all unregistered securities issued by us since February 1, 2014 through the date of the prospectus that is a part of this registration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Options to Purchase Common Stock</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From February 1, 2014 through the date of this registration statement, we granted (1) under our 2008 Plan, options to purchase an aggregate of 22,474,129 shares of our common stock to a total of 827 employees, consultants and directors, having exercise prices ranging from $3.25 to $8.68 per share and (2) under our 2016 Plan, options and RSUs to purchase an aggregate of 6,289,850 shares of our common stock to a total of 567 employees, consultants and directors, having exercise prices ranging from $3.79 to $5.59 per share. 2,120,952 of the options granted under the 2008 Plan have been exercised and 146,650 of the options granted under the 2016 Plan have been exercised.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either under Rule 701 promulgated under the Securities Act, or Rule 701, in that the transactions were under compensatory benefit plans and contracts relating to compensation, or under Section 4(a)(2) of the Securities Act in that the transactions were between an issuer and members of its senior executive management and did not involve any public offering within the meaning of Section 4(a)(2). The recipients of such securities were our employees, directors or consultants and received the securities under our equity incentive plans. Appropriate legends were affixed to the securities issued in these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Redeemable Convertible Preferred Stock</w:t>
      </w:r>
    </w:p>
    <w:p>
      <w:pPr>
        <w:spacing w:after="0" w:line="225" w:lineRule="exact"/>
        <w:rPr>
          <w:sz w:val="20"/>
          <w:szCs w:val="20"/>
          <w:color w:val="auto"/>
        </w:rPr>
      </w:pPr>
    </w:p>
    <w:p>
      <w:pPr>
        <w:ind w:right="140" w:firstLine="351"/>
        <w:spacing w:after="0" w:line="335" w:lineRule="auto"/>
        <w:rPr>
          <w:sz w:val="20"/>
          <w:szCs w:val="20"/>
          <w:color w:val="auto"/>
        </w:rPr>
      </w:pPr>
      <w:r>
        <w:rPr>
          <w:rFonts w:ascii="Arial" w:cs="Arial" w:eastAsia="Arial" w:hAnsi="Arial"/>
          <w:sz w:val="15"/>
          <w:szCs w:val="15"/>
          <w:color w:val="auto"/>
        </w:rPr>
        <w:t>In December 2014, we issued 4,783,506 shares of our Series F redeemable convertible preferred stock to nine accredited investors at a price of $16.724127 per share, for aggregate consideration of approximately $80.0 million. In January 2017, we issued an additional 2,092,785 shares of our Series F redeemable convertible preferred stock to one accredited investor at a price of $16.724127 per share, for aggregate consideration of approximately $35.0 million.</w:t>
      </w:r>
    </w:p>
    <w:p>
      <w:pPr>
        <w:spacing w:after="0" w:line="142"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offers, sales and issuances of the securities described in the preceding paragraph were deemed to be exempt from registration under the Securities Act in reliance on Section 4(a)(2) of the Securities Act or Rule 506 of Regulation D promulgated thereunder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either an accredited investor within the meaning of Rule 501 of Regulation D under the Securities Act or had adequate access, through employment, business or other relationships, to information about us.</w:t>
      </w:r>
    </w:p>
    <w:p>
      <w:pPr>
        <w:spacing w:after="0" w:line="16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 Exhibits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exhibits to this registration statement are listed in the Exhibit Index attached hereto and incorporated by reference herein.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consolidated financial statements or related notes, which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231" w:lineRule="exact"/>
        <w:rPr>
          <w:sz w:val="20"/>
          <w:szCs w:val="20"/>
          <w:color w:val="auto"/>
        </w:rPr>
      </w:pPr>
    </w:p>
    <w:p>
      <w:pPr>
        <w:ind w:right="480" w:firstLine="348"/>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360" w:firstLine="359"/>
        <w:spacing w:after="0" w:line="306" w:lineRule="auto"/>
        <w:tabs>
          <w:tab w:leader="none" w:pos="122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to be signed on its behalf</w:t>
      </w:r>
    </w:p>
    <w:p>
      <w:pPr>
        <w:spacing w:after="0" w:line="50" w:lineRule="exact"/>
        <w:rPr>
          <w:sz w:val="20"/>
          <w:szCs w:val="20"/>
          <w:color w:val="auto"/>
        </w:rPr>
      </w:pPr>
    </w:p>
    <w:p>
      <w:pPr>
        <w:spacing w:after="0"/>
        <w:tabs>
          <w:tab w:leader="none" w:pos="6060" w:val="left"/>
          <w:tab w:leader="none" w:pos="7020" w:val="left"/>
        </w:tabs>
        <w:rPr>
          <w:sz w:val="20"/>
          <w:szCs w:val="20"/>
          <w:color w:val="auto"/>
        </w:rPr>
      </w:pPr>
      <w:r>
        <w:rPr>
          <w:rFonts w:ascii="Arial" w:cs="Arial" w:eastAsia="Arial" w:hAnsi="Arial"/>
          <w:sz w:val="18"/>
          <w:szCs w:val="18"/>
          <w:color w:val="auto"/>
        </w:rPr>
        <w:t>by the undersigned, thereunto duly authorized, in New York, New York,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1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MONGODB, INC.</w:t>
      </w:r>
    </w:p>
    <w:p>
      <w:pPr>
        <w:spacing w:after="0" w:line="2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71120</wp:posOffset>
            </wp:positionV>
            <wp:extent cx="267589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17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Dev Ittycheria</w:t>
      </w:r>
    </w:p>
    <w:p>
      <w:pPr>
        <w:spacing w:after="0" w:line="15"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219"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Dev Ittycheria and Michael Gordon, and each of them, his or her true and lawful agent, proxy and attorney-in-fact, with full power of substitution and resubstitution, for him or her and in his or her name, place and stead, in any and all capacities, to (1)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(2) act on, sign and file such certificates, instruments, agreements and other documents as may be necessary or appropriate in connection therewith, (3) act on and file any supplement to any prospectus included in this registration statement or any such amendment or any subsequent registration statement filed pursuant to Rule 462(b) under the Securities Act of 1933, as amended, and (4) take any and all actions which may be necessary or appropriate to be done, as fully for all intents and purposes as he or she might or could do in person, hereby approving, ratifying and confirming all that such agent, proxy and attorney-in-fact or any of his substitutes may lawfully do or cause to be done by virtue thereof.</w:t>
      </w:r>
    </w:p>
    <w:p>
      <w:pPr>
        <w:spacing w:after="0" w:line="177"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359"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660" w:type="dxa"/>
            <w:vAlign w:val="bottom"/>
            <w:tcBorders>
              <w:bottom w:val="single" w:sz="8" w:color="auto"/>
            </w:tcBorders>
          </w:tcPr>
          <w:p>
            <w:pPr>
              <w:spacing w:after="0"/>
              <w:rPr>
                <w:sz w:val="19"/>
                <w:szCs w:val="19"/>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President, Chief Executive Officer and 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2"/>
              </w:rPr>
              <w:t>Dev Ittycheria</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Chief Financial Officer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91"/>
              </w:rPr>
              <w:t>Michael Gordon</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4"/>
        </w:trPr>
        <w:tc>
          <w:tcPr>
            <w:tcW w:w="3660" w:type="dxa"/>
            <w:vAlign w:val="bottom"/>
            <w:tcBorders>
              <w:bottom w:val="single" w:sz="8" w:color="auto"/>
            </w:tcBorders>
          </w:tcPr>
          <w:p>
            <w:pPr>
              <w:spacing w:after="0"/>
              <w:rPr>
                <w:sz w:val="24"/>
                <w:szCs w:val="24"/>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Corporate Controller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8"/>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9"/>
              </w:rPr>
              <w:t>Thomas Bull</w:t>
            </w:r>
          </w:p>
        </w:tc>
        <w:tc>
          <w:tcPr>
            <w:tcW w:w="418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660" w:type="dxa"/>
            <w:vAlign w:val="bottom"/>
            <w:vMerge w:val="continue"/>
          </w:tcPr>
          <w:p>
            <w:pPr>
              <w:spacing w:after="0"/>
              <w:rPr>
                <w:sz w:val="9"/>
                <w:szCs w:val="9"/>
                <w:color w:val="auto"/>
              </w:rPr>
            </w:pPr>
          </w:p>
        </w:tc>
        <w:tc>
          <w:tcPr>
            <w:tcW w:w="41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660" w:type="dxa"/>
            <w:vAlign w:val="bottom"/>
            <w:vMerge w:val="continue"/>
          </w:tcPr>
          <w:p>
            <w:pPr>
              <w:spacing w:after="0"/>
              <w:rPr>
                <w:sz w:val="7"/>
                <w:szCs w:val="7"/>
                <w:color w:val="auto"/>
              </w:rPr>
            </w:pPr>
          </w:p>
        </w:tc>
        <w:tc>
          <w:tcPr>
            <w:tcW w:w="41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418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86"/>
        </w:trPr>
        <w:tc>
          <w:tcPr>
            <w:tcW w:w="3660" w:type="dxa"/>
            <w:vAlign w:val="bottom"/>
            <w:vMerge w:val="restart"/>
          </w:tcPr>
          <w:p>
            <w:pPr>
              <w:jc w:val="center"/>
              <w:spacing w:after="0"/>
              <w:rPr>
                <w:sz w:val="20"/>
                <w:szCs w:val="20"/>
                <w:color w:val="auto"/>
              </w:rPr>
            </w:pPr>
            <w:r>
              <w:rPr>
                <w:rFonts w:ascii="Arial" w:cs="Arial" w:eastAsia="Arial" w:hAnsi="Arial"/>
                <w:sz w:val="18"/>
                <w:szCs w:val="18"/>
                <w:color w:val="auto"/>
                <w:w w:val="87"/>
              </w:rPr>
              <w:t>Kevin P. Ryan</w:t>
            </w:r>
          </w:p>
        </w:tc>
        <w:tc>
          <w:tcPr>
            <w:tcW w:w="418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660" w:type="dxa"/>
            <w:vAlign w:val="bottom"/>
            <w:vMerge w:val="continue"/>
          </w:tcPr>
          <w:p>
            <w:pPr>
              <w:spacing w:after="0"/>
              <w:rPr>
                <w:sz w:val="17"/>
                <w:szCs w:val="17"/>
                <w:color w:val="auto"/>
              </w:rPr>
            </w:pPr>
          </w:p>
        </w:tc>
        <w:tc>
          <w:tcPr>
            <w:tcW w:w="4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660" w:val="left"/>
          <w:tab w:leader="none" w:pos="9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1160" w:type="dxa"/>
        <w:tblCellMar>
          <w:top w:w="0" w:type="dxa"/>
          <w:left w:w="0" w:type="dxa"/>
          <w:bottom w:w="0" w:type="dxa"/>
          <w:right w:w="0" w:type="dxa"/>
        </w:tblCellMar>
      </w:tblPr>
      <w:tr>
        <w:trPr>
          <w:trHeight w:val="121"/>
        </w:trPr>
        <w:tc>
          <w:tcPr>
            <w:tcW w:w="3660" w:type="dxa"/>
            <w:vAlign w:val="bottom"/>
            <w:tcBorders>
              <w:bottom w:val="single" w:sz="8" w:color="auto"/>
            </w:tcBorders>
          </w:tcPr>
          <w:p>
            <w:pPr>
              <w:spacing w:after="0"/>
              <w:rPr>
                <w:sz w:val="10"/>
                <w:szCs w:val="10"/>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0"/>
              </w:rPr>
              <w:t>Roelof Botha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Hope Cochran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7"/>
              </w:rPr>
              <w:t>Charles M. Hazard, Jr.</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96"/>
              </w:rPr>
              <w:t>Eliot Horowitz</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32"/>
              <w:spacing w:after="0"/>
              <w:rPr>
                <w:sz w:val="20"/>
                <w:szCs w:val="20"/>
                <w:color w:val="auto"/>
              </w:rPr>
            </w:pPr>
            <w:r>
              <w:rPr>
                <w:rFonts w:ascii="Arial" w:cs="Arial" w:eastAsia="Arial" w:hAnsi="Arial"/>
                <w:sz w:val="18"/>
                <w:szCs w:val="18"/>
                <w:color w:val="auto"/>
                <w:w w:val="92"/>
              </w:rPr>
              <w:t>Tom Killalea</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6"/>
        </w:trPr>
        <w:tc>
          <w:tcPr>
            <w:tcW w:w="3660" w:type="dxa"/>
            <w:vAlign w:val="bottom"/>
            <w:tcBorders>
              <w:bottom w:val="single" w:sz="8" w:color="auto"/>
            </w:tcBorders>
          </w:tcPr>
          <w:p>
            <w:pPr>
              <w:spacing w:after="0"/>
              <w:rPr>
                <w:sz w:val="24"/>
                <w:szCs w:val="24"/>
                <w:color w:val="auto"/>
              </w:rPr>
            </w:pPr>
          </w:p>
        </w:tc>
        <w:tc>
          <w:tcPr>
            <w:tcW w:w="2800" w:type="dxa"/>
            <w:vAlign w:val="bottom"/>
            <w:vMerge w:val="restart"/>
          </w:tcPr>
          <w:p>
            <w:pPr>
              <w:ind w:left="160"/>
              <w:spacing w:after="0"/>
              <w:rPr>
                <w:sz w:val="20"/>
                <w:szCs w:val="20"/>
                <w:color w:val="auto"/>
              </w:rPr>
            </w:pPr>
            <w:r>
              <w:rPr>
                <w:rFonts w:ascii="Arial" w:cs="Arial" w:eastAsia="Arial" w:hAnsi="Arial"/>
                <w:sz w:val="18"/>
                <w:szCs w:val="18"/>
                <w:color w:val="auto"/>
              </w:rPr>
              <w:t>Director</w:t>
            </w:r>
          </w:p>
        </w:tc>
        <w:tc>
          <w:tcPr>
            <w:tcW w:w="2500" w:type="dxa"/>
            <w:vAlign w:val="bottom"/>
            <w:vMerge w:val="restart"/>
          </w:tcPr>
          <w:p>
            <w:pPr>
              <w:jc w:val="right"/>
              <w:spacing w:after="0"/>
              <w:rPr>
                <w:sz w:val="20"/>
                <w:szCs w:val="20"/>
                <w:color w:val="auto"/>
              </w:rPr>
            </w:pPr>
            <w:r>
              <w:rPr>
                <w:rFonts w:ascii="Arial" w:cs="Arial" w:eastAsia="Arial" w:hAnsi="Arial"/>
                <w:sz w:val="18"/>
                <w:szCs w:val="18"/>
                <w:color w:val="auto"/>
              </w:rPr>
              <w:t>, 2017</w:t>
            </w:r>
          </w:p>
        </w:tc>
        <w:tc>
          <w:tcPr>
            <w:tcW w:w="0" w:type="dxa"/>
            <w:vAlign w:val="bottom"/>
          </w:tcPr>
          <w:p>
            <w:pPr>
              <w:spacing w:after="0"/>
              <w:rPr>
                <w:sz w:val="1"/>
                <w:szCs w:val="1"/>
                <w:color w:val="auto"/>
              </w:rPr>
            </w:pPr>
          </w:p>
        </w:tc>
      </w:tr>
      <w:tr>
        <w:trPr>
          <w:trHeight w:val="66"/>
        </w:trPr>
        <w:tc>
          <w:tcPr>
            <w:tcW w:w="3660" w:type="dxa"/>
            <w:vAlign w:val="bottom"/>
          </w:tcPr>
          <w:p>
            <w:pPr>
              <w:spacing w:after="0"/>
              <w:rPr>
                <w:sz w:val="5"/>
                <w:szCs w:val="5"/>
                <w:color w:val="auto"/>
              </w:rPr>
            </w:pPr>
          </w:p>
        </w:tc>
        <w:tc>
          <w:tcPr>
            <w:tcW w:w="2800" w:type="dxa"/>
            <w:vAlign w:val="bottom"/>
            <w:vMerge w:val="continue"/>
          </w:tcPr>
          <w:p>
            <w:pPr>
              <w:spacing w:after="0"/>
              <w:rPr>
                <w:sz w:val="5"/>
                <w:szCs w:val="5"/>
                <w:color w:val="auto"/>
              </w:rPr>
            </w:pPr>
          </w:p>
        </w:tc>
        <w:tc>
          <w:tcPr>
            <w:tcW w:w="2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6460" w:type="dxa"/>
            <w:vAlign w:val="bottom"/>
            <w:gridSpan w:val="2"/>
          </w:tcPr>
          <w:p>
            <w:pPr>
              <w:jc w:val="center"/>
              <w:ind w:right="2752"/>
              <w:spacing w:after="0"/>
              <w:rPr>
                <w:sz w:val="20"/>
                <w:szCs w:val="20"/>
                <w:color w:val="auto"/>
              </w:rPr>
            </w:pPr>
            <w:r>
              <w:rPr>
                <w:rFonts w:ascii="Arial" w:cs="Arial" w:eastAsia="Arial" w:hAnsi="Arial"/>
                <w:sz w:val="18"/>
                <w:szCs w:val="18"/>
                <w:color w:val="auto"/>
                <w:w w:val="89"/>
              </w:rPr>
              <w:t>John McMahon</w:t>
            </w:r>
          </w:p>
        </w:tc>
        <w:tc>
          <w:tcPr>
            <w:tcW w:w="2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19"/>
          </w:cols>
          <w:pgMar w:left="240" w:top="132" w:right="1440"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14605</wp:posOffset>
            </wp:positionV>
            <wp:extent cx="52400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720" w:space="720"/>
            <w:col w:w="4779"/>
          </w:cols>
          <w:pgMar w:left="240" w:top="132" w:right="1440" w:bottom="1440" w:gutter="0" w:footer="0" w:header="0"/>
          <w:type w:val="continuous"/>
        </w:sectPr>
      </w:pPr>
    </w:p>
    <w:p>
      <w:pPr>
        <w:ind w:left="1560"/>
        <w:spacing w:after="0"/>
        <w:tabs>
          <w:tab w:leader="none" w:pos="20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217"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Tenth Amended and Restated Certificate of Incorporation of the Registrant as amended and as currently in effect</w:t>
      </w:r>
    </w:p>
    <w:p>
      <w:pPr>
        <w:spacing w:after="0" w:line="225" w:lineRule="exact"/>
        <w:rPr>
          <w:sz w:val="20"/>
          <w:szCs w:val="20"/>
          <w:color w:val="auto"/>
        </w:rPr>
      </w:pPr>
    </w:p>
    <w:p>
      <w:pPr>
        <w:ind w:left="2020" w:right="279" w:hanging="461"/>
        <w:spacing w:after="0" w:line="268" w:lineRule="auto"/>
        <w:tabs>
          <w:tab w:leader="none" w:pos="2000" w:val="left"/>
        </w:tabs>
        <w:rPr>
          <w:sz w:val="20"/>
          <w:szCs w:val="20"/>
          <w:color w:val="auto"/>
        </w:rPr>
      </w:pPr>
      <w:r>
        <w:rPr>
          <w:rFonts w:ascii="Arial" w:cs="Arial" w:eastAsia="Arial" w:hAnsi="Arial"/>
          <w:sz w:val="18"/>
          <w:szCs w:val="18"/>
          <w:color w:val="auto"/>
        </w:rPr>
        <w:t>3.2†</w:t>
        <w:tab/>
        <w:t>Form of Amended and Restated Certificate of Incorporation of the Registrant to be effective upon closing of this offering</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5"/>
          <w:szCs w:val="15"/>
          <w:color w:val="auto"/>
        </w:rPr>
        <w:t>Bylaws of the Registrant, as amended and as currently in effect</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Form of Amended and Restated Bylaws of the Registrant to be effective upon closing of this offering</w:t>
      </w:r>
    </w:p>
    <w:p>
      <w:pPr>
        <w:spacing w:after="0" w:line="225"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Class A common stock certificate of the Registrant</w:t>
      </w:r>
    </w:p>
    <w:p>
      <w:pPr>
        <w:spacing w:after="0" w:line="225" w:lineRule="exact"/>
        <w:rPr>
          <w:sz w:val="20"/>
          <w:szCs w:val="20"/>
          <w:color w:val="auto"/>
        </w:rPr>
      </w:pPr>
    </w:p>
    <w:p>
      <w:pPr>
        <w:ind w:left="2020" w:right="859" w:hanging="461"/>
        <w:spacing w:after="0" w:line="268" w:lineRule="auto"/>
        <w:tabs>
          <w:tab w:leader="none" w:pos="2000" w:val="left"/>
        </w:tabs>
        <w:rPr>
          <w:sz w:val="20"/>
          <w:szCs w:val="20"/>
          <w:color w:val="auto"/>
        </w:rPr>
      </w:pPr>
      <w:r>
        <w:rPr>
          <w:rFonts w:ascii="Arial" w:cs="Arial" w:eastAsia="Arial" w:hAnsi="Arial"/>
          <w:sz w:val="18"/>
          <w:szCs w:val="18"/>
          <w:color w:val="auto"/>
        </w:rPr>
        <w:t>4.2</w:t>
        <w:tab/>
        <w:t>Fifth Amended and Restated Investors' Rights Agreement by and among the Registrant and certain of its stockholders, dated October 2, 2013</w:t>
      </w:r>
    </w:p>
    <w:p>
      <w:pPr>
        <w:spacing w:after="0" w:line="186" w:lineRule="exact"/>
        <w:rPr>
          <w:sz w:val="20"/>
          <w:szCs w:val="20"/>
          <w:color w:val="auto"/>
        </w:rPr>
      </w:pPr>
    </w:p>
    <w:p>
      <w:pPr>
        <w:ind w:left="1560"/>
        <w:spacing w:after="0"/>
        <w:tabs>
          <w:tab w:leader="none" w:pos="20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Cooley LLP</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2008 Stock Incentive Plan and Forms of Option Agreement and Exercise Notice thereunder, as amended to date</w:t>
      </w:r>
    </w:p>
    <w:p>
      <w:pPr>
        <w:spacing w:after="0" w:line="225" w:lineRule="exact"/>
        <w:rPr>
          <w:sz w:val="20"/>
          <w:szCs w:val="20"/>
          <w:color w:val="auto"/>
        </w:rPr>
      </w:pPr>
    </w:p>
    <w:p>
      <w:pPr>
        <w:ind w:left="2020" w:right="139" w:hanging="549"/>
        <w:spacing w:after="0" w:line="268" w:lineRule="auto"/>
        <w:rPr>
          <w:sz w:val="20"/>
          <w:szCs w:val="20"/>
          <w:color w:val="auto"/>
        </w:rPr>
      </w:pPr>
      <w:r>
        <w:rPr>
          <w:rFonts w:ascii="Arial" w:cs="Arial" w:eastAsia="Arial" w:hAnsi="Arial"/>
          <w:sz w:val="18"/>
          <w:szCs w:val="18"/>
          <w:color w:val="auto"/>
        </w:rPr>
        <w:t>10.2+† Amended and Restated 2016 Equity Incentive Plan and Forms of Stock Option Agreement, Notice of Exercise and Stock Option Grant Notice thereunder</w:t>
      </w:r>
    </w:p>
    <w:p>
      <w:pPr>
        <w:spacing w:after="0" w:line="18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10.3+† 2016 China Stock Appreciation Rights Plan and Form of China Stock Appreciation Rights Award Agreement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10.4+† 2017 Employee Stock Purchase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10.5+† Non-Employee Director Compensation Plan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10.6+† Form of Indemnification Agreement by and between the Registrant and each of its directors and executive officers</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10.7+† Offer Letter, dated as of July 29, 2014, by and between the Registrant and Dev Ittycheria</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 Offer Letter, dated as of November 26, 2014, by and between the Registrant and Carlos Delatorre</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10.9+† Offer Letter, dated as of May 26, 2015, by and between the Registrant and Michael Gordon</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Registrant</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 independent registered public accounting firm</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Cooley LLP (included in Exhibit 5.1)</w:t>
      </w:r>
    </w:p>
    <w:p>
      <w:pPr>
        <w:spacing w:after="0" w:line="225" w:lineRule="exact"/>
        <w:rPr>
          <w:sz w:val="20"/>
          <w:szCs w:val="20"/>
          <w:color w:val="auto"/>
        </w:rPr>
      </w:pPr>
    </w:p>
    <w:p>
      <w:pPr>
        <w:ind w:left="1480"/>
        <w:spacing w:after="0"/>
        <w:tabs>
          <w:tab w:leader="none" w:pos="2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(reference is made to the signature page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80010</wp:posOffset>
            </wp:positionV>
            <wp:extent cx="15176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0" w:lineRule="exact"/>
        <w:rPr>
          <w:sz w:val="20"/>
          <w:szCs w:val="20"/>
          <w:color w:val="auto"/>
        </w:rPr>
      </w:pPr>
    </w:p>
    <w:p>
      <w:pPr>
        <w:ind w:left="1680" w:hanging="531"/>
        <w:spacing w:after="0"/>
        <w:tabs>
          <w:tab w:leader="none" w:pos="1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52" w:lineRule="exact"/>
        <w:rPr>
          <w:sz w:val="20"/>
          <w:szCs w:val="20"/>
          <w:color w:val="auto"/>
        </w:rPr>
      </w:pPr>
    </w:p>
    <w:p>
      <w:pPr>
        <w:ind w:left="1680" w:hanging="531"/>
        <w:spacing w:after="0"/>
        <w:tabs>
          <w:tab w:leader="none" w:pos="16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2" w:right="1440" w:bottom="1440" w:gutter="0" w:footer="0" w:header="0"/>
          <w:type w:val="continuous"/>
        </w:sectPr>
      </w:pPr>
    </w:p>
    <w:bookmarkStart w:id="203" w:name="page204"/>
    <w:bookmarkEnd w:id="20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4" w:name="page205"/>
    <w:bookmarkEnd w:id="204"/>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MongoDB,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MongoDB,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DOES HEREBY CERTIFY:</w:t>
      </w:r>
    </w:p>
    <w:p>
      <w:pPr>
        <w:spacing w:after="0" w:line="229" w:lineRule="exact"/>
        <w:rPr>
          <w:sz w:val="20"/>
          <w:szCs w:val="20"/>
          <w:color w:val="auto"/>
        </w:rPr>
      </w:pPr>
    </w:p>
    <w:p>
      <w:pPr>
        <w:ind w:right="100" w:firstLine="656"/>
        <w:spacing w:after="0" w:line="270" w:lineRule="auto"/>
        <w:tabs>
          <w:tab w:leader="none" w:pos="1296"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That the original name of this corporation is 10Gen, Inc. and that this corporation was originally incorporated pursuant to the General Corporation Law on November 26, 2007, an amended and restated certificate of incorporation was filed with the office of the Secretary of State of Delaware on July 11, 2008, an amended and restated certificate of incorporation was filed with the office of the Secretary of State of Delaware on October 19, 2009, an amended and restated certificate of incorporation was filed with the office of the Secretary of State of Delaware on December 1, 2010, an amended and restated certificate of incorporation was filed with the office of the Secretary of State of Delaware on August 31, 2011, an amended and restated certificate of incorporation was filed with the office of the Secretary of State of Delaware on May 23, 2012, an amended and restated certificate of incorporation was filed with the office of the Secretary of State of Delaware on August 27, 2013, an amended and restated certificate of incorporation was filed with the office of the Secretary of State of Delaware on October 1, 2013, an amended and restated certificate of incorporation was filed with the office of the Secretary of State of Delaware on December 9, 2014 and an amended and restated certificate of incorporation was filed with the office of the Secretary of State of Delaware on November 17, 2016.</w:t>
      </w:r>
    </w:p>
    <w:p>
      <w:pPr>
        <w:spacing w:after="0" w:line="177" w:lineRule="exact"/>
        <w:rPr>
          <w:rFonts w:ascii="Arial" w:cs="Arial" w:eastAsia="Arial" w:hAnsi="Arial"/>
          <w:sz w:val="17"/>
          <w:szCs w:val="17"/>
          <w:color w:val="auto"/>
        </w:rPr>
      </w:pPr>
    </w:p>
    <w:p>
      <w:pPr>
        <w:ind w:right="140" w:firstLine="656"/>
        <w:spacing w:after="0" w:line="259" w:lineRule="auto"/>
        <w:tabs>
          <w:tab w:leader="none" w:pos="1296"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the Board of Directors of the Corporation duly adopted resolutions proposing to amend and restate the Ninth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Ninth Amended and Restated Certificate of Incorporation of this corporation be amended and restated in its entirety to read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MongoDB, Inc. (the “</w:t>
      </w:r>
      <w:r>
        <w:rPr>
          <w:rFonts w:ascii="Arial" w:cs="Arial" w:eastAsia="Arial" w:hAnsi="Arial"/>
          <w:sz w:val="18"/>
          <w:szCs w:val="18"/>
          <w:b w:val="1"/>
          <w:bCs w:val="1"/>
          <w:color w:val="auto"/>
        </w:rPr>
        <w:t>Corporation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Corporation Service Company, 2711 Centerville Road,</w:t>
      </w:r>
      <w:r>
        <w:rPr>
          <w:rFonts w:ascii="Arial" w:cs="Arial" w:eastAsia="Arial" w:hAnsi="Arial"/>
          <w:sz w:val="16"/>
          <w:szCs w:val="16"/>
          <w:b w:val="1"/>
          <w:bCs w:val="1"/>
          <w:color w:val="auto"/>
        </w:rPr>
        <w:t xml:space="preserve"> </w:t>
      </w:r>
      <w:r>
        <w:rPr>
          <w:rFonts w:ascii="Arial" w:cs="Arial" w:eastAsia="Arial" w:hAnsi="Arial"/>
          <w:sz w:val="16"/>
          <w:szCs w:val="16"/>
          <w:color w:val="auto"/>
        </w:rPr>
        <w:t>Suite 400, Wilmington, County of New Castle, Delaware 19808. The name of its registered agent at such address is Corporation Service Company.</w:t>
      </w:r>
    </w:p>
    <w:p>
      <w:pPr>
        <w:spacing w:after="0" w:line="11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b w:val="1"/>
          <w:bCs w:val="1"/>
          <w:color w:val="auto"/>
        </w:rPr>
        <w:t xml:space="preserve">FOURTH: </w:t>
      </w:r>
      <w:r>
        <w:rPr>
          <w:rFonts w:ascii="Arial" w:cs="Arial" w:eastAsia="Arial" w:hAnsi="Arial"/>
          <w:sz w:val="16"/>
          <w:szCs w:val="16"/>
          <w:color w:val="auto"/>
        </w:rPr>
        <w:t>The total number of shares of all classes of stock which the Corporation shall have authority to issue is (i) 162,500,000 shares of Class A</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$0.001 par value per share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113,000,000 shares of Class B Common Stock, $0.001 par value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color w:val="auto"/>
        </w:rPr>
        <w:t>share (“</w:t>
      </w:r>
      <w:r>
        <w:rPr>
          <w:rFonts w:ascii="Arial" w:cs="Arial" w:eastAsia="Arial" w:hAnsi="Arial"/>
          <w:sz w:val="18"/>
          <w:szCs w:val="18"/>
          <w:b w:val="1"/>
          <w:bCs w:val="1"/>
          <w:color w:val="auto"/>
        </w:rPr>
        <w:t>Class B Common Stock</w:t>
      </w:r>
      <w:r>
        <w:rPr>
          <w:rFonts w:ascii="Arial" w:cs="Arial" w:eastAsia="Arial" w:hAnsi="Arial"/>
          <w:sz w:val="18"/>
          <w:szCs w:val="18"/>
          <w:color w:val="auto"/>
        </w:rPr>
        <w:t>”, collectively with the Class A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and (ii) 41,234,841 shares of Preferred Stock, $0.001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6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66"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340" w:firstLine="8"/>
        <w:spacing w:after="0" w:line="342" w:lineRule="auto"/>
        <w:tabs>
          <w:tab w:leader="none" w:pos="648"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voting, dividends, liquidation rights of holders, privileges, restrictions and other matters relating to the Class A Common Stock and Class B Common Stock are subject to and qualified by the rights, powers and preferences of the holders of Preferred Stock as set forth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Rights relating to Dividends, Subdivisions and Combinations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3" w:lineRule="auto"/>
        <w:tabs>
          <w:tab w:leader="none" w:pos="194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Subject to the prior rights of holders of all classes and series of stock at the time outstanding having prior rights as to dividends, the holders of the Class A Common Stock and Class B Common Stock shall be entitled to receive, when, as and if declared by the Board of Directors of the Corporation, out of any assets of the Company legally available therefor, such dividends as may be declared from time to time by the Board of Directors of the Corporation.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voting power of the applicable class of Common Stock treated adversely, voting separately as a class.</w:t>
      </w:r>
    </w:p>
    <w:p>
      <w:pPr>
        <w:spacing w:after="0" w:line="178" w:lineRule="exact"/>
        <w:rPr>
          <w:rFonts w:ascii="Arial" w:cs="Arial" w:eastAsia="Arial" w:hAnsi="Arial"/>
          <w:sz w:val="17"/>
          <w:szCs w:val="17"/>
          <w:color w:val="auto"/>
        </w:rPr>
      </w:pPr>
    </w:p>
    <w:p>
      <w:pPr>
        <w:ind w:firstLine="1305"/>
        <w:spacing w:after="0" w:line="291" w:lineRule="auto"/>
        <w:tabs>
          <w:tab w:leader="none" w:pos="1952"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Company shall not declare or pay any dividend or make any other distribution to the holders of Class A Common Stock or Class B Common Stock payable in securities of the Company unless the same dividend or distribution with the same record date and payment date shall be declared and paid on all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w:t>
      </w:r>
    </w:p>
    <w:p>
      <w:pPr>
        <w:sectPr>
          <w:pgSz w:w="11900" w:h="16892" w:orient="portrait"/>
          <w:cols w:equalWidth="0" w:num="1">
            <w:col w:w="11420"/>
          </w:cols>
          <w:pgMar w:left="240" w:top="364" w:right="239" w:bottom="0" w:gutter="0" w:footer="0" w:header="0"/>
        </w:sectPr>
      </w:pPr>
    </w:p>
    <w:bookmarkStart w:id="205" w:name="page206"/>
    <w:bookmarkEnd w:id="205"/>
    <w:p>
      <w:pPr>
        <w:jc w:val="both"/>
        <w:ind w:right="120"/>
        <w:spacing w:after="0" w:line="312" w:lineRule="auto"/>
        <w:rPr>
          <w:sz w:val="20"/>
          <w:szCs w:val="20"/>
          <w:color w:val="auto"/>
        </w:rPr>
      </w:pPr>
      <w:r>
        <w:rPr>
          <w:rFonts w:ascii="Arial" w:cs="Arial" w:eastAsia="Arial" w:hAnsi="Arial"/>
          <w:sz w:val="16"/>
          <w:szCs w:val="16"/>
          <w:color w:val="auto"/>
        </w:rPr>
        <w:t>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47" w:lineRule="exact"/>
        <w:rPr>
          <w:sz w:val="20"/>
          <w:szCs w:val="20"/>
          <w:color w:val="auto"/>
        </w:rPr>
      </w:pPr>
    </w:p>
    <w:p>
      <w:pPr>
        <w:ind w:right="380" w:firstLine="1305"/>
        <w:spacing w:after="0" w:line="277" w:lineRule="auto"/>
        <w:tabs>
          <w:tab w:leader="none" w:pos="195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the Company in any manner subdivides or combines the outstanding shares of Class A Common Stock or Class B Common Stock, then the outstanding shares of all Common Stock will be subdivided or combined in the same proportion and manner.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left="1940" w:hanging="635"/>
        <w:spacing w:after="0"/>
        <w:tabs>
          <w:tab w:leader="none" w:pos="1940" w:val="left"/>
        </w:tabs>
        <w:numPr>
          <w:ilvl w:val="1"/>
          <w:numId w:val="118"/>
        </w:numPr>
        <w:rPr>
          <w:rFonts w:ascii="Arial" w:cs="Arial" w:eastAsia="Arial" w:hAnsi="Arial"/>
          <w:sz w:val="16"/>
          <w:szCs w:val="16"/>
          <w:color w:val="auto"/>
        </w:rPr>
      </w:pPr>
      <w:r>
        <w:rPr>
          <w:rFonts w:ascii="Arial" w:cs="Arial" w:eastAsia="Arial" w:hAnsi="Arial"/>
          <w:sz w:val="16"/>
          <w:szCs w:val="16"/>
          <w:b w:val="1"/>
          <w:bCs w:val="1"/>
          <w:color w:val="auto"/>
        </w:rPr>
        <w:t>Class A Common Stock</w:t>
      </w:r>
      <w:r>
        <w:rPr>
          <w:rFonts w:ascii="Arial" w:cs="Arial" w:eastAsia="Arial" w:hAnsi="Arial"/>
          <w:sz w:val="16"/>
          <w:szCs w:val="16"/>
          <w:color w:val="auto"/>
        </w:rPr>
        <w:t>. Each holder of shares of Class A Common Stock shall be entitled to one (1) vote for each share thereof</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held.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16"/>
          <w:szCs w:val="16"/>
          <w:color w:val="auto"/>
        </w:rPr>
      </w:pPr>
      <w:r>
        <w:rPr>
          <w:rFonts w:ascii="Arial" w:cs="Arial" w:eastAsia="Arial" w:hAnsi="Arial"/>
          <w:sz w:val="16"/>
          <w:szCs w:val="16"/>
          <w:b w:val="1"/>
          <w:bCs w:val="1"/>
          <w:color w:val="auto"/>
        </w:rPr>
        <w:t>Class B Common Stock</w:t>
      </w:r>
      <w:r>
        <w:rPr>
          <w:rFonts w:ascii="Arial" w:cs="Arial" w:eastAsia="Arial" w:hAnsi="Arial"/>
          <w:sz w:val="16"/>
          <w:szCs w:val="16"/>
          <w:color w:val="auto"/>
        </w:rPr>
        <w:t>. Each holder of shares of Class B Common Stock shall be entitled to ten (10) votes for each share thereof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207" w:lineRule="exact"/>
        <w:rPr>
          <w:sz w:val="20"/>
          <w:szCs w:val="20"/>
          <w:color w:val="auto"/>
        </w:rPr>
      </w:pPr>
    </w:p>
    <w:p>
      <w:pPr>
        <w:jc w:val="both"/>
        <w:ind w:right="420" w:firstLine="1305"/>
        <w:spacing w:after="0" w:line="261" w:lineRule="auto"/>
        <w:tabs>
          <w:tab w:leader="none" w:pos="1955"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Class B Common Stock Protective Provisions</w:t>
      </w:r>
      <w:r>
        <w:rPr>
          <w:rFonts w:ascii="Arial" w:cs="Arial" w:eastAsia="Arial" w:hAnsi="Arial"/>
          <w:sz w:val="18"/>
          <w:szCs w:val="18"/>
          <w:color w:val="auto"/>
        </w:rPr>
        <w:t>. Following the closing of the IPO, so long as any shares of Class B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remain outstanding, the Company shall not, without the approval by vote or written consent of the holders of a majority of the voting power of the Class B Common Stock then outstanding, voting together as a single class, directly or indirectly, or whether by amendment, or through merger, recapitalization, consolidation or otherwise:</w:t>
      </w:r>
    </w:p>
    <w:p>
      <w:pPr>
        <w:spacing w:after="0" w:line="184" w:lineRule="exact"/>
        <w:rPr>
          <w:rFonts w:ascii="Arial" w:cs="Arial" w:eastAsia="Arial" w:hAnsi="Arial"/>
          <w:sz w:val="18"/>
          <w:szCs w:val="18"/>
          <w:color w:val="auto"/>
        </w:rPr>
      </w:pPr>
    </w:p>
    <w:p>
      <w:pPr>
        <w:jc w:val="both"/>
        <w:ind w:firstLine="2601"/>
        <w:spacing w:after="0" w:line="264" w:lineRule="auto"/>
        <w:tabs>
          <w:tab w:leader="none" w:pos="3263" w:val="left"/>
        </w:tabs>
        <w:numPr>
          <w:ilvl w:val="2"/>
          <w:numId w:val="120"/>
        </w:numPr>
        <w:rPr>
          <w:rFonts w:ascii="Arial" w:cs="Arial" w:eastAsia="Arial" w:hAnsi="Arial"/>
          <w:sz w:val="18"/>
          <w:szCs w:val="18"/>
          <w:color w:val="auto"/>
        </w:rPr>
      </w:pPr>
      <w:r>
        <w:rPr>
          <w:rFonts w:ascii="Arial" w:cs="Arial" w:eastAsia="Arial" w:hAnsi="Arial"/>
          <w:sz w:val="18"/>
          <w:szCs w:val="18"/>
          <w:color w:val="auto"/>
        </w:rPr>
        <w:t>amend, alter, or repeal any provision of this Amended and Restated Certificate of Incorporation or the Bylaws of the Company (including any filing of a Certificate of Designation), that modifies the voting, conversion or other powers, preferences, or other special rights or privileges, or restrictions of the Class B Common Stock; or</w:t>
      </w:r>
    </w:p>
    <w:p>
      <w:pPr>
        <w:spacing w:after="0" w:line="181" w:lineRule="exact"/>
        <w:rPr>
          <w:rFonts w:ascii="Arial" w:cs="Arial" w:eastAsia="Arial" w:hAnsi="Arial"/>
          <w:sz w:val="18"/>
          <w:szCs w:val="18"/>
          <w:color w:val="auto"/>
        </w:rPr>
      </w:pPr>
    </w:p>
    <w:p>
      <w:pPr>
        <w:ind w:right="400" w:firstLine="2601"/>
        <w:spacing w:after="0" w:line="308" w:lineRule="auto"/>
        <w:tabs>
          <w:tab w:leader="none" w:pos="3272" w:val="left"/>
        </w:tabs>
        <w:numPr>
          <w:ilvl w:val="2"/>
          <w:numId w:val="120"/>
        </w:numPr>
        <w:rPr>
          <w:rFonts w:ascii="Arial" w:cs="Arial" w:eastAsia="Arial" w:hAnsi="Arial"/>
          <w:sz w:val="17"/>
          <w:szCs w:val="17"/>
          <w:color w:val="auto"/>
        </w:rPr>
      </w:pPr>
      <w:r>
        <w:rPr>
          <w:rFonts w:ascii="Arial" w:cs="Arial" w:eastAsia="Arial" w:hAnsi="Arial"/>
          <w:sz w:val="17"/>
          <w:szCs w:val="17"/>
          <w:color w:val="auto"/>
        </w:rPr>
        <w:t>reclassify any outstanding shares of Class A Common Stock of the Company into shares having rights as to dividends or liquidation that are senior to the Class B Common Stock or the right to more than one (1) vote for each share thereof.</w:t>
      </w:r>
    </w:p>
    <w:p>
      <w:pPr>
        <w:spacing w:after="0" w:line="142" w:lineRule="exact"/>
        <w:rPr>
          <w:rFonts w:ascii="Arial" w:cs="Arial" w:eastAsia="Arial" w:hAnsi="Arial"/>
          <w:sz w:val="17"/>
          <w:szCs w:val="17"/>
          <w:color w:val="auto"/>
        </w:rPr>
      </w:pPr>
    </w:p>
    <w:p>
      <w:pPr>
        <w:ind w:right="240" w:firstLine="1305"/>
        <w:spacing w:after="0" w:line="282" w:lineRule="auto"/>
        <w:tabs>
          <w:tab w:leader="none" w:pos="1952" w:val="left"/>
        </w:tabs>
        <w:numPr>
          <w:ilvl w:val="1"/>
          <w:numId w:val="120"/>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Except as otherwise expressly provided herein or as required by law, the holders of Preferred Stock, Class A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and Class B Common Stock shall vote together and not as separate series or classes.</w:t>
      </w:r>
    </w:p>
    <w:p>
      <w:pPr>
        <w:spacing w:after="0" w:line="165" w:lineRule="exact"/>
        <w:rPr>
          <w:rFonts w:ascii="Arial" w:cs="Arial" w:eastAsia="Arial" w:hAnsi="Arial"/>
          <w:sz w:val="18"/>
          <w:szCs w:val="18"/>
          <w:color w:val="auto"/>
        </w:rPr>
      </w:pPr>
    </w:p>
    <w:p>
      <w:pPr>
        <w:ind w:right="40" w:firstLine="1305"/>
        <w:spacing w:after="0" w:line="271" w:lineRule="auto"/>
        <w:tabs>
          <w:tab w:leader="none" w:pos="1955"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Except as otherwise required by law, holders of Class A Common Stock or Class B Common Stock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General Corporation Law. There shall be no cumulative voting. The number of authorized shares of Class A Common Stock or Class B Common Stock may be increased or decreased (but not below the number of shares thereof then outstanding) by (in addition to any vote of the holders of one or more series of Preferred Stock that may be required by the terms of the Certificate of Incorporation) the affirmative vote of the holders of shares of capital stock of the Corporation representing a majority of the voting power represented by all outstanding shares of capital stock of the Corporation entitled to vote, irrespective of the provisions of Section 242(b)(2) of the General Corporation Law.</w:t>
      </w:r>
    </w:p>
    <w:p>
      <w:pPr>
        <w:spacing w:after="0" w:line="178" w:lineRule="exact"/>
        <w:rPr>
          <w:rFonts w:ascii="Arial" w:cs="Arial" w:eastAsia="Arial" w:hAnsi="Arial"/>
          <w:sz w:val="17"/>
          <w:szCs w:val="17"/>
          <w:color w:val="auto"/>
        </w:rPr>
      </w:pPr>
    </w:p>
    <w:p>
      <w:pPr>
        <w:ind w:firstLine="8"/>
        <w:spacing w:after="0" w:line="291" w:lineRule="auto"/>
        <w:tabs>
          <w:tab w:leader="none" w:pos="648"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Liquidation Rights</w:t>
      </w:r>
      <w:r>
        <w:rPr>
          <w:rFonts w:ascii="Arial" w:cs="Arial" w:eastAsia="Arial" w:hAnsi="Arial"/>
          <w:sz w:val="16"/>
          <w:szCs w:val="16"/>
          <w:color w:val="auto"/>
        </w:rPr>
        <w:t xml:space="preserve">. In the event of a Liquidation Event, upon the completion of the distributions required with respect to each series of Preferred Stock as provided below in Part B.2 of Article Fourth, that may then be outstanding, the remaining assets of the Company legally available for distribution to stockholders shall be distributed on an equal priority, pro rata basis to the holders of Class A Common Stock and Class B Common Stock, unless different treatment of the shares of each such class is approved by the affirmative vote of the holders of a majority of the voting power of the outstanding shares of Class A Common Stock and Class B Common Stock, each voting separately as a class; </w:t>
      </w:r>
      <w:r>
        <w:rPr>
          <w:rFonts w:ascii="Arial" w:cs="Arial" w:eastAsia="Arial" w:hAnsi="Arial"/>
          <w:sz w:val="16"/>
          <w:szCs w:val="16"/>
          <w:i w:val="1"/>
          <w:iCs w:val="1"/>
          <w:color w:val="auto"/>
        </w:rPr>
        <w:t>provided, however</w:t>
      </w:r>
      <w:r>
        <w:rPr>
          <w:rFonts w:ascii="Arial" w:cs="Arial" w:eastAsia="Arial" w:hAnsi="Arial"/>
          <w:sz w:val="16"/>
          <w:szCs w:val="16"/>
          <w:color w:val="auto"/>
        </w:rPr>
        <w:t>, that for the avoidance of doubt, consideration to be paid or received by a holder of Common Stock in connection with any Deemed Liquidation Event pursuant to any employment, consulting, severance or similar services arrangement shall not be deemed to be “distribution to stockholders” for the purpose of this Part A.4 of Article Fourth.</w:t>
      </w:r>
    </w:p>
    <w:p>
      <w:pPr>
        <w:spacing w:after="0" w:line="167" w:lineRule="exact"/>
        <w:rPr>
          <w:rFonts w:ascii="Arial" w:cs="Arial" w:eastAsia="Arial" w:hAnsi="Arial"/>
          <w:sz w:val="16"/>
          <w:szCs w:val="16"/>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Optional Conversion of the Class B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80" w:hanging="679"/>
        <w:spacing w:after="0"/>
        <w:tabs>
          <w:tab w:leader="none" w:pos="32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At the option of the holder thereof, each share of Class B Common Stock shall be convertible, at any time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from time to time, into one fully paid and nonassessable share of Class A Common Stock as provided herein.</w:t>
      </w:r>
    </w:p>
    <w:p>
      <w:pPr>
        <w:spacing w:after="0" w:line="210" w:lineRule="exact"/>
        <w:rPr>
          <w:rFonts w:ascii="Arial" w:cs="Arial" w:eastAsia="Arial" w:hAnsi="Arial"/>
          <w:sz w:val="17"/>
          <w:szCs w:val="17"/>
          <w:color w:val="auto"/>
        </w:rPr>
      </w:pPr>
    </w:p>
    <w:p>
      <w:pPr>
        <w:ind w:right="180" w:firstLine="2601"/>
        <w:spacing w:after="0" w:line="268" w:lineRule="auto"/>
        <w:tabs>
          <w:tab w:leader="none" w:pos="327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Each holder of Class B Common Stock who elects to convert the same into shares of Class A Common Stock shall surrender the certificate or certificates therefor,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Thereupon, the Company shall promptly issue and deliver at such office to such holder a certificate or certificates for the number of shares of Class A Common Stock to which such holder is entitled upon such conversion. Such conversion shall be deemed to have been made immediately prior to the close of business on the date of such surrender of the certificate or certificates representing the shares of Class B Common Stock to be converted, and the person entitled to receive the shares of Class A Common Stock issuable upon such conversion shall be treated for all purposes as the record holder of such shares of Class A Common Stock on such date. If a conversion election under this Section 5(a)(ii) is made in connection with an underwritten offering of the Company’s securities pursuant to the Securities Act of 1933, as amended, the conversion may, at the option of the holder tendering shares of Class B Common Stock for conversion, be conditioned upon the closing with the underwriters of the sale of the Company’s securities pursuant to such offering, in which event the holders making such elections who are entitled to receive Class A Common Stock upon conversion of their Class B Common Stock shall not be deemed to have converted such shares of Class B Common Stock until immediately after to the closing of such sale of the Company’s securities in the offering.</w:t>
      </w:r>
    </w:p>
    <w:p>
      <w:pPr>
        <w:sectPr>
          <w:pgSz w:w="11900" w:h="16838" w:orient="portrait"/>
          <w:cols w:equalWidth="0" w:num="1">
            <w:col w:w="11420"/>
          </w:cols>
          <w:pgMar w:left="240" w:top="125" w:right="239" w:bottom="0" w:gutter="0" w:footer="0" w:header="0"/>
        </w:sectPr>
      </w:pPr>
    </w:p>
    <w:bookmarkStart w:id="206" w:name="page207"/>
    <w:bookmarkEnd w:id="206"/>
    <w:p>
      <w:pPr>
        <w:spacing w:after="0" w:line="31"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Automatic Conversion</w:t>
      </w:r>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ind w:firstLine="1305"/>
        <w:spacing w:after="0" w:line="287" w:lineRule="auto"/>
        <w:tabs>
          <w:tab w:leader="none" w:pos="1942" w:val="left"/>
        </w:tabs>
        <w:numPr>
          <w:ilvl w:val="1"/>
          <w:numId w:val="123"/>
        </w:numPr>
        <w:rPr>
          <w:rFonts w:ascii="Arial" w:cs="Arial" w:eastAsia="Arial" w:hAnsi="Arial"/>
          <w:sz w:val="16"/>
          <w:szCs w:val="16"/>
          <w:color w:val="auto"/>
        </w:rPr>
      </w:pPr>
      <w:r>
        <w:rPr>
          <w:rFonts w:ascii="Arial" w:cs="Arial" w:eastAsia="Arial" w:hAnsi="Arial"/>
          <w:sz w:val="16"/>
          <w:szCs w:val="16"/>
          <w:b w:val="1"/>
          <w:bCs w:val="1"/>
          <w:color w:val="auto"/>
        </w:rPr>
        <w:t>Automatic Conversion of the Class B Common Stock</w:t>
      </w:r>
      <w:r>
        <w:rPr>
          <w:rFonts w:ascii="Arial" w:cs="Arial" w:eastAsia="Arial" w:hAnsi="Arial"/>
          <w:sz w:val="16"/>
          <w:szCs w:val="16"/>
          <w:color w:val="auto"/>
        </w:rPr>
        <w:t>. Following the closing of the IPO, each share of Class B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automatically be converted 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are surrendered to the Company or its transfer agent;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at the office of the Company or any transfer agent for the Class A Common Stock. Thereupon, there shall be issued and delivered to such holder promptly at such office and in its name as shown on such surrendered certificate or certificates, a certificate or certificates for the number of shares of Class A Common Stock into which the shares of Class B Common Stock surrendered were convertible on the date on which such automatic conversion occurred.</w:t>
      </w:r>
    </w:p>
    <w:p>
      <w:pPr>
        <w:spacing w:after="0" w:line="168" w:lineRule="exact"/>
        <w:rPr>
          <w:rFonts w:ascii="Arial" w:cs="Arial" w:eastAsia="Arial" w:hAnsi="Arial"/>
          <w:sz w:val="16"/>
          <w:szCs w:val="16"/>
          <w:color w:val="auto"/>
        </w:rPr>
      </w:pPr>
    </w:p>
    <w:p>
      <w:pPr>
        <w:ind w:right="160" w:firstLine="1305"/>
        <w:spacing w:after="0" w:line="261" w:lineRule="auto"/>
        <w:tabs>
          <w:tab w:leader="none" w:pos="1952" w:val="left"/>
        </w:tabs>
        <w:numPr>
          <w:ilvl w:val="1"/>
          <w:numId w:val="123"/>
        </w:numPr>
        <w:rPr>
          <w:rFonts w:ascii="Arial" w:cs="Arial" w:eastAsia="Arial" w:hAnsi="Arial"/>
          <w:sz w:val="18"/>
          <w:szCs w:val="18"/>
          <w:color w:val="auto"/>
        </w:rPr>
      </w:pPr>
      <w:r>
        <w:rPr>
          <w:rFonts w:ascii="Arial" w:cs="Arial" w:eastAsia="Arial" w:hAnsi="Arial"/>
          <w:sz w:val="18"/>
          <w:szCs w:val="18"/>
          <w:b w:val="1"/>
          <w:bCs w:val="1"/>
          <w:color w:val="auto"/>
        </w:rPr>
        <w:t>Conversion Upon Death</w:t>
      </w:r>
      <w:r>
        <w:rPr>
          <w:rFonts w:ascii="Arial" w:cs="Arial" w:eastAsia="Arial" w:hAnsi="Arial"/>
          <w:sz w:val="18"/>
          <w:szCs w:val="18"/>
          <w:color w:val="auto"/>
        </w:rPr>
        <w:t>. Following the closing of the IPO, each share of Class B Common Stock held of record by a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other than a Founder, shall automatically, without any further action, convert into one fully paid and nonassessable share of Class A Common Stock upon the death of such stockholder. Following the closing of the IPO, each share of Class B Common Stock held of record by a Founder shall automatically, without any further action, convert into one fully paid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and nonassessable share of Class A Common Stock nine (9) months after the date of the death of such Founder.</w:t>
      </w:r>
    </w:p>
    <w:p>
      <w:pPr>
        <w:spacing w:after="0" w:line="225" w:lineRule="exact"/>
        <w:rPr>
          <w:sz w:val="20"/>
          <w:szCs w:val="20"/>
          <w:color w:val="auto"/>
        </w:rPr>
      </w:pPr>
    </w:p>
    <w:p>
      <w:pPr>
        <w:ind w:right="20" w:firstLine="8"/>
        <w:spacing w:after="0" w:line="264" w:lineRule="auto"/>
        <w:tabs>
          <w:tab w:leader="none" w:pos="64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Final Conversion</w:t>
      </w:r>
      <w:r>
        <w:rPr>
          <w:rFonts w:ascii="Arial" w:cs="Arial" w:eastAsia="Arial" w:hAnsi="Arial"/>
          <w:sz w:val="18"/>
          <w:szCs w:val="18"/>
          <w:color w:val="auto"/>
        </w:rPr>
        <w:t>. On the Final Conversion Date (as defined below), each one (1) issued share of Class B Common Stock shall automatically, without any further action, convert into one (1) share of Class A Common Stock. Following the Final Conversion Date, the Company may no longer issue any additional shares of Class B Common Stock.</w:t>
      </w:r>
    </w:p>
    <w:p>
      <w:pPr>
        <w:spacing w:after="0" w:line="181" w:lineRule="exact"/>
        <w:rPr>
          <w:rFonts w:ascii="Arial" w:cs="Arial" w:eastAsia="Arial" w:hAnsi="Arial"/>
          <w:sz w:val="18"/>
          <w:szCs w:val="18"/>
          <w:color w:val="auto"/>
        </w:rPr>
      </w:pPr>
    </w:p>
    <w:p>
      <w:pPr>
        <w:ind w:right="60" w:firstLine="8"/>
        <w:spacing w:after="0" w:line="273" w:lineRule="auto"/>
        <w:tabs>
          <w:tab w:leader="none" w:pos="648"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Reservation of Stock Issuable Upon Conversion</w:t>
      </w:r>
      <w:r>
        <w:rPr>
          <w:rFonts w:ascii="Arial" w:cs="Arial" w:eastAsia="Arial" w:hAnsi="Arial"/>
          <w:sz w:val="17"/>
          <w:szCs w:val="17"/>
          <w:color w:val="auto"/>
        </w:rPr>
        <w:t>. The Company shall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the number of authorized but unissued shares of Class A Common Stock shall not be sufficient to effect the conversion of all then-outstanding shares of Class B Common Stock, the Company will take such corporate action as may, in the opinion of its counsel, be necessary to increase its authorized but unissued shares of Class A Common Stock to such numbers of shares as shall be sufficient for such purpose.</w:t>
      </w:r>
    </w:p>
    <w:p>
      <w:pPr>
        <w:spacing w:after="0" w:line="178" w:lineRule="exact"/>
        <w:rPr>
          <w:rFonts w:ascii="Arial" w:cs="Arial" w:eastAsia="Arial" w:hAnsi="Arial"/>
          <w:sz w:val="17"/>
          <w:szCs w:val="17"/>
          <w:color w:val="auto"/>
        </w:rPr>
      </w:pPr>
    </w:p>
    <w:p>
      <w:pPr>
        <w:ind w:left="660" w:hanging="652"/>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9.1.</w:t>
      </w:r>
      <w:r>
        <w:rPr>
          <w:rFonts w:ascii="Arial" w:cs="Arial" w:eastAsia="Arial" w:hAnsi="Arial"/>
          <w:sz w:val="16"/>
          <w:szCs w:val="16"/>
          <w:color w:val="auto"/>
        </w:rPr>
        <w:t>For purposes of this Part A of Article Fourth, the following definitions shall apply:</w:t>
      </w:r>
    </w:p>
    <w:p>
      <w:pPr>
        <w:spacing w:after="0" w:line="221" w:lineRule="exact"/>
        <w:rPr>
          <w:rFonts w:ascii="Arial" w:cs="Arial" w:eastAsia="Arial" w:hAnsi="Arial"/>
          <w:sz w:val="18"/>
          <w:szCs w:val="18"/>
          <w:color w:val="auto"/>
        </w:rPr>
      </w:pPr>
    </w:p>
    <w:p>
      <w:pPr>
        <w:ind w:right="20" w:firstLine="1305"/>
        <w:spacing w:after="0" w:line="274" w:lineRule="auto"/>
        <w:tabs>
          <w:tab w:leader="none" w:pos="1942" w:val="left"/>
        </w:tabs>
        <w:numPr>
          <w:ilvl w:val="1"/>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Equivalent Consideration</w:t>
      </w:r>
      <w:r>
        <w:rPr>
          <w:rFonts w:ascii="Arial" w:cs="Arial" w:eastAsia="Arial" w:hAnsi="Arial"/>
          <w:sz w:val="17"/>
          <w:szCs w:val="17"/>
          <w:color w:val="auto"/>
        </w:rPr>
        <w:t xml:space="preserve">” shall mean, with respect to the Class A Common Stock or the Class B Common Stock, the same consideration paid or otherwise distributed in respect of the Class B Common Stock or the Class A Common Stock, respectively;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consideration is paid in capital stock or other securities of another entity, such securities need not be identical with respect to voting rights in order to be Equivalent Consideration. For the avoidance of doubt, compensation pursuant to any employment, consulting, severance or other compensatory arrangement to be paid to or received by a person who is also a holder of Class A Common Stock or Class B Common Stock does not constitute consideration in respect of the Class A Common Stock or Class B Common Stock.</w:t>
      </w:r>
    </w:p>
    <w:p>
      <w:pPr>
        <w:spacing w:after="0" w:line="173" w:lineRule="exact"/>
        <w:rPr>
          <w:rFonts w:ascii="Arial" w:cs="Arial" w:eastAsia="Arial" w:hAnsi="Arial"/>
          <w:sz w:val="17"/>
          <w:szCs w:val="17"/>
          <w:color w:val="auto"/>
        </w:rPr>
      </w:pPr>
    </w:p>
    <w:p>
      <w:pPr>
        <w:ind w:right="860" w:firstLine="1305"/>
        <w:spacing w:after="0" w:line="266" w:lineRule="auto"/>
        <w:tabs>
          <w:tab w:leader="none" w:pos="1952"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Family Member</w:t>
      </w:r>
      <w:r>
        <w:rPr>
          <w:rFonts w:ascii="Arial" w:cs="Arial" w:eastAsia="Arial" w:hAnsi="Arial"/>
          <w:sz w:val="18"/>
          <w:szCs w:val="18"/>
          <w:color w:val="auto"/>
        </w:rPr>
        <w:t>” shall mean with respect to any Qualified Stockholder who is a natural person, the spouse, parents, grandparents, lineal descendants, siblings and lineal descendants of siblings (in each case whether by blood relation or adoption) of such Qualified Stockholder.</w:t>
      </w:r>
    </w:p>
    <w:p>
      <w:pPr>
        <w:spacing w:after="0" w:line="176" w:lineRule="exact"/>
        <w:rPr>
          <w:rFonts w:ascii="Arial" w:cs="Arial" w:eastAsia="Arial" w:hAnsi="Arial"/>
          <w:sz w:val="18"/>
          <w:szCs w:val="18"/>
          <w:color w:val="auto"/>
        </w:rPr>
      </w:pPr>
    </w:p>
    <w:p>
      <w:pPr>
        <w:ind w:right="20" w:firstLine="1305"/>
        <w:spacing w:after="0" w:line="258" w:lineRule="auto"/>
        <w:tabs>
          <w:tab w:leader="none" w:pos="19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Conversion Date</w:t>
      </w:r>
      <w:r>
        <w:rPr>
          <w:rFonts w:ascii="Arial" w:cs="Arial" w:eastAsia="Arial" w:hAnsi="Arial"/>
          <w:sz w:val="18"/>
          <w:szCs w:val="18"/>
          <w:color w:val="auto"/>
        </w:rPr>
        <w:t>” means 5:00 p.m. in New York City, New York on the earlier to occur of (i) the first Trading Day following the IPO falling on or after the date on which the outstanding shares of Class B Common Stock represent less than ten percent (10%) of the aggregate number of shares of the then outstanding Class A Common Stock and Class B Common Stock or (ii) the date specified by affirmative vote of (i) the Board of Directors of the Corporation and (ii) the holders of a majority of the voting power of outstanding shares of Class B Common Stock and Preferred Stock, voting together as a single class on an as converted basis.</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Founder</w:t>
      </w:r>
      <w:r>
        <w:rPr>
          <w:rFonts w:ascii="Arial" w:cs="Arial" w:eastAsia="Arial" w:hAnsi="Arial"/>
          <w:sz w:val="17"/>
          <w:szCs w:val="17"/>
          <w:color w:val="auto"/>
        </w:rPr>
        <w:t>” means the following individuals: Eliot Horowitz, Kevin P. Ryan, Dwight Merriman and any Permitted Transferee of</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such Founder.</w:t>
      </w:r>
    </w:p>
    <w:p>
      <w:pPr>
        <w:spacing w:after="0" w:line="206" w:lineRule="exact"/>
        <w:rPr>
          <w:rFonts w:ascii="Arial" w:cs="Arial" w:eastAsia="Arial" w:hAnsi="Arial"/>
          <w:sz w:val="17"/>
          <w:szCs w:val="17"/>
          <w:color w:val="auto"/>
        </w:rPr>
      </w:pPr>
    </w:p>
    <w:p>
      <w:pPr>
        <w:ind w:right="40" w:firstLine="1305"/>
        <w:spacing w:after="0" w:line="266" w:lineRule="auto"/>
        <w:tabs>
          <w:tab w:leader="none" w:pos="19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firmly underwritten public offering pursuant to an effective registration statement under the Securities Act of 1933, as amended, covering the offer and sale of Class A Common Stock where the Class A Common Stock and Class B Common Stock are each a “covered security” as described in Section 18(b) of the Securities Act of 1933, as amended.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1305"/>
        <w:spacing w:after="0" w:line="298" w:lineRule="auto"/>
        <w:tabs>
          <w:tab w:leader="none" w:pos="1949"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Entity</w:t>
      </w:r>
      <w:r>
        <w:rPr>
          <w:rFonts w:ascii="Arial" w:cs="Arial" w:eastAsia="Arial" w:hAnsi="Arial"/>
          <w:sz w:val="16"/>
          <w:szCs w:val="16"/>
          <w:color w:val="auto"/>
        </w:rPr>
        <w:t>” shall mean, with respect to a Qualified Stockholder that is not a natural person, any corporation, partnership or limited liability company in which such Qualified Stockholder directly, or indirectly through one or more Permitted Transferees, owns shares, partnership interests or membership interests, as applicable, with sufficient Voting Control in the corporation, partnership or limited liability company, as the case may be, or otherwise has legally enforceable rights, such that the Qualified Stockholder retains sole dispositive power and exclusive Voting Control with respect to all shares of Class B Common Stock held of record by such corporation, partnership or limited liability company, as the case may be.</w:t>
      </w:r>
    </w:p>
    <w:p>
      <w:pPr>
        <w:spacing w:after="0" w:line="154" w:lineRule="exact"/>
        <w:rPr>
          <w:rFonts w:ascii="Arial" w:cs="Arial" w:eastAsia="Arial" w:hAnsi="Arial"/>
          <w:sz w:val="16"/>
          <w:szCs w:val="16"/>
          <w:color w:val="auto"/>
        </w:rPr>
      </w:pPr>
    </w:p>
    <w:p>
      <w:pPr>
        <w:ind w:left="1980" w:hanging="675"/>
        <w:spacing w:after="0"/>
        <w:tabs>
          <w:tab w:leader="none" w:pos="19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shall mean, and be restricted to, any Transfer of a share of Class B Common Stock:</w:t>
      </w:r>
    </w:p>
    <w:p>
      <w:pPr>
        <w:sectPr>
          <w:pgSz w:w="11900" w:h="16870" w:orient="portrait"/>
          <w:cols w:equalWidth="0" w:num="1">
            <w:col w:w="11420"/>
          </w:cols>
          <w:pgMar w:left="240" w:top="125" w:right="239" w:bottom="0" w:gutter="0" w:footer="0" w:header="0"/>
        </w:sectPr>
      </w:pPr>
    </w:p>
    <w:bookmarkStart w:id="207" w:name="page208"/>
    <w:bookmarkEnd w:id="207"/>
    <w:p>
      <w:pPr>
        <w:spacing w:after="0" w:line="17" w:lineRule="exact"/>
        <w:rPr>
          <w:sz w:val="20"/>
          <w:szCs w:val="20"/>
          <w:color w:val="auto"/>
        </w:rPr>
      </w:pPr>
    </w:p>
    <w:p>
      <w:pPr>
        <w:ind w:left="3280" w:hanging="679"/>
        <w:spacing w:after="0"/>
        <w:tabs>
          <w:tab w:leader="none" w:pos="32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by a Qualified Stockholder that is a natural person, to the trustee of a Permitted Trust of such Qualified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Stockholder;</w:t>
      </w:r>
    </w:p>
    <w:p>
      <w:pPr>
        <w:spacing w:after="0" w:line="211" w:lineRule="exact"/>
        <w:rPr>
          <w:sz w:val="20"/>
          <w:szCs w:val="20"/>
          <w:color w:val="auto"/>
        </w:rPr>
      </w:pPr>
    </w:p>
    <w:p>
      <w:pPr>
        <w:ind w:right="680" w:firstLine="2601"/>
        <w:spacing w:after="0" w:line="277" w:lineRule="auto"/>
        <w:tabs>
          <w:tab w:leader="none" w:pos="3272"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by a Permitted Trust of a Qualified Stockholder, to the Qualified Stockholder or the trustee of any other Permitted Trust of such Qualified Stockholder;</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2"/>
          <w:numId w:val="127"/>
        </w:numPr>
        <w:rPr>
          <w:rFonts w:ascii="Arial" w:cs="Arial" w:eastAsia="Arial" w:hAnsi="Arial"/>
          <w:sz w:val="16"/>
          <w:szCs w:val="16"/>
          <w:color w:val="auto"/>
        </w:rPr>
      </w:pPr>
      <w:r>
        <w:rPr>
          <w:rFonts w:ascii="Arial" w:cs="Arial" w:eastAsia="Arial" w:hAnsi="Arial"/>
          <w:sz w:val="16"/>
          <w:szCs w:val="16"/>
          <w:color w:val="auto"/>
        </w:rPr>
        <w:t>by a Qualified Stockholder that is not a natural person to any Permitted Entity of such Qualified Stockholder; or</w:t>
      </w:r>
    </w:p>
    <w:p>
      <w:pPr>
        <w:spacing w:after="0" w:line="248" w:lineRule="exact"/>
        <w:rPr>
          <w:rFonts w:ascii="Arial" w:cs="Arial" w:eastAsia="Arial" w:hAnsi="Arial"/>
          <w:sz w:val="16"/>
          <w:szCs w:val="16"/>
          <w:color w:val="auto"/>
        </w:rPr>
      </w:pPr>
    </w:p>
    <w:p>
      <w:pPr>
        <w:ind w:right="120" w:firstLine="2601"/>
        <w:spacing w:after="0" w:line="277" w:lineRule="auto"/>
        <w:tabs>
          <w:tab w:leader="none" w:pos="3258" w:val="left"/>
        </w:tabs>
        <w:numPr>
          <w:ilvl w:val="2"/>
          <w:numId w:val="127"/>
        </w:numPr>
        <w:rPr>
          <w:rFonts w:ascii="Arial" w:cs="Arial" w:eastAsia="Arial" w:hAnsi="Arial"/>
          <w:sz w:val="18"/>
          <w:szCs w:val="18"/>
          <w:color w:val="auto"/>
        </w:rPr>
      </w:pPr>
      <w:r>
        <w:rPr>
          <w:rFonts w:ascii="Arial" w:cs="Arial" w:eastAsia="Arial" w:hAnsi="Arial"/>
          <w:sz w:val="18"/>
          <w:szCs w:val="18"/>
          <w:color w:val="auto"/>
        </w:rPr>
        <w:t>by a Permitted Entity of a Qualified Stockholder that is not a natural person to the Qualified Stockholder or any other Permitted Entity of such Qualified Stockholder.</w:t>
      </w:r>
    </w:p>
    <w:p>
      <w:pPr>
        <w:spacing w:after="0" w:line="166"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w:t>
      </w:r>
      <w:r>
        <w:rPr>
          <w:rFonts w:ascii="Arial" w:cs="Arial" w:eastAsia="Arial" w:hAnsi="Arial"/>
          <w:sz w:val="17"/>
          <w:szCs w:val="17"/>
          <w:color w:val="auto"/>
        </w:rPr>
        <w:t>” shall mean a transferee of shares of Class B Common Stock received in a Transfer that constitutes a</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Permitted Transfer.</w:t>
      </w:r>
    </w:p>
    <w:p>
      <w:pPr>
        <w:spacing w:after="0" w:line="206" w:lineRule="exact"/>
        <w:rPr>
          <w:rFonts w:ascii="Arial" w:cs="Arial" w:eastAsia="Arial" w:hAnsi="Arial"/>
          <w:sz w:val="17"/>
          <w:szCs w:val="17"/>
          <w:color w:val="auto"/>
        </w:rPr>
      </w:pPr>
    </w:p>
    <w:p>
      <w:pPr>
        <w:ind w:right="40" w:firstLine="1305"/>
        <w:spacing w:after="0" w:line="258" w:lineRule="auto"/>
        <w:tabs>
          <w:tab w:leader="none" w:pos="1966"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Trust</w:t>
      </w:r>
      <w:r>
        <w:rPr>
          <w:rFonts w:ascii="Arial" w:cs="Arial" w:eastAsia="Arial" w:hAnsi="Arial"/>
          <w:sz w:val="18"/>
          <w:szCs w:val="18"/>
          <w:color w:val="auto"/>
        </w:rPr>
        <w:t>” shall mean a bona fide trust for the benefit of a Qualified Stockholder or Family Members of the Qualified Stockholder, if such Transfer does not involve any payment of cash, securities, property or other consideration (other than an interest in such trust) to the Qualified Stockholder, or a trust under the terms of which such Qualified Stockholder has retained a “qualified interest” within the meaning of §2702(b)(1) of the Internal Revenue Code and/or a reversionary interest, in each case so long as the Qualified Stockholder has sole dispositive power and exclusive Voting Control with respect to the shares of Class B Common Stock held by such trust.</w:t>
      </w:r>
    </w:p>
    <w:p>
      <w:pPr>
        <w:spacing w:after="0" w:line="183" w:lineRule="exact"/>
        <w:rPr>
          <w:rFonts w:ascii="Arial" w:cs="Arial" w:eastAsia="Arial" w:hAnsi="Arial"/>
          <w:sz w:val="18"/>
          <w:szCs w:val="18"/>
          <w:color w:val="auto"/>
        </w:rPr>
      </w:pPr>
    </w:p>
    <w:p>
      <w:pPr>
        <w:ind w:left="1960" w:hanging="655"/>
        <w:spacing w:after="0"/>
        <w:tabs>
          <w:tab w:leader="none" w:pos="196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Stockholder</w:t>
      </w:r>
      <w:r>
        <w:rPr>
          <w:rFonts w:ascii="Arial" w:cs="Arial" w:eastAsia="Arial" w:hAnsi="Arial"/>
          <w:sz w:val="16"/>
          <w:szCs w:val="16"/>
          <w:color w:val="auto"/>
        </w:rPr>
        <w:t>” shall mean (i) the registered holder of a share of Class B Common Stock immediately prior to the IPO;</w:t>
      </w:r>
    </w:p>
    <w:p>
      <w:pPr>
        <w:spacing w:after="0" w:line="50" w:lineRule="exact"/>
        <w:rPr>
          <w:rFonts w:ascii="Arial" w:cs="Arial" w:eastAsia="Arial" w:hAnsi="Arial"/>
          <w:sz w:val="16"/>
          <w:szCs w:val="16"/>
          <w:color w:val="auto"/>
        </w:rPr>
      </w:pPr>
    </w:p>
    <w:p>
      <w:pPr>
        <w:ind w:right="780" w:firstLine="8"/>
        <w:spacing w:after="0" w:line="290" w:lineRule="auto"/>
        <w:tabs>
          <w:tab w:leader="none" w:pos="26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initial registered holder of any shares of Class B Common Stock that are originally issued by the Company after the IPO (including, without limitation, upon conversion of the Preferred Stock or upon exercise of options or warrants); and (iii) a Permitted Transferee.</w:t>
      </w:r>
    </w:p>
    <w:p>
      <w:pPr>
        <w:spacing w:after="0" w:line="157" w:lineRule="exact"/>
        <w:rPr>
          <w:rFonts w:ascii="Arial" w:cs="Arial" w:eastAsia="Arial" w:hAnsi="Arial"/>
          <w:sz w:val="17"/>
          <w:szCs w:val="17"/>
          <w:color w:val="auto"/>
        </w:rPr>
      </w:pPr>
    </w:p>
    <w:p>
      <w:pPr>
        <w:ind w:firstLine="1305"/>
        <w:spacing w:after="0" w:line="255" w:lineRule="auto"/>
        <w:tabs>
          <w:tab w:leader="none" w:pos="195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of a share of Class B Common Stock shall mean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such that the previous holders of such voting power no longer retain sole dispositive power and exclusive Voting Control with respect to the shares of Class B Common Stock held by such holder;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following shall not be considered a “Transfer” within the meaning of this Article Fourth: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2601"/>
        <w:spacing w:after="0" w:line="277" w:lineRule="auto"/>
        <w:tabs>
          <w:tab w:leader="none" w:pos="326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Company at the request of the Board of Directors of the Corporation in connection with actions to be taken at an annual or special meeting of stockholders;</w:t>
      </w:r>
    </w:p>
    <w:p>
      <w:pPr>
        <w:spacing w:after="0" w:line="170" w:lineRule="exact"/>
        <w:rPr>
          <w:rFonts w:ascii="Arial" w:cs="Arial" w:eastAsia="Arial" w:hAnsi="Arial"/>
          <w:sz w:val="18"/>
          <w:szCs w:val="18"/>
          <w:color w:val="auto"/>
        </w:rPr>
      </w:pPr>
    </w:p>
    <w:p>
      <w:pPr>
        <w:ind w:right="60" w:firstLine="2601"/>
        <w:spacing w:after="0" w:line="257" w:lineRule="auto"/>
        <w:tabs>
          <w:tab w:leader="none" w:pos="327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88" w:lineRule="exact"/>
        <w:rPr>
          <w:rFonts w:ascii="Arial" w:cs="Arial" w:eastAsia="Arial" w:hAnsi="Arial"/>
          <w:sz w:val="18"/>
          <w:szCs w:val="18"/>
          <w:color w:val="auto"/>
        </w:rPr>
      </w:pPr>
    </w:p>
    <w:p>
      <w:pPr>
        <w:ind w:right="60" w:firstLine="2601"/>
        <w:spacing w:after="0" w:line="259" w:lineRule="auto"/>
        <w:tabs>
          <w:tab w:leader="none" w:pos="328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 foreclosure on such shares or other similar action by the pledgee shall constitute a “Transfer” unless such foreclosure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action qualifies as a “Permitted Transfer”;</w:t>
      </w:r>
    </w:p>
    <w:p>
      <w:pPr>
        <w:spacing w:after="0" w:line="186" w:lineRule="exact"/>
        <w:rPr>
          <w:rFonts w:ascii="Arial" w:cs="Arial" w:eastAsia="Arial" w:hAnsi="Arial"/>
          <w:sz w:val="18"/>
          <w:szCs w:val="18"/>
          <w:color w:val="auto"/>
        </w:rPr>
      </w:pPr>
    </w:p>
    <w:p>
      <w:pPr>
        <w:ind w:right="20" w:firstLine="2601"/>
        <w:spacing w:after="0" w:line="279" w:lineRule="auto"/>
        <w:tabs>
          <w:tab w:leader="none" w:pos="3258"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granting of a proxy by a Founder to a person discussed with the At-Large Director(s) (as such term is defined in the Company’s Amended and Restated Voting Agreement dated November 17, 2016 by and among the Company and the parties identified therein, as may be amended and/or restated from time to time), to exercise Voting Control of the shares of Class B Common Stock owned directly or indirectly, beneficially and of record, by such Founder effective as of the death of such Founder or the exercise by such person of such proxy; or</w:t>
      </w:r>
    </w:p>
    <w:p>
      <w:pPr>
        <w:spacing w:after="0" w:line="171" w:lineRule="exact"/>
        <w:rPr>
          <w:rFonts w:ascii="Arial" w:cs="Arial" w:eastAsia="Arial" w:hAnsi="Arial"/>
          <w:sz w:val="17"/>
          <w:szCs w:val="17"/>
          <w:color w:val="auto"/>
        </w:rPr>
      </w:pPr>
    </w:p>
    <w:p>
      <w:pPr>
        <w:ind w:right="480" w:firstLine="2601"/>
        <w:spacing w:after="0" w:line="277" w:lineRule="auto"/>
        <w:tabs>
          <w:tab w:leader="none" w:pos="324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entering into a support or similar voting agreement (with or without granting a proxy) in connection with a Deemed Liquidation Event (as defined below).</w:t>
      </w:r>
    </w:p>
    <w:p>
      <w:pPr>
        <w:spacing w:after="0" w:line="166" w:lineRule="exact"/>
        <w:rPr>
          <w:sz w:val="20"/>
          <w:szCs w:val="20"/>
          <w:color w:val="auto"/>
        </w:rPr>
      </w:pPr>
    </w:p>
    <w:p>
      <w:pPr>
        <w:ind w:right="20" w:firstLine="648"/>
        <w:spacing w:after="0" w:line="295"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Transfer</w:t>
      </w:r>
      <w:r>
        <w:rPr>
          <w:rFonts w:ascii="Arial" w:cs="Arial" w:eastAsia="Arial" w:hAnsi="Arial"/>
          <w:sz w:val="16"/>
          <w:szCs w:val="16"/>
          <w:color w:val="auto"/>
        </w:rPr>
        <w:t>”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direct or indirect Parent of such entity, other than a Transfer to parties that are, as of the Effective Time, holders of voting securities of any such entity or Parent of such entity. “Parent” of an entity shall mean any entity that directly or indirectly owns or controls a majority of the voting power of the voting securities of such entity.</w:t>
      </w:r>
    </w:p>
    <w:p>
      <w:pPr>
        <w:spacing w:after="0" w:line="156" w:lineRule="exact"/>
        <w:rPr>
          <w:sz w:val="20"/>
          <w:szCs w:val="20"/>
          <w:color w:val="auto"/>
        </w:rPr>
      </w:pPr>
    </w:p>
    <w:p>
      <w:pPr>
        <w:ind w:right="140" w:firstLine="1305"/>
        <w:spacing w:after="0" w:line="282" w:lineRule="auto"/>
        <w:tabs>
          <w:tab w:leader="none" w:pos="1966"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Control</w:t>
      </w:r>
      <w:r>
        <w:rPr>
          <w:rFonts w:ascii="Arial" w:cs="Arial" w:eastAsia="Arial" w:hAnsi="Arial"/>
          <w:sz w:val="18"/>
          <w:szCs w:val="18"/>
          <w:color w:val="auto"/>
        </w:rPr>
        <w:t>” shall mean, with respect to a share of Class B Common Stock, the power (whether exclusive or shared) to vote or direct the voting of such share by proxy, voting agreement or otherwise.</w:t>
      </w:r>
    </w:p>
    <w:p>
      <w:pPr>
        <w:spacing w:after="0" w:line="161" w:lineRule="exact"/>
        <w:rPr>
          <w:rFonts w:ascii="Arial" w:cs="Arial" w:eastAsia="Arial" w:hAnsi="Arial"/>
          <w:sz w:val="18"/>
          <w:szCs w:val="18"/>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3,311,258 shares of the authorized and issued Preferred Stock of the Corporation are hereby designated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7,131,860</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shares of the authorized and issued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6,041,034 shares of the authorized and issued Preferred Stock of the Corporation are hereby designated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4,706,017 shares of the authorized and issued Preferred Stock of the Corporation are hereby designated “</w:t>
      </w:r>
      <w:r>
        <w:rPr>
          <w:rFonts w:ascii="Arial" w:cs="Arial" w:eastAsia="Arial" w:hAnsi="Arial"/>
          <w:sz w:val="17"/>
          <w:szCs w:val="17"/>
          <w:b w:val="1"/>
          <w:bCs w:val="1"/>
          <w:color w:val="auto"/>
        </w:rPr>
        <w:t>Series D Preferred Stock</w:t>
      </w:r>
      <w:r>
        <w:rPr>
          <w:rFonts w:ascii="Arial" w:cs="Arial" w:eastAsia="Arial" w:hAnsi="Arial"/>
          <w:sz w:val="17"/>
          <w:szCs w:val="17"/>
          <w:color w:val="auto"/>
        </w:rPr>
        <w:t>”, 4,158,051 shares of the authorized and issued or unissued Preferred Stock of the Corporation are hereby designated “</w:t>
      </w:r>
      <w:r>
        <w:rPr>
          <w:rFonts w:ascii="Arial" w:cs="Arial" w:eastAsia="Arial" w:hAnsi="Arial"/>
          <w:sz w:val="17"/>
          <w:szCs w:val="17"/>
          <w:b w:val="1"/>
          <w:bCs w:val="1"/>
          <w:color w:val="auto"/>
        </w:rPr>
        <w:t>Series E Preferred Stock</w:t>
      </w:r>
      <w:r>
        <w:rPr>
          <w:rFonts w:ascii="Arial" w:cs="Arial" w:eastAsia="Arial" w:hAnsi="Arial"/>
          <w:sz w:val="17"/>
          <w:szCs w:val="17"/>
          <w:color w:val="auto"/>
        </w:rPr>
        <w:t>” and 15,886,621 shares of the</w:t>
      </w:r>
    </w:p>
    <w:p>
      <w:pPr>
        <w:sectPr>
          <w:pgSz w:w="11900" w:h="16855" w:orient="portrait"/>
          <w:cols w:equalWidth="0" w:num="1">
            <w:col w:w="11420"/>
          </w:cols>
          <w:pgMar w:left="240" w:top="342" w:right="239" w:bottom="0" w:gutter="0" w:footer="0" w:header="0"/>
        </w:sectPr>
      </w:pPr>
    </w:p>
    <w:bookmarkStart w:id="208" w:name="page209"/>
    <w:bookmarkEnd w:id="208"/>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authorized and unissued Preferred Stock of the Corporation are hereby designated “</w:t>
      </w:r>
      <w:r>
        <w:rPr>
          <w:rFonts w:ascii="Arial" w:cs="Arial" w:eastAsia="Arial" w:hAnsi="Arial"/>
          <w:sz w:val="18"/>
          <w:szCs w:val="18"/>
          <w:b w:val="1"/>
          <w:bCs w:val="1"/>
          <w:color w:val="auto"/>
        </w:rPr>
        <w:t>Series F Preferred Stock</w:t>
      </w:r>
      <w:r>
        <w:rPr>
          <w:rFonts w:ascii="Arial" w:cs="Arial" w:eastAsia="Arial" w:hAnsi="Arial"/>
          <w:sz w:val="18"/>
          <w:szCs w:val="18"/>
          <w:color w:val="auto"/>
        </w:rPr>
        <w:t>” with the following rights, preferences, powers, privileges and restrictions, qualifications and limitations. Unless otherwise indicated, references to “</w:t>
      </w:r>
      <w:r>
        <w:rPr>
          <w:rFonts w:ascii="Arial" w:cs="Arial" w:eastAsia="Arial" w:hAnsi="Arial"/>
          <w:sz w:val="18"/>
          <w:szCs w:val="18"/>
          <w:b w:val="1"/>
          <w:bCs w:val="1"/>
          <w:color w:val="auto"/>
        </w:rPr>
        <w:t>Sections</w:t>
      </w:r>
      <w:r>
        <w:rPr>
          <w:rFonts w:ascii="Arial" w:cs="Arial" w:eastAsia="Arial" w:hAnsi="Arial"/>
          <w:sz w:val="18"/>
          <w:szCs w:val="18"/>
          <w:color w:val="auto"/>
        </w:rPr>
        <w:t>” or “</w:t>
      </w:r>
      <w:r>
        <w:rPr>
          <w:rFonts w:ascii="Arial" w:cs="Arial" w:eastAsia="Arial" w:hAnsi="Arial"/>
          <w:sz w:val="18"/>
          <w:szCs w:val="18"/>
          <w:b w:val="1"/>
          <w:bCs w:val="1"/>
          <w:color w:val="auto"/>
        </w:rPr>
        <w:t>Subsections</w:t>
      </w:r>
      <w:r>
        <w:rPr>
          <w:rFonts w:ascii="Arial" w:cs="Arial" w:eastAsia="Arial" w:hAnsi="Arial"/>
          <w:sz w:val="18"/>
          <w:szCs w:val="18"/>
          <w:color w:val="auto"/>
        </w:rPr>
        <w:t xml:space="preserve">” in this Part B of this Article Fourth refer to sections and subsections of </w:t>
      </w:r>
      <w:r>
        <w:rPr>
          <w:rFonts w:ascii="Arial" w:cs="Arial" w:eastAsia="Arial" w:hAnsi="Arial"/>
          <w:sz w:val="18"/>
          <w:szCs w:val="18"/>
          <w:b w:val="1"/>
          <w:bCs w:val="1"/>
          <w:color w:val="auto"/>
        </w:rPr>
        <w:t>Part B</w:t>
      </w:r>
      <w:r>
        <w:rPr>
          <w:rFonts w:ascii="Arial" w:cs="Arial" w:eastAsia="Arial" w:hAnsi="Arial"/>
          <w:sz w:val="18"/>
          <w:szCs w:val="18"/>
          <w:color w:val="auto"/>
        </w:rPr>
        <w:t xml:space="preserve"> of this Article Fourth.</w:t>
      </w:r>
    </w:p>
    <w:p>
      <w:pPr>
        <w:spacing w:after="0" w:line="180" w:lineRule="exact"/>
        <w:rPr>
          <w:sz w:val="20"/>
          <w:szCs w:val="20"/>
          <w:color w:val="auto"/>
        </w:rPr>
      </w:pPr>
    </w:p>
    <w:p>
      <w:pPr>
        <w:ind w:right="60" w:firstLine="8"/>
        <w:spacing w:after="0" w:line="286" w:lineRule="auto"/>
        <w:tabs>
          <w:tab w:leader="none" w:pos="648"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xml:space="preserve">. The Corporation shall not declare, pay or set aside any dividends on shares of any other class or series of capital stock of the Corporation (other than dividends on shares of Common Stock payable in shares of Common Stock or other securities and rights converting into or entitling the holder thereof to receive directly or indirectly, additional shares of Common Stock) unless (in addition to the obtaining of any consents required elsewhere in the Certificate of Incorporation) the holders of the Preferred Stock then outstanding shall first receive, on a pari passu basis, a non-cumulative dividend on each outstanding share of Preferred Stock at the applicable Dividend Rate (as defined below). Payments of any dividend with respect to shares of Preferred Stock shall be pro rata in proportion to the dividend rate applicable to each such share of Preferred Stock. No dividend shall be paid on Common Stock at a rate greater than that paid to the holders of Preferred Stock (on an as if converted basis). After payment of such dividends to the holders of Preferred Stock, any additional dividends or distributions shall be distributed among all holders of Common Stock and Preferred Stock in proportion to the number of shares of Common Stock that would be held by each such holder if all shares of Preferred Stock were converted into Common Stock at the then effective conversion rate. For the purposes of this </w:t>
      </w:r>
      <w:r>
        <w:rPr>
          <w:rFonts w:ascii="Arial" w:cs="Arial" w:eastAsia="Arial" w:hAnsi="Arial"/>
          <w:sz w:val="16"/>
          <w:szCs w:val="16"/>
          <w:u w:val="single" w:color="auto"/>
          <w:color w:val="auto"/>
        </w:rPr>
        <w:t>Section 1</w:t>
      </w:r>
      <w:r>
        <w:rPr>
          <w:rFonts w:ascii="Arial" w:cs="Arial" w:eastAsia="Arial" w:hAnsi="Arial"/>
          <w:sz w:val="16"/>
          <w:szCs w:val="16"/>
          <w:color w:val="auto"/>
        </w:rPr>
        <w:t>, “Dividend Rate” shall mean $0.03624 per annum for each share of Series A Preferred Stock, $0.039483 per share for each share of Series B Preferred Stock, $0.086365 per share for each share of Series C Preferred Stock, $0.33999 per share for each share of Series D Preferred Stock, $0.961989 per share for each share of Series E Preferred Stock and $1.33793 per share for each share of Series F Preferred Stock (each as adjusted for any stock dividend, stock split, combination or similar recapitalization).</w:t>
      </w:r>
    </w:p>
    <w:p>
      <w:pPr>
        <w:spacing w:after="0" w:line="174" w:lineRule="exact"/>
        <w:rPr>
          <w:rFonts w:ascii="Arial" w:cs="Arial" w:eastAsia="Arial" w:hAnsi="Arial"/>
          <w:sz w:val="16"/>
          <w:szCs w:val="16"/>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A Preferred Stock, Series B Preferred Stock, Series C Preferred Stock, Series D 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Series E Preferred Stock and Series F Preferred Stock</w:t>
      </w:r>
      <w:r>
        <w:rPr>
          <w:rFonts w:ascii="Arial" w:cs="Arial" w:eastAsia="Arial" w:hAnsi="Arial"/>
          <w:sz w:val="16"/>
          <w:szCs w:val="16"/>
          <w:color w:val="auto"/>
        </w:rPr>
        <w:t>. In the event of any voluntary or involuntary liquidation, dissolution or winding up of the Corporation or Deemed Liquidation Event, the holders of shares of Preferred Stock then outstanding, on a pari passu basis, shall be entitled to be paid out of the assets of the Corporation available for distribution to its stockholders before any payment shall be made to the holders of Common Stock by reason of their ownership thereof, an amount per share equal to the greater of (i) (a) $16.724127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F Original Issue Price</w:t>
      </w:r>
      <w:r>
        <w:rPr>
          <w:rFonts w:ascii="Arial" w:cs="Arial" w:eastAsia="Arial" w:hAnsi="Arial"/>
          <w:sz w:val="16"/>
          <w:szCs w:val="16"/>
          <w:color w:val="auto"/>
        </w:rPr>
        <w:t>”), plus any dividends declared but unpaid thereon in the case of Series F Preferred Stock, (b) $12.024864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E Original Issue Price</w:t>
      </w:r>
      <w:r>
        <w:rPr>
          <w:rFonts w:ascii="Arial" w:cs="Arial" w:eastAsia="Arial" w:hAnsi="Arial"/>
          <w:sz w:val="16"/>
          <w:szCs w:val="16"/>
          <w:color w:val="auto"/>
        </w:rPr>
        <w:t>”), plus any dividends declared but unpaid thereon in the case of Series E Preferred Stock, (c) $4.2498787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D Original Issue Price</w:t>
      </w:r>
      <w:r>
        <w:rPr>
          <w:rFonts w:ascii="Arial" w:cs="Arial" w:eastAsia="Arial" w:hAnsi="Arial"/>
          <w:sz w:val="16"/>
          <w:szCs w:val="16"/>
          <w:color w:val="auto"/>
        </w:rPr>
        <w:t>”), plus any dividends declared but unpaid thereon in the case of Series D Preferred Stock, (d) $1.079573108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plus any dividends declared but unpaid thereon in the case of Series C Preferred Stock, (e) $0.493537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plus any dividends declared but unpaid thereon in the case of Series B Preferred Stock and (f) $0.453 per share (subject to appropriate adjustment in the event of any stock dividend, stock split, combination or other similar recapitalization affecting the Preferred Stock)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plus any dividends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declared but unpaid thereon in the case of Series A Preferred Stock, or (ii) such amount per share as would have been payable had all shares of such series of Preferred Stock been converted into Class B Common Stock pursuant to Section 4 immediately prior to such liquidation, dissolution or winding up (the amount payable pursuant to this sentence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with respect to the Series A Preferred Stock, the “</w:t>
      </w:r>
      <w:r>
        <w:rPr>
          <w:rFonts w:ascii="Arial" w:cs="Arial" w:eastAsia="Arial" w:hAnsi="Arial"/>
          <w:sz w:val="17"/>
          <w:szCs w:val="17"/>
          <w:b w:val="1"/>
          <w:bCs w:val="1"/>
          <w:color w:val="auto"/>
        </w:rPr>
        <w:t>Series B Liquidation Amount</w:t>
      </w:r>
      <w:r>
        <w:rPr>
          <w:rFonts w:ascii="Arial" w:cs="Arial" w:eastAsia="Arial" w:hAnsi="Arial"/>
          <w:sz w:val="17"/>
          <w:szCs w:val="17"/>
          <w:color w:val="auto"/>
        </w:rPr>
        <w:t>” with respect to the Series B Preferred Stock, the “</w:t>
      </w:r>
      <w:r>
        <w:rPr>
          <w:rFonts w:ascii="Arial" w:cs="Arial" w:eastAsia="Arial" w:hAnsi="Arial"/>
          <w:sz w:val="17"/>
          <w:szCs w:val="17"/>
          <w:b w:val="1"/>
          <w:bCs w:val="1"/>
          <w:color w:val="auto"/>
        </w:rPr>
        <w:t>Series C Liquidation Amount</w:t>
      </w:r>
      <w:r>
        <w:rPr>
          <w:rFonts w:ascii="Arial" w:cs="Arial" w:eastAsia="Arial" w:hAnsi="Arial"/>
          <w:sz w:val="17"/>
          <w:szCs w:val="17"/>
          <w:color w:val="auto"/>
        </w:rPr>
        <w:t>” with respect to the Series C Preferred Stock, the “</w:t>
      </w:r>
      <w:r>
        <w:rPr>
          <w:rFonts w:ascii="Arial" w:cs="Arial" w:eastAsia="Arial" w:hAnsi="Arial"/>
          <w:sz w:val="17"/>
          <w:szCs w:val="17"/>
          <w:b w:val="1"/>
          <w:bCs w:val="1"/>
          <w:color w:val="auto"/>
        </w:rPr>
        <w:t>Series D Liquidation Amount</w:t>
      </w:r>
      <w:r>
        <w:rPr>
          <w:rFonts w:ascii="Arial" w:cs="Arial" w:eastAsia="Arial" w:hAnsi="Arial"/>
          <w:sz w:val="17"/>
          <w:szCs w:val="17"/>
          <w:color w:val="auto"/>
        </w:rPr>
        <w:t>” with respect to the Series D Preferred Stock, the “</w:t>
      </w:r>
      <w:r>
        <w:rPr>
          <w:rFonts w:ascii="Arial" w:cs="Arial" w:eastAsia="Arial" w:hAnsi="Arial"/>
          <w:sz w:val="17"/>
          <w:szCs w:val="17"/>
          <w:b w:val="1"/>
          <w:bCs w:val="1"/>
          <w:color w:val="auto"/>
        </w:rPr>
        <w:t>Series E Liquidation Amount</w:t>
      </w:r>
      <w:r>
        <w:rPr>
          <w:rFonts w:ascii="Arial" w:cs="Arial" w:eastAsia="Arial" w:hAnsi="Arial"/>
          <w:sz w:val="17"/>
          <w:szCs w:val="17"/>
          <w:color w:val="auto"/>
        </w:rPr>
        <w:t>” with respect to the Series E Preferred Stock and the “</w:t>
      </w:r>
      <w:r>
        <w:rPr>
          <w:rFonts w:ascii="Arial" w:cs="Arial" w:eastAsia="Arial" w:hAnsi="Arial"/>
          <w:sz w:val="17"/>
          <w:szCs w:val="17"/>
          <w:b w:val="1"/>
          <w:bCs w:val="1"/>
          <w:color w:val="auto"/>
        </w:rPr>
        <w:t>Series F Liquidation Amount</w:t>
      </w:r>
      <w:r>
        <w:rPr>
          <w:rFonts w:ascii="Arial" w:cs="Arial" w:eastAsia="Arial" w:hAnsi="Arial"/>
          <w:sz w:val="17"/>
          <w:szCs w:val="17"/>
          <w:color w:val="auto"/>
        </w:rPr>
        <w:t>” with respect to the Series F Preferred Stock and together with the Series A Liquidation Amount, Series B Liquidation Amount, Series C Liquidation Amount, Series D Liquidation Amount and Series E Liquidation Amount, the “</w:t>
      </w:r>
      <w:r>
        <w:rPr>
          <w:rFonts w:ascii="Arial" w:cs="Arial" w:eastAsia="Arial" w:hAnsi="Arial"/>
          <w:sz w:val="17"/>
          <w:szCs w:val="17"/>
          <w:b w:val="1"/>
          <w:bCs w:val="1"/>
          <w:color w:val="auto"/>
        </w:rPr>
        <w:t>Preferred Liquidation</w:t>
      </w:r>
      <w:r>
        <w:rPr>
          <w:rFonts w:ascii="Arial" w:cs="Arial" w:eastAsia="Arial" w:hAnsi="Arial"/>
          <w:sz w:val="17"/>
          <w:szCs w:val="17"/>
          <w:color w:val="auto"/>
        </w:rPr>
        <w:t xml:space="preserve"> </w:t>
      </w:r>
      <w:r>
        <w:rPr>
          <w:rFonts w:ascii="Arial" w:cs="Arial" w:eastAsia="Arial" w:hAnsi="Arial"/>
          <w:sz w:val="17"/>
          <w:szCs w:val="17"/>
          <w:b w:val="1"/>
          <w:bCs w:val="1"/>
          <w:color w:val="auto"/>
        </w:rPr>
        <w:t>Amounts</w:t>
      </w:r>
      <w:r>
        <w:rPr>
          <w:rFonts w:ascii="Arial" w:cs="Arial" w:eastAsia="Arial" w:hAnsi="Arial"/>
          <w:sz w:val="17"/>
          <w:szCs w:val="17"/>
          <w:color w:val="auto"/>
        </w:rPr>
        <w:t>”). If upon any such liquidation, dissolution or winding up of the Corporation, the assets of the Corporation available for distribution to its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shall be insufficient to pay the holders of shares of Preferred Stock the full amount to which they shall be entitled under Subsection 2.1(i),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 under Subsection 2.1(i).</w:t>
      </w:r>
    </w:p>
    <w:p>
      <w:pPr>
        <w:spacing w:after="0" w:line="18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Payments to Holders of Common Stock</w:t>
      </w:r>
      <w:r>
        <w:rPr>
          <w:rFonts w:ascii="Arial" w:cs="Arial" w:eastAsia="Arial" w:hAnsi="Arial"/>
          <w:sz w:val="18"/>
          <w:szCs w:val="18"/>
          <w:color w:val="auto"/>
        </w:rPr>
        <w:t>. In the event of any voluntary or involuntary liquidation, dissolution or winding up of the Corporation or Deemed Liquidation Event, after the payment of all preferential amounts required to be paid to the holders of shares of Preferred Stock, the remaining assets of the Corporation available for distribution to its stockholders shall be distributed among the holders of shares of Common Stock, as provided for in Part A.4 of Article Fourth.</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221"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Definition</w:t>
      </w:r>
      <w:r>
        <w:rPr>
          <w:rFonts w:ascii="Arial" w:cs="Arial" w:eastAsia="Arial" w:hAnsi="Arial"/>
          <w:sz w:val="18"/>
          <w:szCs w:val="18"/>
          <w:color w:val="auto"/>
        </w:rPr>
        <w:t>. Each of the following events shall be considered a liquidation of the Corporation (a “</w:t>
      </w:r>
      <w:r>
        <w:rPr>
          <w:rFonts w:ascii="Arial" w:cs="Arial" w:eastAsia="Arial" w:hAnsi="Arial"/>
          <w:sz w:val="18"/>
          <w:szCs w:val="18"/>
          <w:b w:val="1"/>
          <w:bCs w:val="1"/>
          <w:color w:val="auto"/>
        </w:rPr>
        <w:t>Deemed Liquidation Event</w:t>
      </w:r>
      <w:r>
        <w:rPr>
          <w:rFonts w:ascii="Arial" w:cs="Arial" w:eastAsia="Arial" w:hAnsi="Arial"/>
          <w:sz w:val="18"/>
          <w:szCs w:val="18"/>
          <w:color w:val="auto"/>
        </w:rPr>
        <w:t>”) unless the holders of at least fifty percent (50%) of the outstanding shares of Preferred Stock elect otherwise by written notice sent to the Corporation at least twenty (20) days prior to the effective date of any such event:</w:t>
      </w:r>
    </w:p>
    <w:p>
      <w:pPr>
        <w:spacing w:after="0" w:line="180" w:lineRule="exact"/>
        <w:rPr>
          <w:sz w:val="20"/>
          <w:szCs w:val="20"/>
          <w:color w:val="auto"/>
        </w:rPr>
      </w:pPr>
    </w:p>
    <w:p>
      <w:pPr>
        <w:ind w:left="2600" w:hanging="647"/>
        <w:spacing w:after="0"/>
        <w:tabs>
          <w:tab w:leader="none" w:pos="2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right="300" w:firstLine="2601"/>
        <w:spacing w:after="0" w:line="342" w:lineRule="auto"/>
        <w:tabs>
          <w:tab w:leader="none" w:pos="327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 pursuant to such merger or consolidation, except any such merger or consolidation involving the Corporation or a subsidiary in which the shares of capital</w:t>
      </w:r>
    </w:p>
    <w:p>
      <w:pPr>
        <w:sectPr>
          <w:pgSz w:w="11900" w:h="16975" w:orient="portrait"/>
          <w:cols w:equalWidth="0" w:num="1">
            <w:col w:w="11420"/>
          </w:cols>
          <w:pgMar w:left="240" w:top="341" w:right="239" w:bottom="0" w:gutter="0" w:footer="0" w:header="0"/>
        </w:sectPr>
      </w:pPr>
    </w:p>
    <w:bookmarkStart w:id="209" w:name="page210"/>
    <w:bookmarkEnd w:id="209"/>
    <w:p>
      <w:pPr>
        <w:spacing w:after="0" w:line="271" w:lineRule="auto"/>
        <w:rPr>
          <w:sz w:val="20"/>
          <w:szCs w:val="20"/>
          <w:color w:val="auto"/>
        </w:rPr>
      </w:pPr>
      <w:r>
        <w:rPr>
          <w:rFonts w:ascii="Arial" w:cs="Arial" w:eastAsia="Arial" w:hAnsi="Arial"/>
          <w:sz w:val="17"/>
          <w:szCs w:val="17"/>
          <w:color w:val="auto"/>
        </w:rPr>
        <w:t>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purpose of this </w:t>
      </w:r>
      <w:r>
        <w:rPr>
          <w:rFonts w:ascii="Arial" w:cs="Arial" w:eastAsia="Arial" w:hAnsi="Arial"/>
          <w:sz w:val="17"/>
          <w:szCs w:val="17"/>
          <w:u w:val="single" w:color="auto"/>
          <w:color w:val="auto"/>
        </w:rPr>
        <w:t>Subsection 2.3.1</w:t>
      </w:r>
      <w:r>
        <w:rPr>
          <w:rFonts w:ascii="Arial" w:cs="Arial" w:eastAsia="Arial" w:hAnsi="Arial"/>
          <w:sz w:val="17"/>
          <w:szCs w:val="17"/>
          <w:color w:val="auto"/>
        </w:rPr>
        <w:t>, all shares of Common Stock issuable upon exercise of Options (as defined below) outstanding immediately prior to such merger or consolidation or upon conversion of Convertible Securities (as defined below) outstanding immediately prior to such merger or consolidation shall be deemed to be outstanding immediately prior to such merger or consolidation and, if applicable, converted or exchanged in such merger or consolidation on the same terms as the actual outstanding shares of Common Stock are converted or exchanged); 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2601"/>
        <w:spacing w:after="0" w:line="257" w:lineRule="auto"/>
        <w:tabs>
          <w:tab w:leader="none" w:pos="3282"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88"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auto"/>
        </w:rPr>
        <w:t>Effecting a Deemed Liquidation Even</w:t>
      </w:r>
      <w:r>
        <w:rPr>
          <w:rFonts w:ascii="Arial" w:cs="Arial" w:eastAsia="Arial" w:hAnsi="Arial"/>
          <w:sz w:val="16"/>
          <w:szCs w:val="16"/>
          <w:color w:val="auto"/>
        </w:rPr>
        <w:t>t.</w:t>
      </w:r>
    </w:p>
    <w:p>
      <w:pPr>
        <w:spacing w:after="0" w:line="225" w:lineRule="exact"/>
        <w:rPr>
          <w:sz w:val="20"/>
          <w:szCs w:val="20"/>
          <w:color w:val="auto"/>
        </w:rPr>
      </w:pPr>
    </w:p>
    <w:p>
      <w:pPr>
        <w:ind w:left="2600" w:hanging="647"/>
        <w:spacing w:after="0"/>
        <w:tabs>
          <w:tab w:leader="none" w:pos="260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 xml:space="preserve">The Corporation shall not have the power to effect a Deemed Liquidation Event referred to in </w:t>
      </w:r>
      <w:r>
        <w:rPr>
          <w:rFonts w:ascii="Arial" w:cs="Arial" w:eastAsia="Arial" w:hAnsi="Arial"/>
          <w:sz w:val="17"/>
          <w:szCs w:val="17"/>
          <w:u w:val="single" w:color="auto"/>
          <w:color w:val="auto"/>
        </w:rPr>
        <w:t>Subsection 2.3.1(a)</w:t>
      </w:r>
    </w:p>
    <w:p>
      <w:pPr>
        <w:spacing w:after="0" w:line="34" w:lineRule="exact"/>
        <w:rPr>
          <w:rFonts w:ascii="Arial" w:cs="Arial" w:eastAsia="Arial" w:hAnsi="Arial"/>
          <w:sz w:val="17"/>
          <w:szCs w:val="17"/>
          <w:color w:val="auto"/>
        </w:rPr>
      </w:pPr>
    </w:p>
    <w:p>
      <w:pPr>
        <w:ind w:right="320" w:firstLine="8"/>
        <w:spacing w:after="0" w:line="323" w:lineRule="auto"/>
        <w:tabs>
          <w:tab w:leader="none" w:pos="215" w:val="left"/>
        </w:tabs>
        <w:numPr>
          <w:ilvl w:val="0"/>
          <w:numId w:val="137"/>
        </w:numPr>
        <w:rPr>
          <w:rFonts w:ascii="Arial" w:cs="Arial" w:eastAsia="Arial" w:hAnsi="Arial"/>
          <w:sz w:val="16"/>
          <w:szCs w:val="16"/>
          <w:u w:val="single" w:color="auto"/>
          <w:color w:val="auto"/>
        </w:rPr>
      </w:pPr>
      <w:r>
        <w:rPr>
          <w:rFonts w:ascii="Arial" w:cs="Arial" w:eastAsia="Arial" w:hAnsi="Arial"/>
          <w:sz w:val="16"/>
          <w:szCs w:val="16"/>
          <w:color w:val="auto"/>
        </w:rPr>
        <w:t>unless the agreement or plan of merger or consolidation (the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for such transaction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138" w:lineRule="exact"/>
        <w:rPr>
          <w:rFonts w:ascii="Arial" w:cs="Arial" w:eastAsia="Arial" w:hAnsi="Arial"/>
          <w:sz w:val="16"/>
          <w:szCs w:val="16"/>
          <w:u w:val="single" w:color="auto"/>
          <w:color w:val="auto"/>
        </w:rPr>
      </w:pPr>
    </w:p>
    <w:p>
      <w:pPr>
        <w:ind w:firstLine="1953"/>
        <w:spacing w:after="0" w:line="285" w:lineRule="auto"/>
        <w:tabs>
          <w:tab w:leader="none" w:pos="2600"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Preferred Stock, and (ii) if the holders of at least fifty percent (50%) of the then outstanding shares of Preferred Stock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xml:space="preserve">”), to the extent legally available therefor, on the 150th day after such Deemed Liquidation Event, to redeem all outstanding shares of Preferred Stock at a price per share equal to the applicable Preferred Liquidation Amounts.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to have been redeemed as soon as practicable after the Corporation has funds legally available therefor. The provisions of </w:t>
      </w:r>
      <w:r>
        <w:rPr>
          <w:rFonts w:ascii="Arial" w:cs="Arial" w:eastAsia="Arial" w:hAnsi="Arial"/>
          <w:sz w:val="16"/>
          <w:szCs w:val="16"/>
          <w:u w:val="single" w:color="auto"/>
          <w:color w:val="auto"/>
        </w:rPr>
        <w:t>Subsections 6.2</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6.4</w:t>
      </w:r>
      <w:r>
        <w:rPr>
          <w:rFonts w:ascii="Arial" w:cs="Arial" w:eastAsia="Arial" w:hAnsi="Arial"/>
          <w:sz w:val="16"/>
          <w:szCs w:val="16"/>
          <w:color w:val="auto"/>
        </w:rPr>
        <w:t xml:space="preserve"> shall apply, with such necessary changes in the details thereof as are necessitated by the context, to the redemption of the Preferred Stock pursuant to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xml:space="preserve">.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and to satisfy other obligations of the Corporation.</w:t>
      </w:r>
    </w:p>
    <w:p>
      <w:pPr>
        <w:spacing w:after="0" w:line="391" w:lineRule="exact"/>
        <w:rPr>
          <w:sz w:val="20"/>
          <w:szCs w:val="20"/>
          <w:color w:val="auto"/>
        </w:rPr>
      </w:pPr>
    </w:p>
    <w:p>
      <w:pPr>
        <w:ind w:right="160" w:firstLine="1297"/>
        <w:spacing w:after="0" w:line="257"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xml:space="preserve">.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If the amount deemed paid or distributed under this </w:t>
      </w:r>
      <w:r>
        <w:rPr>
          <w:rFonts w:ascii="Arial" w:cs="Arial" w:eastAsia="Arial" w:hAnsi="Arial"/>
          <w:sz w:val="18"/>
          <w:szCs w:val="18"/>
          <w:u w:val="single" w:color="auto"/>
          <w:color w:val="auto"/>
        </w:rPr>
        <w:t>Subsection 2.3.3</w:t>
      </w:r>
      <w:r>
        <w:rPr>
          <w:rFonts w:ascii="Arial" w:cs="Arial" w:eastAsia="Arial" w:hAnsi="Arial"/>
          <w:sz w:val="18"/>
          <w:szCs w:val="18"/>
          <w:color w:val="auto"/>
        </w:rPr>
        <w:t xml:space="preserve"> is made in property other than in cash, the value of such distribution shall be the fair market value of such property, determined as follows: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600" w:hanging="647"/>
        <w:spacing w:after="0"/>
        <w:tabs>
          <w:tab w:leader="none" w:pos="26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For securities not subject to investment letters or other similar restrictions on free marketability,</w:t>
      </w:r>
    </w:p>
    <w:p>
      <w:pPr>
        <w:spacing w:after="0" w:line="225" w:lineRule="exact"/>
        <w:rPr>
          <w:rFonts w:ascii="Arial" w:cs="Arial" w:eastAsia="Arial" w:hAnsi="Arial"/>
          <w:sz w:val="18"/>
          <w:szCs w:val="18"/>
          <w:color w:val="auto"/>
        </w:rPr>
      </w:pPr>
    </w:p>
    <w:p>
      <w:pPr>
        <w:ind w:right="40" w:firstLine="2601"/>
        <w:spacing w:after="0" w:line="342" w:lineRule="auto"/>
        <w:tabs>
          <w:tab w:leader="none" w:pos="3263" w:val="left"/>
        </w:tabs>
        <w:numPr>
          <w:ilvl w:val="1"/>
          <w:numId w:val="138"/>
        </w:numPr>
        <w:rPr>
          <w:rFonts w:ascii="Arial" w:cs="Arial" w:eastAsia="Arial" w:hAnsi="Arial"/>
          <w:sz w:val="16"/>
          <w:szCs w:val="16"/>
          <w:color w:val="auto"/>
        </w:rPr>
      </w:pPr>
      <w:r>
        <w:rPr>
          <w:rFonts w:ascii="Arial" w:cs="Arial" w:eastAsia="Arial" w:hAnsi="Arial"/>
          <w:sz w:val="16"/>
          <w:szCs w:val="16"/>
          <w:color w:val="auto"/>
        </w:rPr>
        <w:t>if traded on a securities exchange or the NASDAQ Stock Market, the value shall be deemed to be the average of the closing prices of the securities on such exchange or market over the 30 trading-day period ending three days prior to the closing of such transaction;</w:t>
      </w:r>
    </w:p>
    <w:p>
      <w:pPr>
        <w:spacing w:after="0" w:line="123" w:lineRule="exact"/>
        <w:rPr>
          <w:rFonts w:ascii="Arial" w:cs="Arial" w:eastAsia="Arial" w:hAnsi="Arial"/>
          <w:sz w:val="16"/>
          <w:szCs w:val="16"/>
          <w:color w:val="auto"/>
        </w:rPr>
      </w:pPr>
    </w:p>
    <w:p>
      <w:pPr>
        <w:ind w:right="40" w:firstLine="2601"/>
        <w:spacing w:after="0" w:line="277" w:lineRule="auto"/>
        <w:tabs>
          <w:tab w:leader="none" w:pos="3272" w:val="left"/>
        </w:tabs>
        <w:numPr>
          <w:ilvl w:val="1"/>
          <w:numId w:val="138"/>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average of the closing bid prices over the 30 trading-day period ending three days prior to the closing of such transaction; or</w:t>
      </w:r>
    </w:p>
    <w:p>
      <w:pPr>
        <w:spacing w:after="0" w:line="170" w:lineRule="exact"/>
        <w:rPr>
          <w:rFonts w:ascii="Arial" w:cs="Arial" w:eastAsia="Arial" w:hAnsi="Arial"/>
          <w:sz w:val="18"/>
          <w:szCs w:val="18"/>
          <w:color w:val="auto"/>
        </w:rPr>
      </w:pPr>
    </w:p>
    <w:p>
      <w:pPr>
        <w:ind w:right="200" w:firstLine="2601"/>
        <w:spacing w:after="0" w:line="308" w:lineRule="auto"/>
        <w:tabs>
          <w:tab w:leader="none" w:pos="3282" w:val="left"/>
        </w:tabs>
        <w:numPr>
          <w:ilvl w:val="1"/>
          <w:numId w:val="138"/>
        </w:numPr>
        <w:rPr>
          <w:rFonts w:ascii="Arial" w:cs="Arial" w:eastAsia="Arial" w:hAnsi="Arial"/>
          <w:sz w:val="17"/>
          <w:szCs w:val="17"/>
          <w:color w:val="auto"/>
        </w:rPr>
      </w:pPr>
      <w:r>
        <w:rPr>
          <w:rFonts w:ascii="Arial" w:cs="Arial" w:eastAsia="Arial" w:hAnsi="Arial"/>
          <w:sz w:val="17"/>
          <w:szCs w:val="17"/>
          <w:color w:val="auto"/>
        </w:rPr>
        <w:t>if there is no active public market, the value shall be the fair market value thereof, as determined in good faith by the Board of Directors of the Corporation, which determination shall include the affirmative vote of at least one Preferred Director.</w:t>
      </w:r>
    </w:p>
    <w:p>
      <w:pPr>
        <w:spacing w:after="0" w:line="146" w:lineRule="exact"/>
        <w:rPr>
          <w:rFonts w:ascii="Arial" w:cs="Arial" w:eastAsia="Arial" w:hAnsi="Arial"/>
          <w:sz w:val="17"/>
          <w:szCs w:val="17"/>
          <w:color w:val="auto"/>
        </w:rPr>
      </w:pPr>
    </w:p>
    <w:p>
      <w:pPr>
        <w:ind w:firstLine="1953"/>
        <w:spacing w:after="0" w:line="279" w:lineRule="auto"/>
        <w:tabs>
          <w:tab w:leader="none" w:pos="26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method of valuation of securities subject to investment letters or other similar restrictions on free marketability (other than restrictions arising solely by virtue of a stockholder’s status as an affiliate or former affiliate) shall take into account an appropriate discount (as determined in good faith by the Board of Directors of the Corporation, which determination shall include the affirmative vote of at least one Preferred Director) from the market value as determined pursuant to clause (a) above so as to reflect the approximate fair market value thereof.</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Allocation of Escrow</w:t>
      </w:r>
      <w:r>
        <w:rPr>
          <w:rFonts w:ascii="Arial" w:cs="Arial" w:eastAsia="Arial" w:hAnsi="Arial"/>
          <w:sz w:val="16"/>
          <w:szCs w:val="16"/>
          <w:color w:val="auto"/>
        </w:rPr>
        <w:t xml:space="preserve">. In the event of a Deemed Liquidation Event pursuant to </w:t>
      </w:r>
      <w:r>
        <w:rPr>
          <w:rFonts w:ascii="Arial" w:cs="Arial" w:eastAsia="Arial" w:hAnsi="Arial"/>
          <w:sz w:val="16"/>
          <w:szCs w:val="16"/>
          <w:u w:val="single" w:color="auto"/>
          <w:color w:val="auto"/>
        </w:rPr>
        <w:t>Subsection 2.3.1(a)(i)</w:t>
      </w:r>
      <w:r>
        <w:rPr>
          <w:rFonts w:ascii="Arial" w:cs="Arial" w:eastAsia="Arial" w:hAnsi="Arial"/>
          <w:sz w:val="16"/>
          <w:szCs w:val="16"/>
          <w:color w:val="auto"/>
        </w:rPr>
        <w:t>, if any portion of the consideration payable to the stockholders of the Corporation is placed into escrow and/or is payable to the stockholders of the Corporation subject to contingencies, the Merger Agreement shall provide that (a) the portion of such consideration that is not placed in escrow and not subject to any contingencies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shall be allocated among the holders of capital stock of the Corporation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Subsections 2.1</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b w:val="1"/>
          <w:bCs w:val="1"/>
          <w:color w:val="auto"/>
        </w:rPr>
        <w:t xml:space="preserve"> </w:t>
      </w:r>
      <w:r>
        <w:rPr>
          <w:rFonts w:ascii="Arial" w:cs="Arial" w:eastAsia="Arial" w:hAnsi="Arial"/>
          <w:sz w:val="16"/>
          <w:szCs w:val="16"/>
          <w:color w:val="auto"/>
        </w:rPr>
        <w:t>as if the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were the only consideration payable in connection with such Deemed Liquidation Event and (b) any additional consideration which becomes payable to the stockholders of the Corporation upon release from escrow or satisfaction of contingencies shall be allocated among the holders of capital stock</w:t>
      </w:r>
    </w:p>
    <w:p>
      <w:pPr>
        <w:sectPr>
          <w:pgSz w:w="11900" w:h="16838" w:orient="portrait"/>
          <w:cols w:equalWidth="0" w:num="1">
            <w:col w:w="11400"/>
          </w:cols>
          <w:pgMar w:left="240" w:top="125" w:right="259" w:bottom="0" w:gutter="0" w:footer="0" w:header="0"/>
        </w:sectPr>
      </w:pPr>
    </w:p>
    <w:bookmarkStart w:id="210" w:name="page211"/>
    <w:bookmarkEnd w:id="210"/>
    <w:p>
      <w:pPr>
        <w:ind w:right="160"/>
        <w:spacing w:after="0" w:line="277" w:lineRule="auto"/>
        <w:rPr>
          <w:sz w:val="20"/>
          <w:szCs w:val="20"/>
          <w:color w:val="auto"/>
        </w:rPr>
      </w:pPr>
      <w:r>
        <w:rPr>
          <w:rFonts w:ascii="Arial" w:cs="Arial" w:eastAsia="Arial" w:hAnsi="Arial"/>
          <w:sz w:val="18"/>
          <w:szCs w:val="18"/>
          <w:color w:val="auto"/>
        </w:rPr>
        <w:t xml:space="preserve">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after taking into account the previous payment of the Initial Consideration as part of the same transaction.</w:t>
      </w:r>
    </w:p>
    <w:p>
      <w:pPr>
        <w:spacing w:after="0" w:line="170"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voting power of the number of whole shares of Class B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Class A Common Stock and Class B Common Stock as a single class.</w:t>
      </w:r>
    </w:p>
    <w:p>
      <w:pPr>
        <w:spacing w:after="0" w:line="19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The holders of record of the shares of Series E Preferred Stock, exclusively and as a separate class, shall be entitled to elect one (1) non-voting director of the Corporation (the “</w:t>
      </w:r>
      <w:r>
        <w:rPr>
          <w:rFonts w:ascii="Arial" w:cs="Arial" w:eastAsia="Arial" w:hAnsi="Arial"/>
          <w:sz w:val="18"/>
          <w:szCs w:val="18"/>
          <w:b w:val="1"/>
          <w:bCs w:val="1"/>
          <w:color w:val="auto"/>
        </w:rPr>
        <w:t>Series E Director</w:t>
      </w:r>
      <w:r>
        <w:rPr>
          <w:rFonts w:ascii="Arial" w:cs="Arial" w:eastAsia="Arial" w:hAnsi="Arial"/>
          <w:sz w:val="18"/>
          <w:szCs w:val="18"/>
          <w:color w:val="auto"/>
        </w:rPr>
        <w:t>”). The holders of record of the shares of Series D Preferred Stock, exclusively and as a separate class, shall be entitled to elect one (1) director of the Corporation (the “</w:t>
      </w:r>
      <w:r>
        <w:rPr>
          <w:rFonts w:ascii="Arial" w:cs="Arial" w:eastAsia="Arial" w:hAnsi="Arial"/>
          <w:sz w:val="18"/>
          <w:szCs w:val="18"/>
          <w:b w:val="1"/>
          <w:bCs w:val="1"/>
          <w:color w:val="auto"/>
        </w:rPr>
        <w:t>Series D Director</w:t>
      </w:r>
      <w:r>
        <w:rPr>
          <w:rFonts w:ascii="Arial" w:cs="Arial" w:eastAsia="Arial" w:hAnsi="Arial"/>
          <w:sz w:val="18"/>
          <w:szCs w:val="18"/>
          <w:color w:val="auto"/>
        </w:rPr>
        <w:t>”), the holders of record of the shares of Series B Preferred Stock, exclusively and as a separate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class, shall be entitled to elect one (1) director of the Corporation (the “</w:t>
      </w:r>
      <w:r>
        <w:rPr>
          <w:rFonts w:ascii="Arial" w:cs="Arial" w:eastAsia="Arial" w:hAnsi="Arial"/>
          <w:sz w:val="16"/>
          <w:szCs w:val="16"/>
          <w:b w:val="1"/>
          <w:bCs w:val="1"/>
          <w:color w:val="auto"/>
        </w:rPr>
        <w:t>Series B Director</w:t>
      </w:r>
      <w:r>
        <w:rPr>
          <w:rFonts w:ascii="Arial" w:cs="Arial" w:eastAsia="Arial" w:hAnsi="Arial"/>
          <w:sz w:val="16"/>
          <w:szCs w:val="16"/>
          <w:color w:val="auto"/>
        </w:rPr>
        <w:t>”), the holders of record of the shares of Series A Preferred Stock, exclusively and as a separate class, shall be entitled to elect one (1) director of the Corporation (the “</w:t>
      </w:r>
      <w:r>
        <w:rPr>
          <w:rFonts w:ascii="Arial" w:cs="Arial" w:eastAsia="Arial" w:hAnsi="Arial"/>
          <w:sz w:val="16"/>
          <w:szCs w:val="16"/>
          <w:b w:val="1"/>
          <w:bCs w:val="1"/>
          <w:color w:val="auto"/>
        </w:rPr>
        <w:t>Series A Director</w:t>
      </w:r>
      <w:r>
        <w:rPr>
          <w:rFonts w:ascii="Arial" w:cs="Arial" w:eastAsia="Arial" w:hAnsi="Arial"/>
          <w:sz w:val="16"/>
          <w:szCs w:val="16"/>
          <w:color w:val="auto"/>
        </w:rPr>
        <w:t>”, and together with the Series D Director and the Series B Director, the “</w:t>
      </w:r>
      <w:r>
        <w:rPr>
          <w:rFonts w:ascii="Arial" w:cs="Arial" w:eastAsia="Arial" w:hAnsi="Arial"/>
          <w:sz w:val="16"/>
          <w:szCs w:val="16"/>
          <w:b w:val="1"/>
          <w:bCs w:val="1"/>
          <w:color w:val="auto"/>
        </w:rPr>
        <w:t>Preferred Directors</w:t>
      </w:r>
      <w:r>
        <w:rPr>
          <w:rFonts w:ascii="Arial" w:cs="Arial" w:eastAsia="Arial" w:hAnsi="Arial"/>
          <w:sz w:val="16"/>
          <w:szCs w:val="16"/>
          <w:color w:val="auto"/>
        </w:rPr>
        <w:t>”), the holders of record of the shares of Common Stock, exclusively and as a separate class, shall be entitled to elect four (4) directors of the Corporation (each a “</w:t>
      </w:r>
      <w:r>
        <w:rPr>
          <w:rFonts w:ascii="Arial" w:cs="Arial" w:eastAsia="Arial" w:hAnsi="Arial"/>
          <w:sz w:val="16"/>
          <w:szCs w:val="16"/>
          <w:b w:val="1"/>
          <w:bCs w:val="1"/>
          <w:color w:val="auto"/>
        </w:rPr>
        <w:t>Common Director</w:t>
      </w:r>
      <w:r>
        <w:rPr>
          <w:rFonts w:ascii="Arial" w:cs="Arial" w:eastAsia="Arial" w:hAnsi="Arial"/>
          <w:sz w:val="16"/>
          <w:szCs w:val="16"/>
          <w:color w:val="auto"/>
        </w:rPr>
        <w:t>” and together the “</w:t>
      </w:r>
      <w:r>
        <w:rPr>
          <w:rFonts w:ascii="Arial" w:cs="Arial" w:eastAsia="Arial" w:hAnsi="Arial"/>
          <w:sz w:val="16"/>
          <w:szCs w:val="16"/>
          <w:b w:val="1"/>
          <w:bCs w:val="1"/>
          <w:color w:val="auto"/>
        </w:rPr>
        <w:t>Common Directors</w:t>
      </w:r>
      <w:r>
        <w:rPr>
          <w:rFonts w:ascii="Arial" w:cs="Arial" w:eastAsia="Arial" w:hAnsi="Arial"/>
          <w:sz w:val="16"/>
          <w:szCs w:val="16"/>
          <w:color w:val="auto"/>
        </w:rPr>
        <w:t xml:space="preserve">”) and the holders of record of the shares of Common Stock and of any other class or series of voting stock (including the Preferred Stock), exclusively and voting together as a single class, shall be entitled to elect the balance of the total number of directors of the Corporation. Any director elected as provided in the preceding sentence may be removed without cause by, and only by, the affirmative vote of the holders of the shares representing a majority of the voting power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Series D Preferred Stock, Series E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A Preferred Stock, Series B Preferred Stock, Series D Preferred Stock, Series E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At any meeting held for the purpose of electing a director, the presence in person or by proxy of the holders of a majority of the voting power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Each director other than the non-voting director shall have one vote on all matters considered by the Board of Directors of the Corporation. With respect to any mater considered by the Board of Directors of the Corporation or any committee thereof, whether at a meeting of the Board of Directors of the Corporation or such committee or by written consent thereof, the proportion of votes required to adopt such action at a meeting or by written consent shall be calculated without regard to the non-voting director, and every reference in the General Corporation Law, this Certificate of Incorporation, the Corporation’s by-laws or otherwise to a majority or other proportion of directors shall refer to a majority or other proportion of the votes of the directors without regard to the non-voting director.</w:t>
      </w:r>
    </w:p>
    <w:p>
      <w:pPr>
        <w:spacing w:after="0" w:line="3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Series F Preferred Stock Protective Provisions</w:t>
      </w:r>
      <w:r>
        <w:rPr>
          <w:rFonts w:ascii="Arial" w:cs="Arial" w:eastAsia="Arial" w:hAnsi="Arial"/>
          <w:sz w:val="16"/>
          <w:szCs w:val="16"/>
          <w:color w:val="auto"/>
        </w:rPr>
        <w:t>. At any time when at least 2,000,000 shares of Series F Preferred Stock (subject to</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appropriate adjustment in the event of a stock split, stock dividend, combination, reclassification, or similar event affecting such shares)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fifty percent (50%) of the then outstanding shares of Series F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9" w:lineRule="exact"/>
        <w:rPr>
          <w:sz w:val="20"/>
          <w:szCs w:val="20"/>
          <w:color w:val="auto"/>
        </w:rPr>
      </w:pPr>
    </w:p>
    <w:p>
      <w:pPr>
        <w:ind w:firstLine="1953"/>
        <w:spacing w:after="0" w:line="264" w:lineRule="auto"/>
        <w:tabs>
          <w:tab w:leader="none" w:pos="259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amend, alter or repeal, solely as it pertains to the Series F Preferred Stock, in a manner materially adverse to the holders of Series F Preferred Stock, any provision of (i</w:t>
      </w:r>
      <w:r>
        <w:rPr>
          <w:rFonts w:ascii="Arial" w:cs="Arial" w:eastAsia="Arial" w:hAnsi="Arial"/>
          <w:sz w:val="18"/>
          <w:szCs w:val="18"/>
          <w:u w:val="single" w:color="auto"/>
          <w:color w:val="auto"/>
        </w:rPr>
        <w:t>) Article Fourth, Section B.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of this Certificate of Incorporation or (ii) to the extent relating to liquidation preference, mandatory conversion or anti-dilution, the Bylaws of the Corporation; provided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that no written consent or affirmative vote of the holders of Series F Preferred Stock shall be required for any amendments or alterations to such provisions referenced in clauses (i) and (ii) solely to authorize and provide for the issuance of any further series of preferred stock that is senior to or pari passu with the Series F Preferred Stock; or</w:t>
      </w:r>
    </w:p>
    <w:p>
      <w:pPr>
        <w:spacing w:after="0" w:line="181" w:lineRule="exact"/>
        <w:rPr>
          <w:sz w:val="20"/>
          <w:szCs w:val="20"/>
          <w:color w:val="auto"/>
        </w:rPr>
      </w:pPr>
    </w:p>
    <w:p>
      <w:pPr>
        <w:ind w:left="2600" w:hanging="647"/>
        <w:spacing w:after="0"/>
        <w:tabs>
          <w:tab w:leader="none" w:pos="26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increase the authorized number of shares of Series F Preferred Stock.</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Preferred Stock Protective Provisions</w:t>
      </w:r>
      <w:r>
        <w:rPr>
          <w:rFonts w:ascii="Arial" w:cs="Arial" w:eastAsia="Arial" w:hAnsi="Arial"/>
          <w:sz w:val="18"/>
          <w:szCs w:val="18"/>
          <w:color w:val="auto"/>
        </w:rPr>
        <w:t xml:space="preserve">. At any time when any shares of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fifty percent (50%) of the then outstanding shares of Preferred Stock,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88" w:lineRule="exact"/>
        <w:rPr>
          <w:sz w:val="20"/>
          <w:szCs w:val="20"/>
          <w:color w:val="auto"/>
        </w:rPr>
      </w:pPr>
    </w:p>
    <w:p>
      <w:pPr>
        <w:ind w:right="320" w:firstLine="1953"/>
        <w:spacing w:after="0" w:line="342" w:lineRule="auto"/>
        <w:tabs>
          <w:tab w:leader="none" w:pos="259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liquidate, dissolve or wind-up the business and affairs of the Corporation, effect any Deemed Liquidation Event, or consent to any of the foregoing unless at the closing of such Deemed Liquidation Event the holders of Preferred Stock receive a price per share equal to at</w:t>
      </w:r>
    </w:p>
    <w:p>
      <w:pPr>
        <w:sectPr>
          <w:pgSz w:w="11900" w:h="16838" w:orient="portrait"/>
          <w:cols w:equalWidth="0" w:num="1">
            <w:col w:w="11420"/>
          </w:cols>
          <w:pgMar w:left="240" w:top="125" w:right="239" w:bottom="0" w:gutter="0" w:footer="0" w:header="0"/>
        </w:sectPr>
      </w:pPr>
    </w:p>
    <w:bookmarkStart w:id="211" w:name="page212"/>
    <w:bookmarkEnd w:id="211"/>
    <w:p>
      <w:pPr>
        <w:spacing w:after="0" w:line="114"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least one (lx) times the Series F Original Issue Price (subject to appropriate adjustment in the event of a stock split, stock dividend, combination, reclassification, or similar event affecting such shares);</w:t>
      </w:r>
    </w:p>
    <w:p>
      <w:pPr>
        <w:spacing w:after="0" w:line="170" w:lineRule="exact"/>
        <w:rPr>
          <w:sz w:val="20"/>
          <w:szCs w:val="20"/>
          <w:color w:val="auto"/>
        </w:rPr>
      </w:pPr>
    </w:p>
    <w:p>
      <w:pPr>
        <w:ind w:left="2600" w:hanging="647"/>
        <w:spacing w:after="0"/>
        <w:tabs>
          <w:tab w:leader="none" w:pos="2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of the Corporation;</w:t>
      </w:r>
    </w:p>
    <w:p>
      <w:pPr>
        <w:spacing w:after="0" w:line="225" w:lineRule="exact"/>
        <w:rPr>
          <w:rFonts w:ascii="Arial" w:cs="Arial" w:eastAsia="Arial" w:hAnsi="Arial"/>
          <w:sz w:val="18"/>
          <w:szCs w:val="18"/>
          <w:color w:val="auto"/>
        </w:rPr>
      </w:pPr>
    </w:p>
    <w:p>
      <w:pPr>
        <w:ind w:right="60" w:firstLine="1953"/>
        <w:spacing w:after="0" w:line="259" w:lineRule="auto"/>
        <w:tabs>
          <w:tab w:leader="none" w:pos="260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create, or authorize the creation of, or issue or obligate itself to issue, any equity securities (including any other security convertible into or exchangeable for any such equity security) unless the same ranks junior to the Preferred Stock with respect to the distribution of assets on the liquidation, dissolution, winding up of the Corporation or Deemed Liquidation Event, the payment of dividends and rights of redemption, conversion and other rights, preferences and privileges;</w:t>
      </w:r>
    </w:p>
    <w:p>
      <w:pPr>
        <w:spacing w:after="0" w:line="186" w:lineRule="exact"/>
        <w:rPr>
          <w:rFonts w:ascii="Arial" w:cs="Arial" w:eastAsia="Arial" w:hAnsi="Arial"/>
          <w:sz w:val="18"/>
          <w:szCs w:val="18"/>
          <w:color w:val="auto"/>
        </w:rPr>
      </w:pPr>
    </w:p>
    <w:p>
      <w:pPr>
        <w:ind w:firstLine="1953"/>
        <w:spacing w:after="0" w:line="291" w:lineRule="auto"/>
        <w:tabs>
          <w:tab w:leader="none" w:pos="26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(i) reclassify, alter or amend any existing security of the Corporation that is pari passu with the Preferred Stock in respect of the distribution of assets on the liquidation, dissolution, winding up of the Corporation or Deemed Liquidation Event, the payment of dividends or rights of redemption, conversion and other rights, preferences and privileges, if such reclassification, 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winding up of the Corporation or Deemed Liquidation Event, the payment of dividends or rights of redemption conversion and other rights, preferences and privileges, if such reclassification, alteration or amendment would render such other security senior to or pari passu with the Preferred Stock in respect of any such right, preference or privilege;</w:t>
      </w:r>
    </w:p>
    <w:p>
      <w:pPr>
        <w:spacing w:after="0" w:line="167" w:lineRule="exact"/>
        <w:rPr>
          <w:rFonts w:ascii="Arial" w:cs="Arial" w:eastAsia="Arial" w:hAnsi="Arial"/>
          <w:sz w:val="16"/>
          <w:szCs w:val="16"/>
          <w:color w:val="auto"/>
        </w:rPr>
      </w:pPr>
    </w:p>
    <w:p>
      <w:pPr>
        <w:ind w:right="20" w:firstLine="1953"/>
        <w:spacing w:after="0" w:line="293" w:lineRule="auto"/>
        <w:tabs>
          <w:tab w:leader="none" w:pos="260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 or other securities or rights convertible into or entitling the holder thereof to receive, directly or indirectly,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953"/>
        <w:spacing w:after="0" w:line="291" w:lineRule="auto"/>
        <w:tabs>
          <w:tab w:leader="none" w:pos="2597"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 create, or hold capital stock in, any subsidiary that is not wholly owned (either directly or through one or more other subsidiaries) by the Corporation, (ii) sell, transfer or otherwise dispose of any capital stock of any direct or indirect subsidiary of the Corporation, or</w:t>
      </w:r>
    </w:p>
    <w:p>
      <w:pPr>
        <w:jc w:val="both"/>
        <w:ind w:right="620" w:firstLine="8"/>
        <w:spacing w:after="0" w:line="255" w:lineRule="auto"/>
        <w:tabs>
          <w:tab w:leader="none" w:pos="31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permit any direct or indirect subsidiary to sell, lease, transfer, exclusively license or otherwise dispose (in a single transaction or series of related transactions) of all or substantially all of the assets of such subsidiary, in each case, other than any sale, lease, transfer, license or other disposal to the Corporation or to another wholly owned subsidiary of the Corporation;</w:t>
      </w:r>
    </w:p>
    <w:p>
      <w:pPr>
        <w:spacing w:after="0" w:line="190" w:lineRule="exact"/>
        <w:rPr>
          <w:rFonts w:ascii="Arial" w:cs="Arial" w:eastAsia="Arial" w:hAnsi="Arial"/>
          <w:sz w:val="18"/>
          <w:szCs w:val="18"/>
          <w:color w:val="auto"/>
        </w:rPr>
      </w:pPr>
    </w:p>
    <w:p>
      <w:pPr>
        <w:ind w:left="2620" w:hanging="667"/>
        <w:spacing w:after="0"/>
        <w:tabs>
          <w:tab w:leader="none" w:pos="262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increase or decrease the authorized number of directors constituting the Board of Directors of the Corporation;</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Preferred Stock or Common Stock; or</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take any action that would adversely change the rights, preferences or privileges of the Preferred Stock.</w:t>
      </w:r>
    </w:p>
    <w:p>
      <w:pPr>
        <w:spacing w:after="0" w:line="221"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 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Preferred Stock shall be convertible, at the option of the holder thereof, at any time and from time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to time, and without the payment of additional consideration by the holder thereof, into such number of fully paid and nonassessable shares of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is determined by dividing the Series A Original Issue Price by the Series A Conversion Price (as defined below) in effect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in the case of the Series A Preferred Stock, into such number of fully paid and nonassessable shares of Class B Common Stock as is determined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dividing the Series B Original Issue Price by the Series B Conversion Price (as defined below) in effect at the time of conversion, in the case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Series B Preferred Stock, into such number of fully paid and nonassessable shares of Class B Common Stock as is determined by dividing the Series 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Original Issue Price by the Series C Conversion Price (as defined below) in the case of the Series C Preferred Stock, into such number of fully paid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nonassessable shares of Class B Common Stock as is determined by dividing the Series D Original Issue Price by the Series D Conversion Price (as defined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below) in effect at the time of conversion, in the case of the Series D Preferred Stock, into such number of fully paid and nonassessable shares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is determined by dividing the Series E Original Issue Price by the Series E Conversion Price (as defined below) in effect at the time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in the case of the Series E Preferred Stock and into such number of fully paid and nonassessable shares of Class B Common Stock as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by dividing the Series F Original. Issue Price by the Series F Conversion Price (as defined below) in effect at the time of conversion in the case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Series F Preferred Stock. The “</w:t>
      </w:r>
      <w:r>
        <w:rPr>
          <w:rFonts w:ascii="Arial" w:cs="Arial" w:eastAsia="Arial" w:hAnsi="Arial"/>
          <w:sz w:val="16"/>
          <w:szCs w:val="16"/>
          <w:b w:val="1"/>
          <w:bCs w:val="1"/>
          <w:color w:val="auto"/>
        </w:rPr>
        <w:t>Series A Conversion Price</w:t>
      </w:r>
      <w:r>
        <w:rPr>
          <w:rFonts w:ascii="Arial" w:cs="Arial" w:eastAsia="Arial" w:hAnsi="Arial"/>
          <w:sz w:val="16"/>
          <w:szCs w:val="16"/>
          <w:color w:val="auto"/>
        </w:rPr>
        <w:t>” shall initially be equal to $0.302, the “</w:t>
      </w:r>
      <w:r>
        <w:rPr>
          <w:rFonts w:ascii="Arial" w:cs="Arial" w:eastAsia="Arial" w:hAnsi="Arial"/>
          <w:sz w:val="16"/>
          <w:szCs w:val="16"/>
          <w:b w:val="1"/>
          <w:bCs w:val="1"/>
          <w:color w:val="auto"/>
        </w:rPr>
        <w:t>Series B Conversion Price</w:t>
      </w:r>
      <w:r>
        <w:rPr>
          <w:rFonts w:ascii="Arial" w:cs="Arial" w:eastAsia="Arial" w:hAnsi="Arial"/>
          <w:sz w:val="16"/>
          <w:szCs w:val="16"/>
          <w:color w:val="auto"/>
        </w:rPr>
        <w:t>” shall initially be equal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$0.329025, the “</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shall initially be equal to $0.719715405, the “</w:t>
      </w:r>
      <w:r>
        <w:rPr>
          <w:rFonts w:ascii="Arial" w:cs="Arial" w:eastAsia="Arial" w:hAnsi="Arial"/>
          <w:sz w:val="17"/>
          <w:szCs w:val="17"/>
          <w:b w:val="1"/>
          <w:bCs w:val="1"/>
          <w:color w:val="auto"/>
        </w:rPr>
        <w:t>Series D Conversion Price</w:t>
      </w:r>
      <w:r>
        <w:rPr>
          <w:rFonts w:ascii="Arial" w:cs="Arial" w:eastAsia="Arial" w:hAnsi="Arial"/>
          <w:sz w:val="17"/>
          <w:szCs w:val="17"/>
          <w:color w:val="auto"/>
        </w:rPr>
        <w:t>” shall initially be equal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$2.8332525, the “</w:t>
      </w:r>
      <w:r>
        <w:rPr>
          <w:rFonts w:ascii="Arial" w:cs="Arial" w:eastAsia="Arial" w:hAnsi="Arial"/>
          <w:sz w:val="17"/>
          <w:szCs w:val="17"/>
          <w:b w:val="1"/>
          <w:bCs w:val="1"/>
          <w:color w:val="auto"/>
        </w:rPr>
        <w:t>Series E Conversion Price</w:t>
      </w:r>
      <w:r>
        <w:rPr>
          <w:rFonts w:ascii="Arial" w:cs="Arial" w:eastAsia="Arial" w:hAnsi="Arial"/>
          <w:sz w:val="17"/>
          <w:szCs w:val="17"/>
          <w:color w:val="auto"/>
        </w:rPr>
        <w:t>” shall initially be equal to $8.016576 and the “</w:t>
      </w:r>
      <w:r>
        <w:rPr>
          <w:rFonts w:ascii="Arial" w:cs="Arial" w:eastAsia="Arial" w:hAnsi="Arial"/>
          <w:sz w:val="17"/>
          <w:szCs w:val="17"/>
          <w:b w:val="1"/>
          <w:bCs w:val="1"/>
          <w:color w:val="auto"/>
        </w:rPr>
        <w:t>Series F Conversion Price</w:t>
      </w:r>
      <w:r>
        <w:rPr>
          <w:rFonts w:ascii="Arial" w:cs="Arial" w:eastAsia="Arial" w:hAnsi="Arial"/>
          <w:sz w:val="17"/>
          <w:szCs w:val="17"/>
          <w:color w:val="auto"/>
        </w:rPr>
        <w:t>” shall initially be equal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$16.724127. For purposes hereof, the Series A Conversion Price, the Series B Conversion Price, the Series C Conversion Price, Series D Conversion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E Conversion Price and the Series F Conversion Price, collectively, shall be referred to as the “</w:t>
      </w:r>
      <w:r>
        <w:rPr>
          <w:rFonts w:ascii="Arial" w:cs="Arial" w:eastAsia="Arial" w:hAnsi="Arial"/>
          <w:sz w:val="16"/>
          <w:szCs w:val="16"/>
          <w:b w:val="1"/>
          <w:bCs w:val="1"/>
          <w:color w:val="auto"/>
        </w:rPr>
        <w:t>Preferred Conversion Price</w:t>
      </w:r>
      <w:r>
        <w:rPr>
          <w:rFonts w:ascii="Arial" w:cs="Arial" w:eastAsia="Arial" w:hAnsi="Arial"/>
          <w:sz w:val="16"/>
          <w:szCs w:val="16"/>
          <w:color w:val="auto"/>
        </w:rPr>
        <w:t>” and individually 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Preferred Conversion Price</w:t>
      </w:r>
      <w:r>
        <w:rPr>
          <w:rFonts w:ascii="Arial" w:cs="Arial" w:eastAsia="Arial" w:hAnsi="Arial"/>
          <w:sz w:val="16"/>
          <w:szCs w:val="16"/>
          <w:color w:val="auto"/>
        </w:rPr>
        <w:t>”. Each Preferred Conversion Price, and the rate at which shares of Preferred Stock may be converted into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B Common Stock, shall be subject to adjustment as provided below. Following the Final Conversion Date, each share of Preferred Stock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convertible, at the option of the holder thereof, at any time and from time to time,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without the payment of additional consideration by the holder thereof, into Class A Common Stock, and all references to “</w:t>
      </w:r>
      <w:r>
        <w:rPr>
          <w:rFonts w:ascii="Arial" w:cs="Arial" w:eastAsia="Arial" w:hAnsi="Arial"/>
          <w:sz w:val="18"/>
          <w:szCs w:val="18"/>
          <w:b w:val="1"/>
          <w:bCs w:val="1"/>
          <w:color w:val="auto"/>
        </w:rPr>
        <w:t>Class B Common Stock</w:t>
      </w:r>
      <w:r>
        <w:rPr>
          <w:rFonts w:ascii="Arial" w:cs="Arial" w:eastAsia="Arial" w:hAnsi="Arial"/>
          <w:sz w:val="18"/>
          <w:szCs w:val="18"/>
          <w:color w:val="auto"/>
        </w:rPr>
        <w:t>” in this Subsection 4.1.1 and in Subsections 4.2 and 4.3 shall be deemed to be to “</w:t>
      </w:r>
      <w:r>
        <w:rPr>
          <w:rFonts w:ascii="Arial" w:cs="Arial" w:eastAsia="Arial" w:hAnsi="Arial"/>
          <w:sz w:val="18"/>
          <w:szCs w:val="18"/>
          <w:b w:val="1"/>
          <w:bCs w:val="1"/>
          <w:color w:val="auto"/>
        </w:rPr>
        <w:t>Class A Common Stock</w:t>
      </w:r>
      <w:r>
        <w:rPr>
          <w:rFonts w:ascii="Arial" w:cs="Arial" w:eastAsia="Arial" w:hAnsi="Arial"/>
          <w:sz w:val="18"/>
          <w:szCs w:val="18"/>
          <w:color w:val="auto"/>
        </w:rPr>
        <w:t>.”</w:t>
      </w:r>
    </w:p>
    <w:p>
      <w:pPr>
        <w:spacing w:after="0" w:line="166" w:lineRule="exact"/>
        <w:rPr>
          <w:sz w:val="20"/>
          <w:szCs w:val="20"/>
          <w:color w:val="auto"/>
        </w:rPr>
      </w:pPr>
    </w:p>
    <w:p>
      <w:pPr>
        <w:ind w:right="200" w:firstLine="1297"/>
        <w:spacing w:after="0" w:line="312"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Termination of Conversion Rights</w:t>
      </w:r>
      <w:r>
        <w:rPr>
          <w:rFonts w:ascii="Arial" w:cs="Arial" w:eastAsia="Arial" w:hAnsi="Arial"/>
          <w:sz w:val="16"/>
          <w:szCs w:val="16"/>
          <w:color w:val="auto"/>
        </w:rPr>
        <w:t>. In the event of a notice of redemption of any shares of Preferred Stock pursuant to Section 6,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w:t>
      </w:r>
    </w:p>
    <w:p>
      <w:pPr>
        <w:sectPr>
          <w:pgSz w:w="11900" w:h="16952" w:orient="portrait"/>
          <w:cols w:equalWidth="0" w:num="1">
            <w:col w:w="11380"/>
          </w:cols>
          <w:pgMar w:left="240" w:top="125" w:right="279" w:bottom="0" w:gutter="0" w:footer="0" w:header="0"/>
        </w:sectPr>
      </w:pPr>
    </w:p>
    <w:bookmarkStart w:id="212" w:name="page213"/>
    <w:bookmarkEnd w:id="212"/>
    <w:p>
      <w:pPr>
        <w:jc w:val="both"/>
        <w:ind w:right="260"/>
        <w:spacing w:after="0" w:line="264" w:lineRule="auto"/>
        <w:rPr>
          <w:sz w:val="20"/>
          <w:szCs w:val="20"/>
          <w:color w:val="auto"/>
        </w:rPr>
      </w:pPr>
      <w:r>
        <w:rPr>
          <w:rFonts w:ascii="Arial" w:cs="Arial" w:eastAsia="Arial" w:hAnsi="Arial"/>
          <w:sz w:val="18"/>
          <w:szCs w:val="18"/>
          <w:color w:val="auto"/>
        </w:rPr>
        <w:t>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Class B Common Stock shall be issued upon conversion of the Preferred Stock. In lieu of any fractional shares to which the holder would otherwise be entitled, the Corporation shall pay cash equal to such fraction multiplied by the fair market value of a share of Class B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Class B Common Stock and the aggregate number of shares of Class B Common Stock issuable upon such conversion.</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Class B Common Stock, such holder shall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together with written notice that such holder elects to convert all or any number of the shares of the Preferred Stock represented by such certificate or certificates and, if applicable, any event on which such conversion is contingent. Such notice shall state such holder’s name or the names of the nominees in which such holder wishes the certificate or certificates for shares of Class B Common Stock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Class B Common Stock issuable upon conversion of the shares represented by such certificate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Class B Common Stock issuable upon such conversion in accordance with the provisions hereof and a certificate for the number (if any) of the shares of Preferred Stock represented by the surrendered certificate that were not converted into Class B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Class B Common Stock otherwise issuable upon such conversion and (iii) pay all declared but unpaid dividends on the shares of Preferred Stock converted.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Class B Common Stock as shall from time to time be sufficient to effect the conversion of all outstanding Preferred Stock; and if at any time the number of authorized but unissued shares of Class B Common Stock shall not be sufficient to effect the conversion of all then outstanding shares of the Preferred Stock, the Corporation shall take such corporate action as may be necessary to increase its authorized but unissued shares of Class B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 adjustment reducing the Preferred Conversion Price below the then par value of the shares of Class B Common Stock issuable upon conversion of the applicable Preferred Stock, the Corporation will take any corporate action which may, in the opinion of its counsel, be necessary in order that the Corporation may validly and legally issue fully paid and nonassessable shares of Class B Common Stock at such adjusted Preferred Conversion Price.</w:t>
      </w:r>
    </w:p>
    <w:p>
      <w:pPr>
        <w:spacing w:after="0" w:line="178" w:lineRule="exact"/>
        <w:rPr>
          <w:sz w:val="20"/>
          <w:szCs w:val="20"/>
          <w:color w:val="auto"/>
        </w:rPr>
      </w:pPr>
    </w:p>
    <w:p>
      <w:pPr>
        <w:jc w:val="both"/>
        <w:ind w:right="180" w:firstLine="1297"/>
        <w:spacing w:after="0" w:line="293"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u w:val="single" w:color="auto"/>
          <w:color w:val="auto"/>
        </w:rPr>
        <w:t>Effect of Conversion</w:t>
      </w:r>
      <w:r>
        <w:rPr>
          <w:rFonts w:ascii="Arial" w:cs="Arial" w:eastAsia="Arial" w:hAnsi="Arial"/>
          <w:sz w:val="16"/>
          <w:szCs w:val="16"/>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Class B Common Stock in exchange therefor, to receive payment in lieu of any fraction of a share otherwise issuable upon such conversion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5" w:lineRule="exact"/>
        <w:rPr>
          <w:sz w:val="20"/>
          <w:szCs w:val="20"/>
          <w:color w:val="auto"/>
        </w:rPr>
      </w:pPr>
    </w:p>
    <w:p>
      <w:pPr>
        <w:ind w:right="640" w:firstLine="1297"/>
        <w:spacing w:after="0" w:line="308"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Preferred Conversion Price shall be made for any declared but unpaid dividends on Preferred Stock surrendered for conversion or on the Class B Common Stock delivered upon conversion.</w:t>
      </w:r>
    </w:p>
    <w:p>
      <w:pPr>
        <w:spacing w:after="0" w:line="14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Class B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Class B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Preferred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2600" w:hanging="647"/>
        <w:spacing w:after="0"/>
        <w:tabs>
          <w:tab w:leader="none" w:pos="26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5620" w:right="1140" w:hanging="3667"/>
        <w:spacing w:after="0" w:line="532" w:lineRule="auto"/>
        <w:tabs>
          <w:tab w:leader="none" w:pos="260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the date on which the first share of Series F Preferred Stock was issued.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57" w:gutter="0" w:footer="0" w:header="0"/>
        </w:sectPr>
      </w:pPr>
    </w:p>
    <w:bookmarkStart w:id="213" w:name="page214"/>
    <w:bookmarkEnd w:id="213"/>
    <w:p>
      <w:pPr>
        <w:spacing w:after="0" w:line="24" w:lineRule="exact"/>
        <w:rPr>
          <w:sz w:val="20"/>
          <w:szCs w:val="20"/>
          <w:color w:val="auto"/>
        </w:rPr>
      </w:pPr>
    </w:p>
    <w:p>
      <w:pPr>
        <w:ind w:right="500" w:firstLine="1953"/>
        <w:spacing w:after="0" w:line="282" w:lineRule="auto"/>
        <w:tabs>
          <w:tab w:leader="none" w:pos="260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right="60" w:firstLine="1953"/>
        <w:spacing w:after="0" w:line="314" w:lineRule="auto"/>
        <w:tabs>
          <w:tab w:leader="none" w:pos="26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right="20" w:firstLine="2601"/>
        <w:spacing w:after="0" w:line="277" w:lineRule="auto"/>
        <w:tabs>
          <w:tab w:leader="none" w:pos="3263"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as a dividend or distribution on or conversion of Preferred Stock or conversion of Class B Common Stock;</w:t>
      </w:r>
    </w:p>
    <w:p>
      <w:pPr>
        <w:spacing w:after="0" w:line="170" w:lineRule="exact"/>
        <w:rPr>
          <w:rFonts w:ascii="Arial" w:cs="Arial" w:eastAsia="Arial" w:hAnsi="Arial"/>
          <w:sz w:val="18"/>
          <w:szCs w:val="18"/>
          <w:color w:val="auto"/>
        </w:rPr>
      </w:pPr>
    </w:p>
    <w:p>
      <w:pPr>
        <w:ind w:left="3280" w:hanging="679"/>
        <w:spacing w:after="0"/>
        <w:tabs>
          <w:tab w:leader="none" w:pos="328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by reason of the Stock Split, a dividend,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ind w:right="40" w:firstLine="2601"/>
        <w:spacing w:after="0" w:line="255" w:lineRule="auto"/>
        <w:tabs>
          <w:tab w:leader="none" w:pos="3282"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the Corporation’s 2008 Stock Incentive Plan, as amended, the Corporation’s 2016 Equity Incentive Plan, the Australian Stock Option Plan, the Israeli Stock Option Plan, or any other plan, agreement or arrangement approved by the Board of Directors of the Corporation, including at least two Preferred Directors, or 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93" w:lineRule="exact"/>
        <w:rPr>
          <w:rFonts w:ascii="Arial" w:cs="Arial" w:eastAsia="Arial" w:hAnsi="Arial"/>
          <w:sz w:val="18"/>
          <w:szCs w:val="18"/>
          <w:color w:val="auto"/>
        </w:rPr>
      </w:pPr>
    </w:p>
    <w:p>
      <w:pPr>
        <w:ind w:right="20" w:firstLine="2601"/>
        <w:spacing w:after="0" w:line="286" w:lineRule="auto"/>
        <w:tabs>
          <w:tab w:leader="none" w:pos="325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to banks, equipment lessors or other financial institutions, or to real property lessors, pursuant to a debt financing, equipment leasing or real property leasing transaction primarily for purposes other than raising capital, approved by the Board of Directors of the Corporation, including at least two Preferred Directors;</w:t>
      </w:r>
    </w:p>
    <w:p>
      <w:pPr>
        <w:spacing w:after="0" w:line="165" w:lineRule="exact"/>
        <w:rPr>
          <w:rFonts w:ascii="Arial" w:cs="Arial" w:eastAsia="Arial" w:hAnsi="Arial"/>
          <w:sz w:val="17"/>
          <w:szCs w:val="17"/>
          <w:color w:val="auto"/>
        </w:rPr>
      </w:pPr>
    </w:p>
    <w:p>
      <w:pPr>
        <w:ind w:right="60" w:firstLine="2601"/>
        <w:spacing w:after="0" w:line="264" w:lineRule="auto"/>
        <w:tabs>
          <w:tab w:leader="none" w:pos="324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pursuant to the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acquisition of another corporation by the Corporation by merger, purchase of substantially all of the assets or other reorganization or to a joint venture agreement, provided, that such issuances are approved by the Board of Directors of the Corporation;</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shares of Common Stock issued pursuant to the Corporation’s first underwritten public offering;</w:t>
      </w:r>
    </w:p>
    <w:p>
      <w:pPr>
        <w:spacing w:after="0" w:line="225" w:lineRule="exact"/>
        <w:rPr>
          <w:rFonts w:ascii="Arial" w:cs="Arial" w:eastAsia="Arial" w:hAnsi="Arial"/>
          <w:sz w:val="18"/>
          <w:szCs w:val="18"/>
          <w:color w:val="auto"/>
        </w:rPr>
      </w:pPr>
    </w:p>
    <w:p>
      <w:pPr>
        <w:ind w:right="220" w:firstLine="2601"/>
        <w:spacing w:after="0" w:line="342" w:lineRule="auto"/>
        <w:tabs>
          <w:tab w:leader="none" w:pos="3267"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shares issued at a price per share below the Series F Conversion Price but higher than the Series E Conversion Price if approved by the written consent of the holders of at least fifty percent (50%) of the outstanding shares of Series F Preferred Stock; or</w:t>
      </w:r>
    </w:p>
    <w:p>
      <w:pPr>
        <w:spacing w:after="0" w:line="123" w:lineRule="exact"/>
        <w:rPr>
          <w:rFonts w:ascii="Arial" w:cs="Arial" w:eastAsia="Arial" w:hAnsi="Arial"/>
          <w:sz w:val="16"/>
          <w:szCs w:val="16"/>
          <w:color w:val="auto"/>
        </w:rPr>
      </w:pPr>
    </w:p>
    <w:p>
      <w:pPr>
        <w:ind w:left="3280" w:hanging="679"/>
        <w:spacing w:after="0"/>
        <w:tabs>
          <w:tab w:leader="none" w:pos="32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shares sold pursuant to that certain Series F Stock Purchase Agreement dated on or about January 31, 2017,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same may be amended from time to time.</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91" w:lineRule="auto"/>
        <w:tabs>
          <w:tab w:leader="none" w:pos="259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7" w:lineRule="exact"/>
        <w:rPr>
          <w:rFonts w:ascii="Arial" w:cs="Arial" w:eastAsia="Arial" w:hAnsi="Arial"/>
          <w:sz w:val="16"/>
          <w:szCs w:val="16"/>
          <w:color w:val="auto"/>
        </w:rPr>
      </w:pPr>
    </w:p>
    <w:p>
      <w:pPr>
        <w:ind w:right="40" w:firstLine="1953"/>
        <w:spacing w:after="0" w:line="268" w:lineRule="auto"/>
        <w:tabs>
          <w:tab w:leader="none" w:pos="26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the issuance of which resulted in an adjustment to any Preferred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Preferred Conversion Price computed upon the original issue of such Option or Convertible Security (or upon the occurrence of a record date with respect thereto) shall be readjusted to such Preferred Conversion Price as would have obtained had such revised terms been in effect upon the original date of issuance of such Option or Convertible Security. Notwithstanding the foregoing, no readjustment pursuant to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have the effect of increasing the Preferred Conversion Price to an amount which exceeds the lower of (i) the Preferred Conversion Price in effect immediately prior to the original adjustment made as a result of the issuance of such Option or Convertible Security, or (ii) the Preferred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87" w:lineRule="exact"/>
        <w:rPr>
          <w:rFonts w:ascii="Arial" w:cs="Arial" w:eastAsia="Arial" w:hAnsi="Arial"/>
          <w:sz w:val="17"/>
          <w:szCs w:val="17"/>
          <w:color w:val="auto"/>
        </w:rPr>
      </w:pPr>
    </w:p>
    <w:p>
      <w:pPr>
        <w:ind w:right="40" w:firstLine="1953"/>
        <w:spacing w:after="0" w:line="288" w:lineRule="auto"/>
        <w:tabs>
          <w:tab w:leader="none" w:pos="260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(excluding Options or Convertible Securities which are themselves Exempted Securities), the issuance of which did not result in an adjustment to the applicable Preferred Conversion Price pursuant to the terms of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4.4.4</w:t>
      </w:r>
      <w:r>
        <w:rPr>
          <w:rFonts w:ascii="Arial" w:cs="Arial" w:eastAsia="Arial" w:hAnsi="Arial"/>
          <w:sz w:val="16"/>
          <w:szCs w:val="16"/>
          <w:color w:val="auto"/>
        </w:rPr>
        <w:t xml:space="preserve"> (either because the consideration per share (determined pursuant to </w:t>
      </w:r>
      <w:r>
        <w:rPr>
          <w:rFonts w:ascii="Arial" w:cs="Arial" w:eastAsia="Arial" w:hAnsi="Arial"/>
          <w:sz w:val="16"/>
          <w:szCs w:val="16"/>
          <w:u w:val="single" w:color="auto"/>
          <w:color w:val="auto"/>
        </w:rPr>
        <w:t>Subsection 4.4.5</w:t>
      </w:r>
      <w:r>
        <w:rPr>
          <w:rFonts w:ascii="Arial" w:cs="Arial" w:eastAsia="Arial" w:hAnsi="Arial"/>
          <w:sz w:val="16"/>
          <w:szCs w:val="16"/>
          <w:color w:val="auto"/>
        </w:rPr>
        <w:t xml:space="preserve">) of the Additional Shares of Common Stock subject thereto was equal to or greater than the applicable Preferred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(I)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6"/>
          <w:szCs w:val="16"/>
          <w:u w:val="single" w:color="auto"/>
          <w:color w:val="auto"/>
        </w:rPr>
        <w:t>Subsection 4.4.3(a)</w:t>
      </w:r>
      <w:r>
        <w:rPr>
          <w:rFonts w:ascii="Arial" w:cs="Arial" w:eastAsia="Arial" w:hAnsi="Arial"/>
          <w:sz w:val="16"/>
          <w:szCs w:val="16"/>
          <w:color w:val="auto"/>
        </w:rPr>
        <w:t>) shall be deemed to have been issued effective upon such increase or decrease becoming effective.</w:t>
      </w:r>
    </w:p>
    <w:p>
      <w:pPr>
        <w:sectPr>
          <w:pgSz w:w="11900" w:h="16863" w:orient="portrait"/>
          <w:cols w:equalWidth="0" w:num="1">
            <w:col w:w="11420"/>
          </w:cols>
          <w:pgMar w:left="240" w:top="121" w:right="239" w:bottom="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953"/>
        <w:spacing w:after="0" w:line="259" w:lineRule="auto"/>
        <w:tabs>
          <w:tab w:leader="none" w:pos="26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any Preferred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applicable Preferred Conversion Price shall be readjusted to such Preferred Conversion Price as would have obtained had such Option or Convertible Security (or portion thereof) never been issued.</w:t>
      </w:r>
    </w:p>
    <w:p>
      <w:pPr>
        <w:spacing w:after="0" w:line="186" w:lineRule="exact"/>
        <w:rPr>
          <w:rFonts w:ascii="Arial" w:cs="Arial" w:eastAsia="Arial" w:hAnsi="Arial"/>
          <w:sz w:val="18"/>
          <w:szCs w:val="18"/>
          <w:color w:val="auto"/>
        </w:rPr>
      </w:pPr>
    </w:p>
    <w:p>
      <w:pPr>
        <w:ind w:firstLine="1953"/>
        <w:spacing w:after="0" w:line="285" w:lineRule="auto"/>
        <w:tabs>
          <w:tab w:leader="none" w:pos="2604" w:val="left"/>
        </w:tabs>
        <w:numPr>
          <w:ilvl w:val="1"/>
          <w:numId w:val="151"/>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Preferred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w:t>
      </w:r>
    </w:p>
    <w:p>
      <w:pPr>
        <w:spacing w:after="0" w:line="2" w:lineRule="exact"/>
        <w:rPr>
          <w:rFonts w:ascii="Arial" w:cs="Arial" w:eastAsia="Arial" w:hAnsi="Arial"/>
          <w:sz w:val="16"/>
          <w:szCs w:val="16"/>
          <w:color w:val="auto"/>
        </w:rPr>
      </w:pPr>
    </w:p>
    <w:p>
      <w:pPr>
        <w:ind w:right="20" w:firstLine="8"/>
        <w:spacing w:after="0" w:line="270" w:lineRule="auto"/>
        <w:tabs>
          <w:tab w:leader="none" w:pos="24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Preferred Conversion Price that would result under the terms of this </w:t>
      </w:r>
      <w:r>
        <w:rPr>
          <w:rFonts w:ascii="Arial" w:cs="Arial" w:eastAsia="Arial" w:hAnsi="Arial"/>
          <w:sz w:val="17"/>
          <w:szCs w:val="17"/>
          <w:u w:val="single" w:color="auto"/>
          <w:color w:val="auto"/>
        </w:rPr>
        <w:t>Subsection 4.4.3</w:t>
      </w:r>
      <w:r>
        <w:rPr>
          <w:rFonts w:ascii="Arial" w:cs="Arial" w:eastAsia="Arial" w:hAnsi="Arial"/>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Preferred Conversion Price that such issuance or amendment took place at the time such calculation can first be made.</w:t>
      </w:r>
    </w:p>
    <w:p>
      <w:pPr>
        <w:spacing w:after="0" w:line="179" w:lineRule="exact"/>
        <w:rPr>
          <w:sz w:val="20"/>
          <w:szCs w:val="20"/>
          <w:color w:val="auto"/>
        </w:rPr>
      </w:pPr>
    </w:p>
    <w:p>
      <w:pPr>
        <w:ind w:right="20" w:firstLine="1297"/>
        <w:spacing w:after="0" w:line="276"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Preferred Conversion Price Upon Issuance of Additional Shares of Common Stock</w:t>
      </w:r>
      <w:r>
        <w:rPr>
          <w:rFonts w:ascii="Arial" w:cs="Arial" w:eastAsia="Arial" w:hAnsi="Arial"/>
          <w:sz w:val="17"/>
          <w:szCs w:val="17"/>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applicable Preferred Conversion Price in effect immediately prior to such issue, then the applicable Preferred Conversion Price shall be reduced, concurrently with such issue, to a price (calculated to the nearest one-hundredth of a cent) determined in accordance with the following formula:</w:t>
      </w:r>
    </w:p>
    <w:p>
      <w:pPr>
        <w:spacing w:after="0" w:line="17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CP</w:t>
      </w:r>
      <w:r>
        <w:rPr>
          <w:rFonts w:ascii="Arial" w:cs="Arial" w:eastAsia="Arial" w:hAnsi="Arial"/>
          <w:sz w:val="11"/>
          <w:szCs w:val="11"/>
          <w:color w:val="auto"/>
        </w:rPr>
        <w:t>2</w:t>
      </w:r>
      <w:r>
        <w:rPr>
          <w:rFonts w:ascii="Arial" w:cs="Arial" w:eastAsia="Arial" w:hAnsi="Arial"/>
          <w:sz w:val="18"/>
          <w:szCs w:val="18"/>
          <w:color w:val="auto"/>
        </w:rPr>
        <w:t xml:space="preserve"> = CP</w:t>
      </w:r>
      <w:r>
        <w:rPr>
          <w:rFonts w:ascii="Arial" w:cs="Arial" w:eastAsia="Arial" w:hAnsi="Arial"/>
          <w:sz w:val="11"/>
          <w:szCs w:val="11"/>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left="2600" w:hanging="647"/>
        <w:spacing w:after="0"/>
        <w:tabs>
          <w:tab w:leader="none" w:pos="26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0"/>
          <w:szCs w:val="10"/>
          <w:color w:val="auto"/>
        </w:rPr>
        <w:t>2</w:t>
      </w:r>
      <w:r>
        <w:rPr>
          <w:rFonts w:ascii="Arial" w:cs="Arial" w:eastAsia="Arial" w:hAnsi="Arial"/>
          <w:sz w:val="16"/>
          <w:szCs w:val="16"/>
          <w:color w:val="auto"/>
        </w:rPr>
        <w:t>” shall mean the applicable Preferred Conversion Price in effect immediately after such issue of Additional Shares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11" w:lineRule="exact"/>
        <w:rPr>
          <w:sz w:val="20"/>
          <w:szCs w:val="20"/>
          <w:color w:val="auto"/>
        </w:rPr>
      </w:pPr>
    </w:p>
    <w:p>
      <w:pPr>
        <w:ind w:left="2600" w:hanging="647"/>
        <w:spacing w:after="0"/>
        <w:tabs>
          <w:tab w:leader="none" w:pos="26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“CP</w:t>
      </w:r>
      <w:r>
        <w:rPr>
          <w:rFonts w:ascii="Arial" w:cs="Arial" w:eastAsia="Arial" w:hAnsi="Arial"/>
          <w:sz w:val="10"/>
          <w:szCs w:val="10"/>
          <w:color w:val="auto"/>
        </w:rPr>
        <w:t>1</w:t>
      </w:r>
      <w:r>
        <w:rPr>
          <w:rFonts w:ascii="Arial" w:cs="Arial" w:eastAsia="Arial" w:hAnsi="Arial"/>
          <w:sz w:val="16"/>
          <w:szCs w:val="16"/>
          <w:color w:val="auto"/>
        </w:rPr>
        <w:t>” shall mean the applicable Preferred Conversion Price in effect immediately prior to such issue of Additional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w:t>
      </w:r>
    </w:p>
    <w:p>
      <w:pPr>
        <w:spacing w:after="0" w:line="211" w:lineRule="exact"/>
        <w:rPr>
          <w:sz w:val="20"/>
          <w:szCs w:val="20"/>
          <w:color w:val="auto"/>
        </w:rPr>
      </w:pPr>
    </w:p>
    <w:p>
      <w:pPr>
        <w:ind w:right="40" w:firstLine="1953"/>
        <w:spacing w:after="0" w:line="259" w:lineRule="auto"/>
        <w:tabs>
          <w:tab w:leader="none" w:pos="260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86" w:lineRule="exact"/>
        <w:rPr>
          <w:rFonts w:ascii="Arial" w:cs="Arial" w:eastAsia="Arial" w:hAnsi="Arial"/>
          <w:sz w:val="18"/>
          <w:szCs w:val="18"/>
          <w:color w:val="auto"/>
        </w:rPr>
      </w:pPr>
    </w:p>
    <w:p>
      <w:pPr>
        <w:ind w:right="640" w:firstLine="1953"/>
        <w:spacing w:after="0" w:line="277" w:lineRule="auto"/>
        <w:tabs>
          <w:tab w:leader="none" w:pos="26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1"/>
          <w:szCs w:val="11"/>
          <w:color w:val="auto"/>
        </w:rPr>
        <w:t>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(determined by dividing the aggregate consideration received by the Corporation in respect of such issue by CP</w:t>
      </w:r>
      <w:r>
        <w:rPr>
          <w:rFonts w:ascii="Arial" w:cs="Arial" w:eastAsia="Arial" w:hAnsi="Arial"/>
          <w:sz w:val="11"/>
          <w:szCs w:val="11"/>
          <w:color w:val="auto"/>
        </w:rPr>
        <w:t>1</w:t>
      </w:r>
      <w:r>
        <w:rPr>
          <w:rFonts w:ascii="Arial" w:cs="Arial" w:eastAsia="Arial" w:hAnsi="Arial"/>
          <w:sz w:val="18"/>
          <w:szCs w:val="18"/>
          <w:color w:val="auto"/>
        </w:rPr>
        <w:t>); and</w:t>
      </w:r>
    </w:p>
    <w:p>
      <w:pPr>
        <w:spacing w:after="0" w:line="225" w:lineRule="exact"/>
        <w:rPr>
          <w:sz w:val="20"/>
          <w:szCs w:val="20"/>
          <w:color w:val="auto"/>
        </w:rPr>
      </w:pPr>
    </w:p>
    <w:p>
      <w:pPr>
        <w:ind w:left="2620" w:hanging="667"/>
        <w:spacing w:after="0"/>
        <w:tabs>
          <w:tab w:leader="none" w:pos="2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170" w:lineRule="exact"/>
        <w:rPr>
          <w:sz w:val="20"/>
          <w:szCs w:val="20"/>
          <w:color w:val="auto"/>
        </w:rPr>
      </w:pPr>
    </w:p>
    <w:p>
      <w:pPr>
        <w:ind w:left="2600" w:hanging="647"/>
        <w:spacing w:after="0"/>
        <w:tabs>
          <w:tab w:leader="none" w:pos="2600" w:val="left"/>
        </w:tabs>
        <w:numPr>
          <w:ilvl w:val="1"/>
          <w:numId w:val="157"/>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right="660" w:firstLine="2601"/>
        <w:spacing w:after="0" w:line="277" w:lineRule="auto"/>
        <w:tabs>
          <w:tab w:leader="none" w:pos="3263"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right="20" w:firstLine="2601"/>
        <w:spacing w:after="0" w:line="277" w:lineRule="auto"/>
        <w:tabs>
          <w:tab w:leader="none" w:pos="327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170" w:lineRule="exact"/>
        <w:rPr>
          <w:rFonts w:ascii="Arial" w:cs="Arial" w:eastAsia="Arial" w:hAnsi="Arial"/>
          <w:sz w:val="18"/>
          <w:szCs w:val="18"/>
          <w:color w:val="auto"/>
        </w:rPr>
      </w:pPr>
    </w:p>
    <w:p>
      <w:pPr>
        <w:ind w:right="240" w:firstLine="2601"/>
        <w:spacing w:after="0" w:line="291" w:lineRule="auto"/>
        <w:tabs>
          <w:tab w:leader="none" w:pos="3282" w:val="left"/>
        </w:tabs>
        <w:numPr>
          <w:ilvl w:val="2"/>
          <w:numId w:val="157"/>
        </w:numPr>
        <w:rPr>
          <w:rFonts w:ascii="Arial" w:cs="Arial" w:eastAsia="Arial" w:hAnsi="Arial"/>
          <w:sz w:val="16"/>
          <w:szCs w:val="16"/>
          <w:color w:val="auto"/>
        </w:rPr>
      </w:pPr>
      <w:r>
        <w:rPr>
          <w:rFonts w:ascii="Arial" w:cs="Arial" w:eastAsia="Arial" w:hAnsi="Arial"/>
          <w:sz w:val="16"/>
          <w:szCs w:val="16"/>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w:t>
      </w:r>
    </w:p>
    <w:p>
      <w:pPr>
        <w:ind w:left="280" w:hanging="272"/>
        <w:spacing w:after="0"/>
        <w:tabs>
          <w:tab w:leader="none" w:pos="280" w:val="left"/>
        </w:tabs>
        <w:numPr>
          <w:ilvl w:val="0"/>
          <w:numId w:val="158"/>
        </w:numPr>
        <w:rPr>
          <w:rFonts w:ascii="Arial" w:cs="Arial" w:eastAsia="Arial" w:hAnsi="Arial"/>
          <w:sz w:val="18"/>
          <w:szCs w:val="18"/>
          <w:u w:val="single" w:color="auto"/>
          <w:color w:val="auto"/>
        </w:rPr>
      </w:pPr>
      <w:r>
        <w:rPr>
          <w:rFonts w:ascii="Arial" w:cs="Arial" w:eastAsia="Arial" w:hAnsi="Arial"/>
          <w:sz w:val="18"/>
          <w:szCs w:val="18"/>
          <w:color w:val="auto"/>
        </w:rPr>
        <w:t>above, as determined in good faith by the Board of Directors of the Corporation.</w:t>
      </w:r>
    </w:p>
    <w:p>
      <w:pPr>
        <w:spacing w:after="0" w:line="210" w:lineRule="exact"/>
        <w:rPr>
          <w:rFonts w:ascii="Arial" w:cs="Arial" w:eastAsia="Arial" w:hAnsi="Arial"/>
          <w:sz w:val="18"/>
          <w:szCs w:val="18"/>
          <w:u w:val="single" w:color="auto"/>
          <w:color w:val="auto"/>
        </w:rPr>
      </w:pPr>
    </w:p>
    <w:p>
      <w:pPr>
        <w:jc w:val="both"/>
        <w:ind w:right="340" w:firstLine="1953"/>
        <w:spacing w:after="0" w:line="342" w:lineRule="auto"/>
        <w:tabs>
          <w:tab w:leader="none" w:pos="2600" w:val="left"/>
        </w:tabs>
        <w:numPr>
          <w:ilvl w:val="1"/>
          <w:numId w:val="158"/>
        </w:numPr>
        <w:rPr>
          <w:rFonts w:ascii="Arial" w:cs="Arial" w:eastAsia="Arial" w:hAnsi="Arial"/>
          <w:sz w:val="16"/>
          <w:szCs w:val="16"/>
          <w:color w:val="auto"/>
        </w:rPr>
      </w:pPr>
      <w:r>
        <w:rPr>
          <w:rFonts w:ascii="Arial" w:cs="Arial" w:eastAsia="Arial" w:hAnsi="Arial"/>
          <w:sz w:val="16"/>
          <w:szCs w:val="16"/>
          <w:u w:val="single" w:color="auto"/>
          <w:color w:val="auto"/>
        </w:rPr>
        <w:t>Options and Convertible Securities</w:t>
      </w:r>
      <w:r>
        <w:rPr>
          <w:rFonts w:ascii="Arial" w:cs="Arial" w:eastAsia="Arial" w:hAnsi="Arial"/>
          <w:sz w:val="16"/>
          <w:szCs w:val="16"/>
          <w:color w:val="auto"/>
        </w:rPr>
        <w:t xml:space="preserve">. The consideration per share received by the Corporation for Additional Shares of Common Stock deemed to have been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relating to Options and Convertible Securities, shall be determined by dividing</w:t>
      </w:r>
    </w:p>
    <w:p>
      <w:pPr>
        <w:spacing w:after="0" w:line="123" w:lineRule="exact"/>
        <w:rPr>
          <w:rFonts w:ascii="Arial" w:cs="Arial" w:eastAsia="Arial" w:hAnsi="Arial"/>
          <w:sz w:val="16"/>
          <w:szCs w:val="16"/>
          <w:color w:val="auto"/>
        </w:rPr>
      </w:pPr>
    </w:p>
    <w:p>
      <w:pPr>
        <w:ind w:right="60" w:firstLine="2601"/>
        <w:spacing w:after="0" w:line="312" w:lineRule="auto"/>
        <w:tabs>
          <w:tab w:leader="none" w:pos="3263" w:val="left"/>
        </w:tabs>
        <w:numPr>
          <w:ilvl w:val="2"/>
          <w:numId w:val="158"/>
        </w:numPr>
        <w:rPr>
          <w:rFonts w:ascii="Arial" w:cs="Arial" w:eastAsia="Arial" w:hAnsi="Arial"/>
          <w:sz w:val="16"/>
          <w:szCs w:val="16"/>
          <w:color w:val="auto"/>
        </w:rPr>
      </w:pPr>
      <w:r>
        <w:rPr>
          <w:rFonts w:ascii="Arial" w:cs="Arial" w:eastAsia="Arial" w:hAnsi="Arial"/>
          <w:sz w:val="16"/>
          <w:szCs w:val="16"/>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w:t>
      </w:r>
    </w:p>
    <w:p>
      <w:pPr>
        <w:sectPr>
          <w:pgSz w:w="11900" w:h="16838" w:orient="portrait"/>
          <w:cols w:equalWidth="0" w:num="1">
            <w:col w:w="11400"/>
          </w:cols>
          <w:pgMar w:left="240" w:top="341" w:right="259" w:bottom="0" w:gutter="0" w:footer="0" w:header="0"/>
        </w:sectPr>
      </w:pPr>
    </w:p>
    <w:bookmarkStart w:id="215" w:name="page216"/>
    <w:bookmarkEnd w:id="215"/>
    <w:p>
      <w:pPr>
        <w:spacing w:after="0" w:line="1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conversion or exchange of such Convertible Securities, or in the case of Options for Convertible Securities, the exercise of such Options for Convertible Securities and the conversion or exchange of such Convertible Securities, by</w:t>
      </w:r>
    </w:p>
    <w:p>
      <w:pPr>
        <w:spacing w:after="0" w:line="170" w:lineRule="exact"/>
        <w:rPr>
          <w:sz w:val="20"/>
          <w:szCs w:val="20"/>
          <w:color w:val="auto"/>
        </w:rPr>
      </w:pPr>
    </w:p>
    <w:p>
      <w:pPr>
        <w:ind w:right="140" w:firstLine="2601"/>
        <w:spacing w:after="0" w:line="259" w:lineRule="auto"/>
        <w:tabs>
          <w:tab w:leader="none" w:pos="3272"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right="120" w:firstLine="1297"/>
        <w:spacing w:after="0" w:line="297"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adjustment to the applicable Preferred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and such issuance dates occur within a period of no more than 90 days from the first such issuance to the final such issuance, then, upon the final such issuance, the applicable Preferred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Original Issue Date effect a subdivision of the outstanding Common Stock, the applicable Preferred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Preferred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 For avoidance of doubt, all adjustments required by the Stock Split are reflected herein.</w:t>
      </w:r>
    </w:p>
    <w:p>
      <w:pPr>
        <w:spacing w:after="0" w:line="19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Preferred Conversion Price in effect immediately before such event shall be decreased as of the time of such issuance or, in the event such a record date shall have been fixed, as of the close of business on such record date, by multiplying the applicable Preferred Conversion Price then in effect by a fraction:</w:t>
      </w:r>
    </w:p>
    <w:p>
      <w:pPr>
        <w:spacing w:after="0" w:line="173" w:lineRule="exact"/>
        <w:rPr>
          <w:sz w:val="20"/>
          <w:szCs w:val="20"/>
          <w:color w:val="auto"/>
        </w:rPr>
      </w:pPr>
    </w:p>
    <w:p>
      <w:pPr>
        <w:ind w:left="660" w:firstLine="645"/>
        <w:spacing w:after="0" w:line="277" w:lineRule="auto"/>
        <w:tabs>
          <w:tab w:leader="none" w:pos="20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left="660" w:right="60" w:firstLine="645"/>
        <w:spacing w:after="0" w:line="264" w:lineRule="auto"/>
        <w:tabs>
          <w:tab w:leader="none" w:pos="201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applicable Preferred Conversion Price shall be recomputed accordingly as of the close of business on such record date and thereafter the applicable Preferred Conversion Price shall be adjusted pursuant to this subsection as of the time of actual payment of such dividends or distributions; and</w:t>
      </w:r>
    </w:p>
    <w:p>
      <w:pPr>
        <w:ind w:right="40" w:firstLine="8"/>
        <w:spacing w:after="0" w:line="255" w:lineRule="auto"/>
        <w:tabs>
          <w:tab w:leader="none" w:pos="2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Preferred Stock simultaneously receive a dividend or other distribution of shares of Class B Common Stock in a number equal to the number of shares of Class B Common Stock as they would have received if all outstanding shares of Preferred Stock had been converted into Class B Common Stock on the date of such event.</w:t>
      </w:r>
    </w:p>
    <w:p>
      <w:pPr>
        <w:spacing w:after="0" w:line="19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Adjustments for Other Dividends and Distributions</w:t>
      </w:r>
      <w:r>
        <w:rPr>
          <w:rFonts w:ascii="Arial" w:cs="Arial" w:eastAsia="Arial" w:hAnsi="Arial"/>
          <w:sz w:val="18"/>
          <w:szCs w:val="18"/>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Class B Common Stock on the date of such event.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Subsections 4.4</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the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Preferred Conversion Price) shall thereafter be applicable, as nearly as reasonably may be, in relation to any securities or other property thereafter deliverable upon the conversion of the Preferred Stock. For the avoidance of doubt, nothing in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shall be construed as preventing the holders of Preferred Stock from seeking any appraisal rights to which they are otherwise entitled under the Delaware General Corporation Law in connection with a merger triggering an adjustment hereunder, nor shall this </w:t>
      </w:r>
      <w:r>
        <w:rPr>
          <w:rFonts w:ascii="Arial" w:cs="Arial" w:eastAsia="Arial" w:hAnsi="Arial"/>
          <w:sz w:val="16"/>
          <w:szCs w:val="16"/>
          <w:u w:val="single" w:color="auto"/>
          <w:color w:val="auto"/>
        </w:rPr>
        <w:t>Subsection 4.8</w:t>
      </w:r>
      <w:r>
        <w:rPr>
          <w:rFonts w:ascii="Arial" w:cs="Arial" w:eastAsia="Arial" w:hAnsi="Arial"/>
          <w:sz w:val="16"/>
          <w:szCs w:val="16"/>
          <w:color w:val="auto"/>
        </w:rPr>
        <w:t xml:space="preserve"> be deemed conclusive evidence of the fair value of the shares of Preferred Stock in any such appraisal proceeding.</w:t>
      </w:r>
    </w:p>
    <w:p>
      <w:pPr>
        <w:spacing w:after="0" w:line="17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any Preferred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10 days thereafter, compute such</w:t>
      </w:r>
    </w:p>
    <w:p>
      <w:pPr>
        <w:sectPr>
          <w:pgSz w:w="11900" w:h="16948" w:orient="portrait"/>
          <w:cols w:equalWidth="0" w:num="1">
            <w:col w:w="11420"/>
          </w:cols>
          <w:pgMar w:left="240" w:top="125" w:right="239" w:bottom="0" w:gutter="0" w:footer="0" w:header="0"/>
        </w:sectPr>
      </w:pPr>
    </w:p>
    <w:bookmarkStart w:id="216" w:name="page217"/>
    <w:bookmarkEnd w:id="216"/>
    <w:p>
      <w:pPr>
        <w:spacing w:after="0" w:line="1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10 days thereafter), furnish or cause to be furnished to such holder a certificate setting forth</w:t>
      </w:r>
    </w:p>
    <w:p>
      <w:pPr>
        <w:spacing w:after="0" w:line="2" w:lineRule="exact"/>
        <w:rPr>
          <w:sz w:val="20"/>
          <w:szCs w:val="20"/>
          <w:color w:val="auto"/>
        </w:rPr>
      </w:pPr>
    </w:p>
    <w:p>
      <w:pPr>
        <w:ind w:right="740" w:firstLine="8"/>
        <w:spacing w:after="0" w:line="261" w:lineRule="auto"/>
        <w:tabs>
          <w:tab w:leader="none" w:pos="2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applicable Preferred Conversion Price then in effect, and (ii) the number of shares of Class B Common Stock and the amount, if any, of other securities, cash or property which then would be received upon the conversion of Preferred Stock.</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225" w:lineRule="exact"/>
        <w:rPr>
          <w:sz w:val="20"/>
          <w:szCs w:val="20"/>
          <w:color w:val="auto"/>
        </w:rPr>
      </w:pPr>
    </w:p>
    <w:p>
      <w:pPr>
        <w:ind w:right="140" w:firstLine="1953"/>
        <w:spacing w:after="0" w:line="286" w:lineRule="auto"/>
        <w:tabs>
          <w:tab w:leader="none" w:pos="26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65" w:lineRule="exact"/>
        <w:rPr>
          <w:rFonts w:ascii="Arial" w:cs="Arial" w:eastAsia="Arial" w:hAnsi="Arial"/>
          <w:sz w:val="17"/>
          <w:szCs w:val="17"/>
          <w:color w:val="auto"/>
        </w:rPr>
      </w:pPr>
    </w:p>
    <w:p>
      <w:pPr>
        <w:ind w:left="2660" w:hanging="707"/>
        <w:spacing w:after="0"/>
        <w:tabs>
          <w:tab w:leader="none" w:pos="266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7"/>
          <w:szCs w:val="17"/>
          <w:color w:val="auto"/>
        </w:rPr>
      </w:pPr>
    </w:p>
    <w:p>
      <w:pPr>
        <w:ind w:left="2640" w:hanging="687"/>
        <w:spacing w:after="0"/>
        <w:tabs>
          <w:tab w:leader="none" w:pos="26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then, and in each such case, the Corporation will send or cause to be sent to the holders of the Preferred Stock a notice specifying, as the case may be, (i) the record date for such dividend, distribution or right,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and the amount and character of such dividend, distribution or right, or (ii) the effective date on which such reorganization, reclassification, consolidation, merger, transfer, dissolution, liquidation or winding 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10 days prior to the record date or effective date for the event specified in such notice.</w:t>
      </w:r>
    </w:p>
    <w:p>
      <w:pPr>
        <w:spacing w:after="0" w:line="165" w:lineRule="exact"/>
        <w:rPr>
          <w:sz w:val="20"/>
          <w:szCs w:val="20"/>
          <w:color w:val="auto"/>
        </w:rPr>
      </w:pPr>
    </w:p>
    <w:p>
      <w:pPr>
        <w:ind w:left="720" w:hanging="712"/>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Class A Common Stock to the public, in a firm-commitment underwritten public offering listed on the NASDAQ Stock Market or the New York Stock Exchange, pursuant to an effective registration statement under the Securities Act of 1933, as amended, resulting in at least $40,000,000 of gross proceeds to the Corporation, or (b) the date and time, or the occurrence of an event, specified by vote or written consent of the holders of at least fifty percent (50%) of the voting power of the then outstanding shares of Preferred Stock (which consent shall include the vote or written consent of the holders of at least fifty percent (50%) of the voting power of the then outstanding shares of Series F Preferred Stock unless the conversion is in connection with and subject to the consummation of a preferred stock financing at a price per share below the Series F Conversion Price)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 all outstanding shares of Preferred Stock shall automatically be converted into shares of</w:t>
      </w:r>
    </w:p>
    <w:p>
      <w:pPr>
        <w:spacing w:after="0" w:line="1" w:lineRule="exact"/>
        <w:rPr>
          <w:sz w:val="20"/>
          <w:szCs w:val="20"/>
          <w:color w:val="auto"/>
        </w:rPr>
      </w:pPr>
    </w:p>
    <w:p>
      <w:pPr>
        <w:ind w:right="480" w:firstLine="8"/>
        <w:spacing w:after="0" w:line="261" w:lineRule="auto"/>
        <w:tabs>
          <w:tab w:leader="none" w:pos="2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Class B Common Stock, if prior to the Final Conversion Date or (ii) Class A Common Stock, if after the Final Conversion Date, at the then effective applicable conversion rate and (y) such shares may not be reissued by the Corporation.</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Class B Common Stock (or, if after the Final Conversion Date, Class A Common Stock) issuable on such conversion in accordance with the provisions 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Class B Common Stock (or, if after the Final Conversion Date, Class 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47" w:lineRule="exact"/>
        <w:rPr>
          <w:sz w:val="20"/>
          <w:szCs w:val="20"/>
          <w:color w:val="auto"/>
        </w:rPr>
      </w:pPr>
    </w:p>
    <w:p>
      <w:pPr>
        <w:ind w:left="720" w:hanging="712"/>
        <w:spacing w:after="0"/>
        <w:tabs>
          <w:tab w:leader="none" w:pos="72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Redemption</w:t>
      </w:r>
      <w:r>
        <w:rPr>
          <w:rFonts w:ascii="Arial" w:cs="Arial" w:eastAsia="Arial" w:hAnsi="Arial"/>
          <w:sz w:val="16"/>
          <w:szCs w:val="16"/>
          <w:color w:val="auto"/>
        </w:rPr>
        <w:t>. Shares of Preferred Stock shall be redeemed by the Corporation out of funds lawfully available therefor at a price equal to the Series A Original Issue Price per share, the Series B Original Issue Price per share, the Series C Original Issue Price per share, the Series D Original Issue Price per share, the Series E Original Issue Price per share, and the Series F Original Issue Price per share, respectively, plus all declared but unpaid dividends thereon (the “</w:t>
      </w:r>
      <w:r>
        <w:rPr>
          <w:rFonts w:ascii="Arial" w:cs="Arial" w:eastAsia="Arial" w:hAnsi="Arial"/>
          <w:sz w:val="16"/>
          <w:szCs w:val="16"/>
          <w:b w:val="1"/>
          <w:bCs w:val="1"/>
          <w:color w:val="auto"/>
        </w:rPr>
        <w:t>Redemption Price</w:t>
      </w:r>
      <w:r>
        <w:rPr>
          <w:rFonts w:ascii="Arial" w:cs="Arial" w:eastAsia="Arial" w:hAnsi="Arial"/>
          <w:sz w:val="16"/>
          <w:szCs w:val="16"/>
          <w:color w:val="auto"/>
        </w:rPr>
        <w:t>”), in three annual installments commencing not more than 60 days after receipt by the Corporation at any time on or after</w:t>
      </w:r>
    </w:p>
    <w:p>
      <w:pPr>
        <w:sectPr>
          <w:pgSz w:w="11900" w:h="16945" w:orient="portrait"/>
          <w:cols w:equalWidth="0" w:num="1">
            <w:col w:w="11400"/>
          </w:cols>
          <w:pgMar w:left="240" w:top="125" w:right="259" w:bottom="0" w:gutter="0" w:footer="0" w:header="0"/>
        </w:sectPr>
      </w:pPr>
    </w:p>
    <w:bookmarkStart w:id="217" w:name="page218"/>
    <w:bookmarkEnd w:id="217"/>
    <w:p>
      <w:pPr>
        <w:ind w:right="60"/>
        <w:spacing w:after="0" w:line="287" w:lineRule="auto"/>
        <w:rPr>
          <w:sz w:val="20"/>
          <w:szCs w:val="20"/>
          <w:color w:val="auto"/>
        </w:rPr>
      </w:pPr>
      <w:r>
        <w:rPr>
          <w:rFonts w:ascii="Arial" w:cs="Arial" w:eastAsia="Arial" w:hAnsi="Arial"/>
          <w:sz w:val="16"/>
          <w:szCs w:val="16"/>
          <w:color w:val="auto"/>
        </w:rPr>
        <w:t>October 2, 2018, from the holders of at least fifty percent (50%) of the then outstanding shares of Preferred Stock, of written notice requesting redemption of all shares of Preferred Stock (other than those shares of Preferred Stock which are the subject of a Non Redemption Election, as provided for below). Upon receipt of such notice requesting redemption, the Corporation shall apply an amount of assets equal to the Redemption Price payable upon the next Redemption Date, to any such redemption, and to no other corporate purpose, except to the extent prohibited by Delaware law governing distributions to stockholders. The date of each such installment shall be referred to as a “</w:t>
      </w:r>
      <w:r>
        <w:rPr>
          <w:rFonts w:ascii="Arial" w:cs="Arial" w:eastAsia="Arial" w:hAnsi="Arial"/>
          <w:sz w:val="16"/>
          <w:szCs w:val="16"/>
          <w:b w:val="1"/>
          <w:bCs w:val="1"/>
          <w:color w:val="auto"/>
        </w:rPr>
        <w:t>Redemption Date</w:t>
      </w:r>
      <w:r>
        <w:rPr>
          <w:rFonts w:ascii="Arial" w:cs="Arial" w:eastAsia="Arial" w:hAnsi="Arial"/>
          <w:sz w:val="16"/>
          <w:szCs w:val="16"/>
          <w:color w:val="auto"/>
        </w:rPr>
        <w:t>”. On each Redemption Date, the Corporation shall redeem, on a pro rata basis in accordance with the number of shares of Preferred Stock owned by each holder, that number of outstanding shares of Preferred Stock determined by dividing (i) the total number of shares of Preferred Stock outstanding immediately prior to such Redemption Date by (ii) the number of remaining Redemption Dates (including the Redemption Date to which such calculation applies). If the Corporation does not have sufficient funds legally available to redeem on any Redemption Date all shares of Preferred Stock to be redeemed on such Redemption Date, the Corporation shall redeem a pro rata portion of each holder’s redeemable shares of such capital stock out of funds legally available therefor, based on the respective amounts which would otherwise be payable in respect of the shares to be redeemed if the legally available funds were sufficient to redeem all such shares, and shall redeem the remaining shares to have been redeemed as soon as practicable after the Corporation has funds legally available therefor.</w:t>
      </w:r>
    </w:p>
    <w:p>
      <w:pPr>
        <w:spacing w:after="0" w:line="165"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Redemption Notice</w:t>
      </w:r>
      <w:r>
        <w:rPr>
          <w:rFonts w:ascii="Arial" w:cs="Arial" w:eastAsia="Arial" w:hAnsi="Arial"/>
          <w:sz w:val="18"/>
          <w:szCs w:val="18"/>
          <w:color w:val="auto"/>
        </w:rPr>
        <w:t>. The Corporation shall send written notice of the mandatory redemption (the “</w:t>
      </w:r>
      <w:r>
        <w:rPr>
          <w:rFonts w:ascii="Arial" w:cs="Arial" w:eastAsia="Arial" w:hAnsi="Arial"/>
          <w:sz w:val="18"/>
          <w:szCs w:val="18"/>
          <w:b w:val="1"/>
          <w:bCs w:val="1"/>
          <w:color w:val="auto"/>
        </w:rPr>
        <w:t>Redemption Notice</w:t>
      </w:r>
      <w:r>
        <w:rPr>
          <w:rFonts w:ascii="Arial" w:cs="Arial" w:eastAsia="Arial" w:hAnsi="Arial"/>
          <w:sz w:val="18"/>
          <w:szCs w:val="18"/>
          <w:color w:val="auto"/>
        </w:rPr>
        <w:t>”) to each holder of record of Preferred Stock not less than 40 days prior to each Redemption Date. Each Redemption Notice shall state:</w:t>
      </w:r>
    </w:p>
    <w:p>
      <w:pPr>
        <w:spacing w:after="0" w:line="166" w:lineRule="exact"/>
        <w:rPr>
          <w:sz w:val="20"/>
          <w:szCs w:val="20"/>
          <w:color w:val="auto"/>
        </w:rPr>
      </w:pPr>
    </w:p>
    <w:p>
      <w:pPr>
        <w:ind w:left="2640" w:hanging="687"/>
        <w:spacing w:after="0"/>
        <w:tabs>
          <w:tab w:leader="none" w:pos="26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number of shares of Preferred Stock held by the holder that the Corporation shall redeem on the Redemption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specified in the Redemption Notice;</w:t>
      </w:r>
    </w:p>
    <w:p>
      <w:pPr>
        <w:spacing w:after="0" w:line="210" w:lineRule="exact"/>
        <w:rPr>
          <w:rFonts w:ascii="Arial" w:cs="Arial" w:eastAsia="Arial" w:hAnsi="Arial"/>
          <w:sz w:val="16"/>
          <w:szCs w:val="16"/>
          <w:color w:val="auto"/>
        </w:rPr>
      </w:pPr>
    </w:p>
    <w:p>
      <w:pPr>
        <w:ind w:left="2660" w:hanging="707"/>
        <w:spacing w:after="0"/>
        <w:tabs>
          <w:tab w:leader="none" w:pos="2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Redemption Date and the Redemption Price;</w:t>
      </w:r>
    </w:p>
    <w:p>
      <w:pPr>
        <w:spacing w:after="0" w:line="225" w:lineRule="exact"/>
        <w:rPr>
          <w:rFonts w:ascii="Arial" w:cs="Arial" w:eastAsia="Arial" w:hAnsi="Arial"/>
          <w:sz w:val="18"/>
          <w:szCs w:val="18"/>
          <w:color w:val="auto"/>
        </w:rPr>
      </w:pPr>
    </w:p>
    <w:p>
      <w:pPr>
        <w:ind w:left="2640" w:hanging="687"/>
        <w:spacing w:after="0"/>
        <w:tabs>
          <w:tab w:leader="none" w:pos="264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date upon which the holder’s right to convert such shares terminates (as determined in accordance with </w:t>
      </w:r>
      <w:r>
        <w:rPr>
          <w:rFonts w:ascii="Arial" w:cs="Arial" w:eastAsia="Arial" w:hAnsi="Arial"/>
          <w:sz w:val="16"/>
          <w:szCs w:val="16"/>
          <w:u w:val="single" w:color="auto"/>
          <w:color w:val="auto"/>
        </w:rPr>
        <w:t>Subsection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4.1</w:t>
      </w:r>
      <w:r>
        <w:rPr>
          <w:rFonts w:ascii="Arial" w:cs="Arial" w:eastAsia="Arial" w:hAnsi="Arial"/>
          <w:sz w:val="18"/>
          <w:szCs w:val="18"/>
          <w:color w:val="auto"/>
        </w:rPr>
        <w:t>); and</w:t>
      </w:r>
    </w:p>
    <w:p>
      <w:pPr>
        <w:spacing w:after="0" w:line="210" w:lineRule="exact"/>
        <w:rPr>
          <w:rFonts w:ascii="Arial" w:cs="Arial" w:eastAsia="Arial" w:hAnsi="Arial"/>
          <w:sz w:val="16"/>
          <w:szCs w:val="16"/>
          <w:color w:val="auto"/>
        </w:rPr>
      </w:pPr>
    </w:p>
    <w:p>
      <w:pPr>
        <w:ind w:right="200" w:firstLine="1953"/>
        <w:spacing w:after="0" w:line="277" w:lineRule="auto"/>
        <w:tabs>
          <w:tab w:leader="none" w:pos="265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that the holder is to surrender to the Corporation, in the manner and at the place designated, his, her or its certificate or certificates representing the shares of Preferred Stock to be redeemed.</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Surrender of Certificates; Payment</w:t>
      </w:r>
      <w:r>
        <w:rPr>
          <w:rFonts w:ascii="Arial" w:cs="Arial" w:eastAsia="Arial" w:hAnsi="Arial"/>
          <w:sz w:val="18"/>
          <w:szCs w:val="18"/>
          <w:color w:val="auto"/>
        </w:rPr>
        <w:t>. On or before the applicable Redemption Date, each holder of shares of Preferred Stock to be redeemed on such Redemption Date, unless such holder has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70" w:lineRule="auto"/>
        <w:tabs>
          <w:tab w:leader="none" w:pos="21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exercised his, her or its right to convert such shares as provided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or (ii) provided written notice of its election not to have its shares of Preferred Stock redeemed (a “</w:t>
      </w:r>
      <w:r>
        <w:rPr>
          <w:rFonts w:ascii="Arial" w:cs="Arial" w:eastAsia="Arial" w:hAnsi="Arial"/>
          <w:sz w:val="17"/>
          <w:szCs w:val="17"/>
          <w:b w:val="1"/>
          <w:bCs w:val="1"/>
          <w:color w:val="auto"/>
        </w:rPr>
        <w:t>Non-Redemption Election</w:t>
      </w:r>
      <w:r>
        <w:rPr>
          <w:rFonts w:ascii="Arial" w:cs="Arial" w:eastAsia="Arial" w:hAnsi="Arial"/>
          <w:sz w:val="17"/>
          <w:szCs w:val="17"/>
          <w:color w:val="auto"/>
        </w:rPr>
        <w:t xml:space="preserve">”),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Redemption Price for such shares shall be payable to the order of the person whose name appears on such certificate or certificates as the owner thereof. In the event less than all of the shares of Preferred Stock represented by a certificate are redeemed, a new certificate representing the unredeemed shares of Preferred Stock shall promptly be issued to such holder. In no event may a holder make a Non-Redemption Election if such holder has made the written notice of redemption as set forth in the first sentence of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above.</w:t>
      </w:r>
    </w:p>
    <w:p>
      <w:pPr>
        <w:spacing w:after="0" w:line="18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Rights Subsequent to Redemption</w:t>
      </w:r>
      <w:r>
        <w:rPr>
          <w:rFonts w:ascii="Arial" w:cs="Arial" w:eastAsia="Arial" w:hAnsi="Arial"/>
          <w:sz w:val="17"/>
          <w:szCs w:val="17"/>
          <w:color w:val="auto"/>
        </w:rPr>
        <w:t>. If the Redemption Notice shall have been duly given, and if on the applicable Redemption Date the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dividends with respect to such shares of Preferred Stock shall cease to accrue after such Redemption Date and all rights with respect to such shares shall forthwith after the Redemption Date terminate, except only the right of the holders to receive the Redemption Price without interest upon surrender of their certificate or certificates therefor. Holders of unredeemed shares of Preferred Stock shall have all the rights previously available to holders of such stock.</w:t>
      </w:r>
    </w:p>
    <w:p>
      <w:pPr>
        <w:spacing w:after="0" w:line="178" w:lineRule="exact"/>
        <w:rPr>
          <w:sz w:val="20"/>
          <w:szCs w:val="20"/>
          <w:color w:val="auto"/>
        </w:rPr>
      </w:pPr>
    </w:p>
    <w:p>
      <w:pPr>
        <w:ind w:right="80" w:firstLine="8"/>
        <w:spacing w:after="0" w:line="286" w:lineRule="auto"/>
        <w:tabs>
          <w:tab w:leader="none" w:pos="72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65" w:lineRule="exact"/>
        <w:rPr>
          <w:rFonts w:ascii="Arial" w:cs="Arial" w:eastAsia="Arial" w:hAnsi="Arial"/>
          <w:sz w:val="17"/>
          <w:szCs w:val="17"/>
          <w:color w:val="auto"/>
        </w:rPr>
      </w:pPr>
    </w:p>
    <w:p>
      <w:pPr>
        <w:ind w:right="160" w:firstLine="8"/>
        <w:spacing w:after="0" w:line="279" w:lineRule="auto"/>
        <w:tabs>
          <w:tab w:leader="none" w:pos="720"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Any of the rights, powers, preferences and other terms of the Preferred Stock set forth herein may be waived on behalf of all holders of Preferred Stock by the affirmative written consent or vote of the holders of at least fifty percent (50%) of the shares of Preferred Stock then outstanding, provided however, that the affirmative written consent or vote of the holders of at least fifty percent (50%) of the shares of Series F Preferred Stock shall be required for any waiver of any provision referenced in Article Fourth Section B.3.3(a)(i) of this Certificate of Incorporation.</w:t>
      </w:r>
    </w:p>
    <w:p>
      <w:pPr>
        <w:spacing w:after="0" w:line="171" w:lineRule="exact"/>
        <w:rPr>
          <w:rFonts w:ascii="Arial" w:cs="Arial" w:eastAsia="Arial" w:hAnsi="Arial"/>
          <w:sz w:val="17"/>
          <w:szCs w:val="17"/>
          <w:color w:val="auto"/>
        </w:rPr>
      </w:pPr>
    </w:p>
    <w:p>
      <w:pPr>
        <w:ind w:firstLine="8"/>
        <w:spacing w:after="0" w:line="264" w:lineRule="auto"/>
        <w:tabs>
          <w:tab w:leader="none" w:pos="720"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77"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Subject to any additional vote required by the Certificate of Incorporation or Bylaws, in furtherance and not in limitation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powers conferred by statute, the Board of Directors of the Corporation is expressly authorized to make, repeal, alter, amend and rescind any or all of the Bylaws of the Corporation.</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ectPr>
          <w:pgSz w:w="11900" w:h="16838" w:orient="portrait"/>
          <w:cols w:equalWidth="0" w:num="1">
            <w:col w:w="11380"/>
          </w:cols>
          <w:pgMar w:left="240" w:top="125" w:right="279" w:bottom="0" w:gutter="0" w:footer="0" w:header="0"/>
        </w:sectPr>
      </w:pPr>
    </w:p>
    <w:bookmarkStart w:id="218" w:name="page219"/>
    <w:bookmarkEnd w:id="218"/>
    <w:p>
      <w:pPr>
        <w:ind w:left="660"/>
        <w:spacing w:after="0"/>
        <w:tabs>
          <w:tab w:leader="none" w:pos="2000" w:val="left"/>
        </w:tabs>
        <w:rPr>
          <w:sz w:val="20"/>
          <w:szCs w:val="20"/>
          <w:color w:val="auto"/>
        </w:rPr>
      </w:pPr>
      <w:r>
        <w:rPr>
          <w:rFonts w:ascii="Arial" w:cs="Arial" w:eastAsia="Arial" w:hAnsi="Arial"/>
          <w:sz w:val="18"/>
          <w:szCs w:val="18"/>
          <w:b w:val="1"/>
          <w:bCs w:val="1"/>
          <w:color w:val="auto"/>
        </w:rPr>
        <w:t>SEVENTH</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Elections of directors need not be by written ballot unless the Bylaws of the Corporation shall so provide.</w:t>
      </w:r>
    </w:p>
    <w:p>
      <w:pPr>
        <w:spacing w:after="0" w:line="225"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Meetings of stockholders may be held within or without the State of Delaware, as the Bylaws of the Corporation may provide.</w:t>
      </w:r>
      <w:r>
        <w:rPr>
          <w:rFonts w:ascii="Arial" w:cs="Arial" w:eastAsia="Arial" w:hAnsi="Arial"/>
          <w:sz w:val="18"/>
          <w:szCs w:val="18"/>
          <w:b w:val="1"/>
          <w:bCs w:val="1"/>
          <w:color w:val="auto"/>
        </w:rPr>
        <w:t xml:space="preserve"> </w:t>
      </w:r>
      <w:r>
        <w:rPr>
          <w:rFonts w:ascii="Arial" w:cs="Arial" w:eastAsia="Arial" w:hAnsi="Arial"/>
          <w:sz w:val="18"/>
          <w:szCs w:val="18"/>
          <w:color w:val="auto"/>
        </w:rPr>
        <w:t>The books of the Corporation may be kept outside the State of Delaware at such place or places as may be designated from time to time by the Board of Directors of the Corporation or in the Bylaws of the Corporation.</w:t>
      </w:r>
    </w:p>
    <w:p>
      <w:pPr>
        <w:spacing w:after="0" w:line="17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b w:val="1"/>
          <w:bCs w:val="1"/>
          <w:color w:val="auto"/>
        </w:rPr>
        <w:t>NINTH</w:t>
      </w:r>
      <w:r>
        <w:rPr>
          <w:rFonts w:ascii="Arial" w:cs="Arial" w:eastAsia="Arial" w:hAnsi="Arial"/>
          <w:sz w:val="17"/>
          <w:szCs w:val="17"/>
          <w:color w:val="auto"/>
        </w:rPr>
        <w:t>: The Corporation renounces any interest or expectancy of the Corporation in, or in being offered an opportunity to participate in,</w:t>
      </w:r>
      <w:r>
        <w:rPr>
          <w:rFonts w:ascii="Arial" w:cs="Arial" w:eastAsia="Arial" w:hAnsi="Arial"/>
          <w:sz w:val="17"/>
          <w:szCs w:val="17"/>
          <w:b w:val="1"/>
          <w:bCs w:val="1"/>
          <w:color w:val="auto"/>
        </w:rPr>
        <w:t xml:space="preserve"> </w:t>
      </w:r>
      <w:r>
        <w:rPr>
          <w:rFonts w:ascii="Arial" w:cs="Arial" w:eastAsia="Arial" w:hAnsi="Arial"/>
          <w:sz w:val="17"/>
          <w:szCs w:val="17"/>
          <w:color w:val="auto"/>
        </w:rPr>
        <w:t>or in being informed about, an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agent or other related person of any such holder, other than someone who is an employee of the Corporation or any of its subsidiaries (collectively,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72" w:lineRule="exact"/>
        <w:rPr>
          <w:sz w:val="20"/>
          <w:szCs w:val="20"/>
          <w:color w:val="auto"/>
        </w:rPr>
      </w:pPr>
    </w:p>
    <w:p>
      <w:pPr>
        <w:ind w:right="60" w:firstLine="648"/>
        <w:spacing w:after="0" w:line="281" w:lineRule="auto"/>
        <w:rPr>
          <w:sz w:val="20"/>
          <w:szCs w:val="20"/>
          <w:color w:val="auto"/>
        </w:rPr>
      </w:pPr>
      <w:r>
        <w:rPr>
          <w:rFonts w:ascii="Arial" w:cs="Arial" w:eastAsia="Arial" w:hAnsi="Arial"/>
          <w:sz w:val="17"/>
          <w:szCs w:val="17"/>
          <w:b w:val="1"/>
          <w:bCs w:val="1"/>
          <w:color w:val="auto"/>
        </w:rPr>
        <w:t>TENTH</w:t>
      </w:r>
      <w:r>
        <w:rPr>
          <w:rFonts w:ascii="Arial" w:cs="Arial" w:eastAsia="Arial" w:hAnsi="Arial"/>
          <w:sz w:val="17"/>
          <w:szCs w:val="17"/>
          <w:color w:val="auto"/>
        </w:rPr>
        <w:t>: To the fullest extent permitted by law, a director of the Corporation shall not be personally liable to the Corporation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for monetary damages for breach of fiduciary duty as a director. If the General Corporation Law or any other law of the State of Delaware is amended after approval by the stockholders of this Article Tenth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6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Any repeal or modification of the foregoing provisions of this Article Tenth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280" w:firstLine="648"/>
        <w:spacing w:after="0" w:line="281" w:lineRule="auto"/>
        <w:rPr>
          <w:sz w:val="20"/>
          <w:szCs w:val="20"/>
          <w:color w:val="auto"/>
        </w:rPr>
      </w:pPr>
      <w:r>
        <w:rPr>
          <w:rFonts w:ascii="Arial" w:cs="Arial" w:eastAsia="Arial" w:hAnsi="Arial"/>
          <w:sz w:val="17"/>
          <w:szCs w:val="17"/>
          <w:b w:val="1"/>
          <w:bCs w:val="1"/>
          <w:color w:val="auto"/>
        </w:rPr>
        <w:t>ELEVENTH</w:t>
      </w:r>
      <w:r>
        <w:rPr>
          <w:rFonts w:ascii="Arial" w:cs="Arial" w:eastAsia="Arial" w:hAnsi="Arial"/>
          <w:sz w:val="17"/>
          <w:szCs w:val="17"/>
          <w:color w:val="auto"/>
        </w:rPr>
        <w:t>: To the fullest extent permitted by applicable law, the Corporation is authorized to provide indemnification of (and advancement of</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6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Eleventh shall not adversely affect any right or protection of any director, officer or other agent of the Corporation existing at the time of such amendment, repeal or modification.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ind w:right="600" w:firstLine="656"/>
        <w:spacing w:after="0" w:line="277" w:lineRule="auto"/>
        <w:tabs>
          <w:tab w:leader="none" w:pos="13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64" w:lineRule="auto"/>
        <w:tabs>
          <w:tab w:leader="none" w:pos="136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That this Tenth Amended and Restated Certificate of Incorporation, which restates and integrates and further amends the provisions of this corporation’s Ninth Amended and Restated Certificate of Incorporation, has been duly adopted in accordance with Sections 242 and 245 of the General Corporation Law.</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Tenth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31st day of January,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Dev Ittycheria</w:t>
            </w:r>
          </w:p>
        </w:tc>
        <w:tc>
          <w:tcPr>
            <w:tcW w:w="40" w:type="dxa"/>
            <w:vAlign w:val="bottom"/>
          </w:tcPr>
          <w:p>
            <w:pPr>
              <w:spacing w:after="0"/>
              <w:rPr>
                <w:sz w:val="20"/>
                <w:szCs w:val="20"/>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Dev Ittycheria</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6480" w:type="dxa"/>
            <w:vAlign w:val="bottom"/>
          </w:tcPr>
          <w:p>
            <w:pPr>
              <w:jc w:val="right"/>
              <w:ind w:right="590"/>
              <w:spacing w:after="0"/>
              <w:rPr>
                <w:sz w:val="20"/>
                <w:szCs w:val="20"/>
                <w:color w:val="auto"/>
              </w:rPr>
            </w:pPr>
            <w:r>
              <w:rPr>
                <w:rFonts w:ascii="Arial" w:cs="Arial" w:eastAsia="Arial" w:hAnsi="Arial"/>
                <w:sz w:val="18"/>
                <w:szCs w:val="18"/>
                <w:color w:val="auto"/>
              </w:rPr>
              <w:t>28</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19" w:name="page220"/>
    <w:bookmarkEnd w:id="219"/>
    <w:p>
      <w:pPr>
        <w:ind w:left="10580"/>
        <w:spacing w:after="0"/>
        <w:rPr>
          <w:sz w:val="20"/>
          <w:szCs w:val="20"/>
          <w:color w:val="auto"/>
        </w:rPr>
      </w:pPr>
      <w:r>
        <w:rPr>
          <w:rFonts w:ascii="Arial" w:cs="Arial" w:eastAsia="Arial" w:hAnsi="Arial"/>
          <w:sz w:val="17"/>
          <w:szCs w:val="17"/>
          <w:b w:val="1"/>
          <w:bCs w:val="1"/>
          <w:color w:val="auto"/>
        </w:rPr>
        <w:t>Exhibit 3.3</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AMENDED AND RESTATED BYLAWS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9420" w:type="dxa"/>
            <w:vAlign w:val="bottom"/>
          </w:tcPr>
          <w:p>
            <w:pPr>
              <w:ind w:left="38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2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20" w:type="dxa"/>
            <w:vAlign w:val="bottom"/>
          </w:tcPr>
          <w:p>
            <w:pPr>
              <w:spacing w:after="0"/>
              <w:rPr>
                <w:sz w:val="20"/>
                <w:szCs w:val="20"/>
                <w:color w:val="auto"/>
              </w:rPr>
            </w:pPr>
            <w:r>
              <w:rPr>
                <w:rFonts w:ascii="Arial" w:cs="Arial" w:eastAsia="Arial" w:hAnsi="Arial"/>
                <w:sz w:val="18"/>
                <w:szCs w:val="18"/>
                <w:color w:val="auto"/>
              </w:rPr>
              <w:t>ARTICLE I</w:t>
            </w:r>
          </w:p>
        </w:tc>
        <w:tc>
          <w:tcPr>
            <w:tcW w:w="9420" w:type="dxa"/>
            <w:vAlign w:val="bottom"/>
          </w:tcPr>
          <w:p>
            <w:pPr>
              <w:ind w:left="240"/>
              <w:spacing w:after="0"/>
              <w:rPr>
                <w:sz w:val="20"/>
                <w:szCs w:val="20"/>
                <w:color w:val="auto"/>
              </w:rPr>
            </w:pPr>
            <w:r>
              <w:rPr>
                <w:rFonts w:ascii="Arial" w:cs="Arial" w:eastAsia="Arial" w:hAnsi="Arial"/>
                <w:sz w:val="18"/>
                <w:szCs w:val="18"/>
                <w:color w:val="auto"/>
              </w:rPr>
              <w:t>CORPORATE OFFICES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1.1</w:t>
            </w:r>
          </w:p>
        </w:tc>
        <w:tc>
          <w:tcPr>
            <w:tcW w:w="9420" w:type="dxa"/>
            <w:vAlign w:val="bottom"/>
          </w:tcPr>
          <w:p>
            <w:pPr>
              <w:ind w:left="240"/>
              <w:spacing w:after="0"/>
              <w:rPr>
                <w:sz w:val="20"/>
                <w:szCs w:val="20"/>
                <w:color w:val="auto"/>
              </w:rPr>
            </w:pPr>
            <w:r>
              <w:rPr>
                <w:rFonts w:ascii="Arial" w:cs="Arial" w:eastAsia="Arial" w:hAnsi="Arial"/>
                <w:sz w:val="18"/>
                <w:szCs w:val="18"/>
                <w:color w:val="auto"/>
              </w:rPr>
              <w:t>REGISTERED OFFICE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1.2</w:t>
            </w:r>
          </w:p>
        </w:tc>
        <w:tc>
          <w:tcPr>
            <w:tcW w:w="9420" w:type="dxa"/>
            <w:vAlign w:val="bottom"/>
          </w:tcPr>
          <w:p>
            <w:pPr>
              <w:ind w:left="240"/>
              <w:spacing w:after="0"/>
              <w:rPr>
                <w:sz w:val="20"/>
                <w:szCs w:val="20"/>
                <w:color w:val="auto"/>
              </w:rPr>
            </w:pPr>
            <w:r>
              <w:rPr>
                <w:rFonts w:ascii="Arial" w:cs="Arial" w:eastAsia="Arial" w:hAnsi="Arial"/>
                <w:sz w:val="18"/>
                <w:szCs w:val="18"/>
                <w:color w:val="auto"/>
              </w:rPr>
              <w:t>OTHER OFFICES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w:t>
            </w:r>
          </w:p>
        </w:tc>
        <w:tc>
          <w:tcPr>
            <w:tcW w:w="9420" w:type="dxa"/>
            <w:vAlign w:val="bottom"/>
          </w:tcPr>
          <w:p>
            <w:pPr>
              <w:ind w:left="240"/>
              <w:spacing w:after="0"/>
              <w:rPr>
                <w:sz w:val="20"/>
                <w:szCs w:val="20"/>
                <w:color w:val="auto"/>
              </w:rPr>
            </w:pPr>
            <w:r>
              <w:rPr>
                <w:rFonts w:ascii="Arial" w:cs="Arial" w:eastAsia="Arial" w:hAnsi="Arial"/>
                <w:sz w:val="18"/>
                <w:szCs w:val="18"/>
                <w:color w:val="auto"/>
              </w:rPr>
              <w:t>MEETINGS OF STOCKHOLDERS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2.1</w:t>
            </w:r>
          </w:p>
        </w:tc>
        <w:tc>
          <w:tcPr>
            <w:tcW w:w="9420" w:type="dxa"/>
            <w:vAlign w:val="bottom"/>
          </w:tcPr>
          <w:p>
            <w:pPr>
              <w:ind w:left="240"/>
              <w:spacing w:after="0"/>
              <w:rPr>
                <w:sz w:val="20"/>
                <w:szCs w:val="20"/>
                <w:color w:val="auto"/>
              </w:rPr>
            </w:pPr>
            <w:r>
              <w:rPr>
                <w:rFonts w:ascii="Arial" w:cs="Arial" w:eastAsia="Arial" w:hAnsi="Arial"/>
                <w:sz w:val="18"/>
                <w:szCs w:val="18"/>
                <w:color w:val="auto"/>
              </w:rPr>
              <w:t>PLACE OF MEETINGS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2.2</w:t>
            </w:r>
          </w:p>
        </w:tc>
        <w:tc>
          <w:tcPr>
            <w:tcW w:w="9420" w:type="dxa"/>
            <w:vAlign w:val="bottom"/>
          </w:tcPr>
          <w:p>
            <w:pPr>
              <w:ind w:left="240"/>
              <w:spacing w:after="0"/>
              <w:rPr>
                <w:sz w:val="20"/>
                <w:szCs w:val="20"/>
                <w:color w:val="auto"/>
              </w:rPr>
            </w:pPr>
            <w:r>
              <w:rPr>
                <w:rFonts w:ascii="Arial" w:cs="Arial" w:eastAsia="Arial" w:hAnsi="Arial"/>
                <w:sz w:val="18"/>
                <w:szCs w:val="18"/>
                <w:color w:val="auto"/>
              </w:rPr>
              <w:t>ANNUAL MEETING</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2.3</w:t>
            </w:r>
          </w:p>
        </w:tc>
        <w:tc>
          <w:tcPr>
            <w:tcW w:w="9420" w:type="dxa"/>
            <w:vAlign w:val="bottom"/>
          </w:tcPr>
          <w:p>
            <w:pPr>
              <w:ind w:left="240"/>
              <w:spacing w:after="0"/>
              <w:rPr>
                <w:sz w:val="20"/>
                <w:szCs w:val="20"/>
                <w:color w:val="auto"/>
              </w:rPr>
            </w:pPr>
            <w:r>
              <w:rPr>
                <w:rFonts w:ascii="Arial" w:cs="Arial" w:eastAsia="Arial" w:hAnsi="Arial"/>
                <w:sz w:val="18"/>
                <w:szCs w:val="18"/>
                <w:color w:val="auto"/>
              </w:rPr>
              <w:t>SPECIAL MEETING</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2.4</w:t>
            </w:r>
          </w:p>
        </w:tc>
        <w:tc>
          <w:tcPr>
            <w:tcW w:w="9420" w:type="dxa"/>
            <w:vAlign w:val="bottom"/>
          </w:tcPr>
          <w:p>
            <w:pPr>
              <w:ind w:left="240"/>
              <w:spacing w:after="0"/>
              <w:rPr>
                <w:sz w:val="20"/>
                <w:szCs w:val="20"/>
                <w:color w:val="auto"/>
              </w:rPr>
            </w:pPr>
            <w:r>
              <w:rPr>
                <w:rFonts w:ascii="Arial" w:cs="Arial" w:eastAsia="Arial" w:hAnsi="Arial"/>
                <w:sz w:val="18"/>
                <w:szCs w:val="18"/>
                <w:color w:val="auto"/>
              </w:rPr>
              <w:t>NOTICE OF STOCKHOLDERS’ MEETINGS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2.5</w:t>
            </w:r>
          </w:p>
        </w:tc>
        <w:tc>
          <w:tcPr>
            <w:tcW w:w="9420" w:type="dxa"/>
            <w:vAlign w:val="bottom"/>
          </w:tcPr>
          <w:p>
            <w:pPr>
              <w:ind w:left="240"/>
              <w:spacing w:after="0"/>
              <w:rPr>
                <w:sz w:val="20"/>
                <w:szCs w:val="20"/>
                <w:color w:val="auto"/>
              </w:rPr>
            </w:pPr>
            <w:r>
              <w:rPr>
                <w:rFonts w:ascii="Arial" w:cs="Arial" w:eastAsia="Arial" w:hAnsi="Arial"/>
                <w:sz w:val="18"/>
                <w:szCs w:val="18"/>
                <w:color w:val="auto"/>
              </w:rPr>
              <w:t>MANNER OF GIVING NOTICE; AFFIDAVIT OF NOTICE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2.6</w:t>
            </w:r>
          </w:p>
        </w:tc>
        <w:tc>
          <w:tcPr>
            <w:tcW w:w="9420" w:type="dxa"/>
            <w:vAlign w:val="bottom"/>
          </w:tcPr>
          <w:p>
            <w:pPr>
              <w:ind w:left="240"/>
              <w:spacing w:after="0"/>
              <w:rPr>
                <w:sz w:val="20"/>
                <w:szCs w:val="20"/>
                <w:color w:val="auto"/>
              </w:rPr>
            </w:pPr>
            <w:r>
              <w:rPr>
                <w:rFonts w:ascii="Arial" w:cs="Arial" w:eastAsia="Arial" w:hAnsi="Arial"/>
                <w:sz w:val="18"/>
                <w:szCs w:val="18"/>
                <w:color w:val="auto"/>
              </w:rPr>
              <w:t>QUORUM</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2.7</w:t>
            </w:r>
          </w:p>
        </w:tc>
        <w:tc>
          <w:tcPr>
            <w:tcW w:w="9420" w:type="dxa"/>
            <w:vAlign w:val="bottom"/>
          </w:tcPr>
          <w:p>
            <w:pPr>
              <w:ind w:left="240"/>
              <w:spacing w:after="0"/>
              <w:rPr>
                <w:sz w:val="20"/>
                <w:szCs w:val="20"/>
                <w:color w:val="auto"/>
              </w:rPr>
            </w:pPr>
            <w:r>
              <w:rPr>
                <w:rFonts w:ascii="Arial" w:cs="Arial" w:eastAsia="Arial" w:hAnsi="Arial"/>
                <w:sz w:val="18"/>
                <w:szCs w:val="18"/>
                <w:color w:val="auto"/>
              </w:rPr>
              <w:t>ADJOURNED MEETING; NOTICE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2.8</w:t>
            </w:r>
          </w:p>
        </w:tc>
        <w:tc>
          <w:tcPr>
            <w:tcW w:w="9420" w:type="dxa"/>
            <w:vAlign w:val="bottom"/>
          </w:tcPr>
          <w:p>
            <w:pPr>
              <w:ind w:left="240"/>
              <w:spacing w:after="0"/>
              <w:rPr>
                <w:sz w:val="20"/>
                <w:szCs w:val="20"/>
                <w:color w:val="auto"/>
              </w:rPr>
            </w:pPr>
            <w:r>
              <w:rPr>
                <w:rFonts w:ascii="Arial" w:cs="Arial" w:eastAsia="Arial" w:hAnsi="Arial"/>
                <w:sz w:val="18"/>
                <w:szCs w:val="18"/>
                <w:color w:val="auto"/>
              </w:rPr>
              <w:t>CONDUCT OF BUSINESS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2.9</w:t>
            </w:r>
          </w:p>
        </w:tc>
        <w:tc>
          <w:tcPr>
            <w:tcW w:w="9420" w:type="dxa"/>
            <w:vAlign w:val="bottom"/>
          </w:tcPr>
          <w:p>
            <w:pPr>
              <w:ind w:left="240"/>
              <w:spacing w:after="0"/>
              <w:rPr>
                <w:sz w:val="20"/>
                <w:szCs w:val="20"/>
                <w:color w:val="auto"/>
              </w:rPr>
            </w:pPr>
            <w:r>
              <w:rPr>
                <w:rFonts w:ascii="Arial" w:cs="Arial" w:eastAsia="Arial" w:hAnsi="Arial"/>
                <w:sz w:val="18"/>
                <w:szCs w:val="18"/>
                <w:color w:val="auto"/>
              </w:rPr>
              <w:t>VOTING</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2.10</w:t>
            </w:r>
          </w:p>
        </w:tc>
        <w:tc>
          <w:tcPr>
            <w:tcW w:w="9420" w:type="dxa"/>
            <w:vAlign w:val="bottom"/>
          </w:tcPr>
          <w:p>
            <w:pPr>
              <w:ind w:left="240"/>
              <w:spacing w:after="0"/>
              <w:rPr>
                <w:sz w:val="20"/>
                <w:szCs w:val="20"/>
                <w:color w:val="auto"/>
              </w:rPr>
            </w:pPr>
            <w:r>
              <w:rPr>
                <w:rFonts w:ascii="Arial" w:cs="Arial" w:eastAsia="Arial" w:hAnsi="Arial"/>
                <w:sz w:val="18"/>
                <w:szCs w:val="18"/>
                <w:color w:val="auto"/>
              </w:rPr>
              <w:t>STOCKHOLDER ACTION BY WRITTEN CONSENT WITHOUT A MEETING</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2.11</w:t>
            </w:r>
          </w:p>
        </w:tc>
        <w:tc>
          <w:tcPr>
            <w:tcW w:w="9420" w:type="dxa"/>
            <w:vAlign w:val="bottom"/>
          </w:tcPr>
          <w:p>
            <w:pPr>
              <w:ind w:left="240"/>
              <w:spacing w:after="0"/>
              <w:rPr>
                <w:sz w:val="20"/>
                <w:szCs w:val="20"/>
                <w:color w:val="auto"/>
              </w:rPr>
            </w:pPr>
            <w:r>
              <w:rPr>
                <w:rFonts w:ascii="Arial" w:cs="Arial" w:eastAsia="Arial" w:hAnsi="Arial"/>
                <w:sz w:val="18"/>
                <w:szCs w:val="18"/>
                <w:color w:val="auto"/>
              </w:rPr>
              <w:t>RECORD DATE FOR STOCKHOLDER NOTICE; VOTING; GIVING CONSENTS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2.12</w:t>
            </w:r>
          </w:p>
        </w:tc>
        <w:tc>
          <w:tcPr>
            <w:tcW w:w="9420" w:type="dxa"/>
            <w:vAlign w:val="bottom"/>
          </w:tcPr>
          <w:p>
            <w:pPr>
              <w:ind w:left="240"/>
              <w:spacing w:after="0"/>
              <w:rPr>
                <w:sz w:val="20"/>
                <w:szCs w:val="20"/>
                <w:color w:val="auto"/>
              </w:rPr>
            </w:pPr>
            <w:r>
              <w:rPr>
                <w:rFonts w:ascii="Arial" w:cs="Arial" w:eastAsia="Arial" w:hAnsi="Arial"/>
                <w:sz w:val="18"/>
                <w:szCs w:val="18"/>
                <w:color w:val="auto"/>
              </w:rPr>
              <w:t>PROXIES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2.13</w:t>
            </w:r>
          </w:p>
        </w:tc>
        <w:tc>
          <w:tcPr>
            <w:tcW w:w="9420" w:type="dxa"/>
            <w:vAlign w:val="bottom"/>
          </w:tcPr>
          <w:p>
            <w:pPr>
              <w:ind w:left="240"/>
              <w:spacing w:after="0"/>
              <w:rPr>
                <w:sz w:val="20"/>
                <w:szCs w:val="20"/>
                <w:color w:val="auto"/>
              </w:rPr>
            </w:pPr>
            <w:r>
              <w:rPr>
                <w:rFonts w:ascii="Arial" w:cs="Arial" w:eastAsia="Arial" w:hAnsi="Arial"/>
                <w:sz w:val="18"/>
                <w:szCs w:val="18"/>
                <w:color w:val="auto"/>
              </w:rPr>
              <w:t>LIST OF STOCKHOLDERS ENTITLED TO VOTE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ARTICLE III</w:t>
            </w:r>
          </w:p>
        </w:tc>
        <w:tc>
          <w:tcPr>
            <w:tcW w:w="9420" w:type="dxa"/>
            <w:vAlign w:val="bottom"/>
          </w:tcPr>
          <w:p>
            <w:pPr>
              <w:ind w:left="240"/>
              <w:spacing w:after="0"/>
              <w:rPr>
                <w:sz w:val="20"/>
                <w:szCs w:val="20"/>
                <w:color w:val="auto"/>
              </w:rPr>
            </w:pPr>
            <w:r>
              <w:rPr>
                <w:rFonts w:ascii="Arial" w:cs="Arial" w:eastAsia="Arial" w:hAnsi="Arial"/>
                <w:sz w:val="18"/>
                <w:szCs w:val="18"/>
                <w:color w:val="auto"/>
              </w:rPr>
              <w:t>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3.1</w:t>
            </w:r>
          </w:p>
        </w:tc>
        <w:tc>
          <w:tcPr>
            <w:tcW w:w="9420" w:type="dxa"/>
            <w:vAlign w:val="bottom"/>
          </w:tcPr>
          <w:p>
            <w:pPr>
              <w:ind w:left="240"/>
              <w:spacing w:after="0"/>
              <w:rPr>
                <w:sz w:val="20"/>
                <w:szCs w:val="20"/>
                <w:color w:val="auto"/>
              </w:rPr>
            </w:pPr>
            <w:r>
              <w:rPr>
                <w:rFonts w:ascii="Arial" w:cs="Arial" w:eastAsia="Arial" w:hAnsi="Arial"/>
                <w:sz w:val="18"/>
                <w:szCs w:val="18"/>
                <w:color w:val="auto"/>
              </w:rPr>
              <w:t>POWERS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3.2</w:t>
            </w:r>
          </w:p>
        </w:tc>
        <w:tc>
          <w:tcPr>
            <w:tcW w:w="9420" w:type="dxa"/>
            <w:vAlign w:val="bottom"/>
          </w:tcPr>
          <w:p>
            <w:pPr>
              <w:ind w:left="240"/>
              <w:spacing w:after="0"/>
              <w:rPr>
                <w:sz w:val="20"/>
                <w:szCs w:val="20"/>
                <w:color w:val="auto"/>
              </w:rPr>
            </w:pPr>
            <w:r>
              <w:rPr>
                <w:rFonts w:ascii="Arial" w:cs="Arial" w:eastAsia="Arial" w:hAnsi="Arial"/>
                <w:sz w:val="18"/>
                <w:szCs w:val="18"/>
                <w:color w:val="auto"/>
              </w:rPr>
              <w:t>NUMBER OF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3.3</w:t>
            </w:r>
          </w:p>
        </w:tc>
        <w:tc>
          <w:tcPr>
            <w:tcW w:w="9420" w:type="dxa"/>
            <w:vAlign w:val="bottom"/>
          </w:tcPr>
          <w:p>
            <w:pPr>
              <w:ind w:left="240"/>
              <w:spacing w:after="0"/>
              <w:rPr>
                <w:sz w:val="20"/>
                <w:szCs w:val="20"/>
                <w:color w:val="auto"/>
              </w:rPr>
            </w:pPr>
            <w:r>
              <w:rPr>
                <w:rFonts w:ascii="Arial" w:cs="Arial" w:eastAsia="Arial" w:hAnsi="Arial"/>
                <w:sz w:val="18"/>
                <w:szCs w:val="18"/>
                <w:color w:val="auto"/>
              </w:rPr>
              <w:t>ELECTION, QUALIFICATION AND TERM OF OFFICE OF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3.4</w:t>
            </w:r>
          </w:p>
        </w:tc>
        <w:tc>
          <w:tcPr>
            <w:tcW w:w="9420" w:type="dxa"/>
            <w:vAlign w:val="bottom"/>
          </w:tcPr>
          <w:p>
            <w:pPr>
              <w:ind w:left="240"/>
              <w:spacing w:after="0"/>
              <w:rPr>
                <w:sz w:val="20"/>
                <w:szCs w:val="20"/>
                <w:color w:val="auto"/>
              </w:rPr>
            </w:pPr>
            <w:r>
              <w:rPr>
                <w:rFonts w:ascii="Arial" w:cs="Arial" w:eastAsia="Arial" w:hAnsi="Arial"/>
                <w:sz w:val="18"/>
                <w:szCs w:val="18"/>
                <w:color w:val="auto"/>
              </w:rPr>
              <w:t>RESIGNATION AND VACANCIES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3.5</w:t>
            </w:r>
          </w:p>
        </w:tc>
        <w:tc>
          <w:tcPr>
            <w:tcW w:w="9420" w:type="dxa"/>
            <w:vAlign w:val="bottom"/>
          </w:tcPr>
          <w:p>
            <w:pPr>
              <w:ind w:left="240"/>
              <w:spacing w:after="0"/>
              <w:rPr>
                <w:sz w:val="20"/>
                <w:szCs w:val="20"/>
                <w:color w:val="auto"/>
              </w:rPr>
            </w:pPr>
            <w:r>
              <w:rPr>
                <w:rFonts w:ascii="Arial" w:cs="Arial" w:eastAsia="Arial" w:hAnsi="Arial"/>
                <w:sz w:val="18"/>
                <w:szCs w:val="18"/>
                <w:color w:val="auto"/>
              </w:rPr>
              <w:t>PLACE OF MEETINGS; MEETINGS BY TELEPHONE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3.6</w:t>
            </w:r>
          </w:p>
        </w:tc>
        <w:tc>
          <w:tcPr>
            <w:tcW w:w="9420" w:type="dxa"/>
            <w:vAlign w:val="bottom"/>
          </w:tcPr>
          <w:p>
            <w:pPr>
              <w:ind w:left="240"/>
              <w:spacing w:after="0"/>
              <w:rPr>
                <w:sz w:val="20"/>
                <w:szCs w:val="20"/>
                <w:color w:val="auto"/>
              </w:rPr>
            </w:pPr>
            <w:r>
              <w:rPr>
                <w:rFonts w:ascii="Arial" w:cs="Arial" w:eastAsia="Arial" w:hAnsi="Arial"/>
                <w:sz w:val="18"/>
                <w:szCs w:val="18"/>
                <w:color w:val="auto"/>
              </w:rPr>
              <w:t>REGULAR MEETINGS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3.7</w:t>
            </w:r>
          </w:p>
        </w:tc>
        <w:tc>
          <w:tcPr>
            <w:tcW w:w="9420" w:type="dxa"/>
            <w:vAlign w:val="bottom"/>
          </w:tcPr>
          <w:p>
            <w:pPr>
              <w:ind w:left="240"/>
              <w:spacing w:after="0"/>
              <w:rPr>
                <w:sz w:val="20"/>
                <w:szCs w:val="20"/>
                <w:color w:val="auto"/>
              </w:rPr>
            </w:pPr>
            <w:r>
              <w:rPr>
                <w:rFonts w:ascii="Arial" w:cs="Arial" w:eastAsia="Arial" w:hAnsi="Arial"/>
                <w:sz w:val="18"/>
                <w:szCs w:val="18"/>
                <w:color w:val="auto"/>
              </w:rPr>
              <w:t>SPECIAL MEETINGS; NOTICE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3.8</w:t>
            </w:r>
          </w:p>
        </w:tc>
        <w:tc>
          <w:tcPr>
            <w:tcW w:w="9420" w:type="dxa"/>
            <w:vAlign w:val="bottom"/>
          </w:tcPr>
          <w:p>
            <w:pPr>
              <w:ind w:left="240"/>
              <w:spacing w:after="0"/>
              <w:rPr>
                <w:sz w:val="20"/>
                <w:szCs w:val="20"/>
                <w:color w:val="auto"/>
              </w:rPr>
            </w:pPr>
            <w:r>
              <w:rPr>
                <w:rFonts w:ascii="Arial" w:cs="Arial" w:eastAsia="Arial" w:hAnsi="Arial"/>
                <w:sz w:val="18"/>
                <w:szCs w:val="18"/>
                <w:color w:val="auto"/>
              </w:rPr>
              <w:t>QUORUM</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3.9</w:t>
            </w:r>
          </w:p>
        </w:tc>
        <w:tc>
          <w:tcPr>
            <w:tcW w:w="9420" w:type="dxa"/>
            <w:vAlign w:val="bottom"/>
          </w:tcPr>
          <w:p>
            <w:pPr>
              <w:ind w:left="240"/>
              <w:spacing w:after="0"/>
              <w:rPr>
                <w:sz w:val="20"/>
                <w:szCs w:val="20"/>
                <w:color w:val="auto"/>
              </w:rPr>
            </w:pPr>
            <w:r>
              <w:rPr>
                <w:rFonts w:ascii="Arial" w:cs="Arial" w:eastAsia="Arial" w:hAnsi="Arial"/>
                <w:sz w:val="18"/>
                <w:szCs w:val="18"/>
                <w:color w:val="auto"/>
              </w:rPr>
              <w:t>BOARD ACTION BY WRITTEN CONSENT WITHOUT A MEETING</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3.10</w:t>
            </w:r>
          </w:p>
        </w:tc>
        <w:tc>
          <w:tcPr>
            <w:tcW w:w="9420" w:type="dxa"/>
            <w:vAlign w:val="bottom"/>
          </w:tcPr>
          <w:p>
            <w:pPr>
              <w:ind w:left="240"/>
              <w:spacing w:after="0"/>
              <w:rPr>
                <w:sz w:val="20"/>
                <w:szCs w:val="20"/>
                <w:color w:val="auto"/>
              </w:rPr>
            </w:pPr>
            <w:r>
              <w:rPr>
                <w:rFonts w:ascii="Arial" w:cs="Arial" w:eastAsia="Arial" w:hAnsi="Arial"/>
                <w:sz w:val="18"/>
                <w:szCs w:val="18"/>
                <w:color w:val="auto"/>
              </w:rPr>
              <w:t>FEES AND COMPENSATION OF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3.11</w:t>
            </w:r>
          </w:p>
        </w:tc>
        <w:tc>
          <w:tcPr>
            <w:tcW w:w="9420" w:type="dxa"/>
            <w:vAlign w:val="bottom"/>
          </w:tcPr>
          <w:p>
            <w:pPr>
              <w:ind w:left="240"/>
              <w:spacing w:after="0"/>
              <w:rPr>
                <w:sz w:val="20"/>
                <w:szCs w:val="20"/>
                <w:color w:val="auto"/>
              </w:rPr>
            </w:pPr>
            <w:r>
              <w:rPr>
                <w:rFonts w:ascii="Arial" w:cs="Arial" w:eastAsia="Arial" w:hAnsi="Arial"/>
                <w:sz w:val="18"/>
                <w:szCs w:val="18"/>
                <w:color w:val="auto"/>
              </w:rPr>
              <w:t>APPROVAL OF LOANS TO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432"/>
        </w:trPr>
        <w:tc>
          <w:tcPr>
            <w:tcW w:w="1220" w:type="dxa"/>
            <w:vAlign w:val="bottom"/>
          </w:tcPr>
          <w:p>
            <w:pPr>
              <w:ind w:left="660"/>
              <w:spacing w:after="0"/>
              <w:rPr>
                <w:sz w:val="20"/>
                <w:szCs w:val="20"/>
                <w:color w:val="auto"/>
              </w:rPr>
            </w:pPr>
            <w:r>
              <w:rPr>
                <w:rFonts w:ascii="Arial" w:cs="Arial" w:eastAsia="Arial" w:hAnsi="Arial"/>
                <w:sz w:val="18"/>
                <w:szCs w:val="18"/>
                <w:color w:val="auto"/>
              </w:rPr>
              <w:t>3.12</w:t>
            </w:r>
          </w:p>
        </w:tc>
        <w:tc>
          <w:tcPr>
            <w:tcW w:w="9420" w:type="dxa"/>
            <w:vAlign w:val="bottom"/>
          </w:tcPr>
          <w:p>
            <w:pPr>
              <w:ind w:left="240"/>
              <w:spacing w:after="0"/>
              <w:rPr>
                <w:sz w:val="20"/>
                <w:szCs w:val="20"/>
                <w:color w:val="auto"/>
              </w:rPr>
            </w:pPr>
            <w:r>
              <w:rPr>
                <w:rFonts w:ascii="Arial" w:cs="Arial" w:eastAsia="Arial" w:hAnsi="Arial"/>
                <w:sz w:val="18"/>
                <w:szCs w:val="18"/>
                <w:color w:val="auto"/>
              </w:rPr>
              <w:t>REMOVAL OF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220" w:type="dxa"/>
            <w:vAlign w:val="bottom"/>
          </w:tcPr>
          <w:p>
            <w:pPr>
              <w:spacing w:after="0"/>
              <w:rPr>
                <w:sz w:val="24"/>
                <w:szCs w:val="24"/>
                <w:color w:val="auto"/>
              </w:rPr>
            </w:pPr>
          </w:p>
        </w:tc>
        <w:tc>
          <w:tcPr>
            <w:tcW w:w="9420" w:type="dxa"/>
            <w:vAlign w:val="bottom"/>
          </w:tcPr>
          <w:p>
            <w:pPr>
              <w:ind w:left="4460"/>
              <w:spacing w:after="0"/>
              <w:rPr>
                <w:sz w:val="20"/>
                <w:szCs w:val="20"/>
                <w:color w:val="auto"/>
              </w:rPr>
            </w:pPr>
            <w:r>
              <w:rPr>
                <w:rFonts w:ascii="Arial" w:cs="Arial" w:eastAsia="Arial" w:hAnsi="Arial"/>
                <w:sz w:val="18"/>
                <w:szCs w:val="18"/>
                <w:color w:val="auto"/>
              </w:rPr>
              <w:t>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4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220"/>
        </w:trPr>
        <w:tc>
          <w:tcPr>
            <w:tcW w:w="1260" w:type="dxa"/>
            <w:vAlign w:val="bottom"/>
          </w:tcPr>
          <w:p>
            <w:pPr>
              <w:spacing w:after="0"/>
              <w:rPr>
                <w:sz w:val="19"/>
                <w:szCs w:val="19"/>
                <w:color w:val="auto"/>
              </w:rPr>
            </w:pPr>
          </w:p>
        </w:tc>
        <w:tc>
          <w:tcPr>
            <w:tcW w:w="938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Table of Contents</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260" w:type="dxa"/>
            <w:vAlign w:val="bottom"/>
          </w:tcPr>
          <w:p>
            <w:pPr>
              <w:spacing w:after="0"/>
              <w:rPr>
                <w:sz w:val="20"/>
                <w:szCs w:val="20"/>
                <w:color w:val="auto"/>
              </w:rPr>
            </w:pPr>
          </w:p>
        </w:tc>
        <w:tc>
          <w:tcPr>
            <w:tcW w:w="9380" w:type="dxa"/>
            <w:vAlign w:val="bottom"/>
          </w:tcPr>
          <w:p>
            <w:pPr>
              <w:jc w:val="center"/>
              <w:ind w:right="390"/>
              <w:spacing w:after="0"/>
              <w:rPr>
                <w:sz w:val="20"/>
                <w:szCs w:val="20"/>
                <w:color w:val="auto"/>
              </w:rPr>
            </w:pPr>
            <w:r>
              <w:rPr>
                <w:rFonts w:ascii="Arial" w:cs="Arial" w:eastAsia="Arial" w:hAnsi="Arial"/>
                <w:sz w:val="18"/>
                <w:szCs w:val="18"/>
                <w:color w:val="auto"/>
                <w:w w:val="91"/>
              </w:rPr>
              <w:t>(continued)</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60" w:type="dxa"/>
            <w:vAlign w:val="bottom"/>
          </w:tcPr>
          <w:p>
            <w:pPr>
              <w:spacing w:after="0"/>
              <w:rPr>
                <w:sz w:val="20"/>
                <w:szCs w:val="20"/>
                <w:color w:val="auto"/>
              </w:rPr>
            </w:pPr>
            <w:r>
              <w:rPr>
                <w:rFonts w:ascii="Arial" w:cs="Arial" w:eastAsia="Arial" w:hAnsi="Arial"/>
                <w:sz w:val="18"/>
                <w:szCs w:val="18"/>
                <w:color w:val="auto"/>
              </w:rPr>
              <w:t>ARTICLE IV</w:t>
            </w:r>
          </w:p>
        </w:tc>
        <w:tc>
          <w:tcPr>
            <w:tcW w:w="9380" w:type="dxa"/>
            <w:vAlign w:val="bottom"/>
          </w:tcPr>
          <w:p>
            <w:pPr>
              <w:ind w:left="200"/>
              <w:spacing w:after="0"/>
              <w:rPr>
                <w:sz w:val="20"/>
                <w:szCs w:val="20"/>
                <w:color w:val="auto"/>
              </w:rPr>
            </w:pPr>
            <w:r>
              <w:rPr>
                <w:rFonts w:ascii="Arial" w:cs="Arial" w:eastAsia="Arial" w:hAnsi="Arial"/>
                <w:sz w:val="18"/>
                <w:szCs w:val="18"/>
                <w:color w:val="auto"/>
              </w:rPr>
              <w:t>COMMITTEES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4.1</w:t>
            </w:r>
          </w:p>
        </w:tc>
        <w:tc>
          <w:tcPr>
            <w:tcW w:w="938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4.2</w:t>
            </w:r>
          </w:p>
        </w:tc>
        <w:tc>
          <w:tcPr>
            <w:tcW w:w="9380" w:type="dxa"/>
            <w:vAlign w:val="bottom"/>
          </w:tcPr>
          <w:p>
            <w:pPr>
              <w:ind w:left="200"/>
              <w:spacing w:after="0"/>
              <w:rPr>
                <w:sz w:val="20"/>
                <w:szCs w:val="20"/>
                <w:color w:val="auto"/>
              </w:rPr>
            </w:pPr>
            <w:r>
              <w:rPr>
                <w:rFonts w:ascii="Arial" w:cs="Arial" w:eastAsia="Arial" w:hAnsi="Arial"/>
                <w:sz w:val="18"/>
                <w:szCs w:val="18"/>
                <w:color w:val="auto"/>
              </w:rPr>
              <w:t>COMMITTEE MINUTES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4.3</w:t>
            </w:r>
          </w:p>
        </w:tc>
        <w:tc>
          <w:tcPr>
            <w:tcW w:w="9380" w:type="dxa"/>
            <w:vAlign w:val="bottom"/>
          </w:tcPr>
          <w:p>
            <w:pPr>
              <w:ind w:left="200"/>
              <w:spacing w:after="0"/>
              <w:rPr>
                <w:sz w:val="20"/>
                <w:szCs w:val="20"/>
                <w:color w:val="auto"/>
              </w:rPr>
            </w:pPr>
            <w:r>
              <w:rPr>
                <w:rFonts w:ascii="Arial" w:cs="Arial" w:eastAsia="Arial" w:hAnsi="Arial"/>
                <w:sz w:val="18"/>
                <w:szCs w:val="18"/>
                <w:color w:val="auto"/>
              </w:rPr>
              <w:t>MEETINGS AND ACTION OF COMMITTEES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ARTICLE V</w:t>
            </w:r>
          </w:p>
        </w:tc>
        <w:tc>
          <w:tcPr>
            <w:tcW w:w="9380" w:type="dxa"/>
            <w:vAlign w:val="bottom"/>
          </w:tcPr>
          <w:p>
            <w:pPr>
              <w:ind w:left="200"/>
              <w:spacing w:after="0"/>
              <w:rPr>
                <w:sz w:val="20"/>
                <w:szCs w:val="20"/>
                <w:color w:val="auto"/>
              </w:rPr>
            </w:pPr>
            <w:r>
              <w:rPr>
                <w:rFonts w:ascii="Arial" w:cs="Arial" w:eastAsia="Arial" w:hAnsi="Arial"/>
                <w:sz w:val="18"/>
                <w:szCs w:val="18"/>
                <w:color w:val="auto"/>
              </w:rPr>
              <w:t>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w:t>
            </w:r>
          </w:p>
        </w:tc>
        <w:tc>
          <w:tcPr>
            <w:tcW w:w="9380" w:type="dxa"/>
            <w:vAlign w:val="bottom"/>
          </w:tcPr>
          <w:p>
            <w:pPr>
              <w:ind w:left="200"/>
              <w:spacing w:after="0"/>
              <w:rPr>
                <w:sz w:val="20"/>
                <w:szCs w:val="20"/>
                <w:color w:val="auto"/>
              </w:rPr>
            </w:pPr>
            <w:r>
              <w:rPr>
                <w:rFonts w:ascii="Arial" w:cs="Arial" w:eastAsia="Arial" w:hAnsi="Arial"/>
                <w:sz w:val="18"/>
                <w:szCs w:val="18"/>
                <w:color w:val="auto"/>
              </w:rPr>
              <w:t>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5.2</w:t>
            </w:r>
          </w:p>
        </w:tc>
        <w:tc>
          <w:tcPr>
            <w:tcW w:w="938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5.3</w:t>
            </w:r>
          </w:p>
        </w:tc>
        <w:tc>
          <w:tcPr>
            <w:tcW w:w="938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5.4</w:t>
            </w:r>
          </w:p>
        </w:tc>
        <w:tc>
          <w:tcPr>
            <w:tcW w:w="938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5.5</w:t>
            </w:r>
          </w:p>
        </w:tc>
        <w:tc>
          <w:tcPr>
            <w:tcW w:w="938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5.6</w:t>
            </w:r>
          </w:p>
        </w:tc>
        <w:tc>
          <w:tcPr>
            <w:tcW w:w="9380" w:type="dxa"/>
            <w:vAlign w:val="bottom"/>
          </w:tcPr>
          <w:p>
            <w:pPr>
              <w:ind w:left="200"/>
              <w:spacing w:after="0"/>
              <w:rPr>
                <w:sz w:val="20"/>
                <w:szCs w:val="20"/>
                <w:color w:val="auto"/>
              </w:rPr>
            </w:pPr>
            <w:r>
              <w:rPr>
                <w:rFonts w:ascii="Arial" w:cs="Arial" w:eastAsia="Arial" w:hAnsi="Arial"/>
                <w:sz w:val="18"/>
                <w:szCs w:val="18"/>
                <w:color w:val="auto"/>
              </w:rPr>
              <w:t>CHAIRPERSON OF THE BOARD</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5.7</w:t>
            </w:r>
          </w:p>
        </w:tc>
        <w:tc>
          <w:tcPr>
            <w:tcW w:w="93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5.8</w:t>
            </w:r>
          </w:p>
        </w:tc>
        <w:tc>
          <w:tcPr>
            <w:tcW w:w="9380" w:type="dxa"/>
            <w:vAlign w:val="bottom"/>
          </w:tcPr>
          <w:p>
            <w:pPr>
              <w:ind w:left="200"/>
              <w:spacing w:after="0"/>
              <w:rPr>
                <w:sz w:val="20"/>
                <w:szCs w:val="20"/>
                <w:color w:val="auto"/>
              </w:rPr>
            </w:pPr>
            <w:r>
              <w:rPr>
                <w:rFonts w:ascii="Arial" w:cs="Arial" w:eastAsia="Arial" w:hAnsi="Arial"/>
                <w:sz w:val="18"/>
                <w:szCs w:val="18"/>
                <w:color w:val="auto"/>
              </w:rPr>
              <w:t>PRESIDENT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5.9</w:t>
            </w:r>
          </w:p>
        </w:tc>
        <w:tc>
          <w:tcPr>
            <w:tcW w:w="9380" w:type="dxa"/>
            <w:vAlign w:val="bottom"/>
          </w:tcPr>
          <w:p>
            <w:pPr>
              <w:ind w:left="200"/>
              <w:spacing w:after="0"/>
              <w:rPr>
                <w:sz w:val="20"/>
                <w:szCs w:val="20"/>
                <w:color w:val="auto"/>
              </w:rPr>
            </w:pPr>
            <w:r>
              <w:rPr>
                <w:rFonts w:ascii="Arial" w:cs="Arial" w:eastAsia="Arial" w:hAnsi="Arial"/>
                <w:sz w:val="18"/>
                <w:szCs w:val="18"/>
                <w:color w:val="auto"/>
              </w:rPr>
              <w:t>VICE PRESIDENTS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5.10</w:t>
            </w:r>
          </w:p>
        </w:tc>
        <w:tc>
          <w:tcPr>
            <w:tcW w:w="9380" w:type="dxa"/>
            <w:vAlign w:val="bottom"/>
          </w:tcPr>
          <w:p>
            <w:pPr>
              <w:ind w:left="200"/>
              <w:spacing w:after="0"/>
              <w:rPr>
                <w:sz w:val="20"/>
                <w:szCs w:val="20"/>
                <w:color w:val="auto"/>
              </w:rPr>
            </w:pPr>
            <w:r>
              <w:rPr>
                <w:rFonts w:ascii="Arial" w:cs="Arial" w:eastAsia="Arial" w:hAnsi="Arial"/>
                <w:sz w:val="18"/>
                <w:szCs w:val="18"/>
                <w:color w:val="auto"/>
              </w:rPr>
              <w:t>SECRETARY</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5.11</w:t>
            </w:r>
          </w:p>
        </w:tc>
        <w:tc>
          <w:tcPr>
            <w:tcW w:w="938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5.12</w:t>
            </w:r>
          </w:p>
        </w:tc>
        <w:tc>
          <w:tcPr>
            <w:tcW w:w="9380" w:type="dxa"/>
            <w:vAlign w:val="bottom"/>
          </w:tcPr>
          <w:p>
            <w:pPr>
              <w:ind w:left="200"/>
              <w:spacing w:after="0"/>
              <w:rPr>
                <w:sz w:val="20"/>
                <w:szCs w:val="20"/>
                <w:color w:val="auto"/>
              </w:rPr>
            </w:pPr>
            <w:r>
              <w:rPr>
                <w:rFonts w:ascii="Arial" w:cs="Arial" w:eastAsia="Arial" w:hAnsi="Arial"/>
                <w:sz w:val="18"/>
                <w:szCs w:val="18"/>
                <w:color w:val="auto"/>
              </w:rPr>
              <w:t>TREASURER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5.13</w:t>
            </w:r>
          </w:p>
        </w:tc>
        <w:tc>
          <w:tcPr>
            <w:tcW w:w="9380" w:type="dxa"/>
            <w:vAlign w:val="bottom"/>
          </w:tcPr>
          <w:p>
            <w:pPr>
              <w:ind w:left="200"/>
              <w:spacing w:after="0"/>
              <w:rPr>
                <w:sz w:val="20"/>
                <w:szCs w:val="20"/>
                <w:color w:val="auto"/>
              </w:rPr>
            </w:pPr>
            <w:r>
              <w:rPr>
                <w:rFonts w:ascii="Arial" w:cs="Arial" w:eastAsia="Arial" w:hAnsi="Arial"/>
                <w:sz w:val="18"/>
                <w:szCs w:val="18"/>
                <w:color w:val="auto"/>
              </w:rPr>
              <w:t>ASSISTANT SECRETARY</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5.14</w:t>
            </w:r>
          </w:p>
        </w:tc>
        <w:tc>
          <w:tcPr>
            <w:tcW w:w="9380" w:type="dxa"/>
            <w:vAlign w:val="bottom"/>
          </w:tcPr>
          <w:p>
            <w:pPr>
              <w:ind w:left="200"/>
              <w:spacing w:after="0"/>
              <w:rPr>
                <w:sz w:val="20"/>
                <w:szCs w:val="20"/>
                <w:color w:val="auto"/>
              </w:rPr>
            </w:pPr>
            <w:r>
              <w:rPr>
                <w:rFonts w:ascii="Arial" w:cs="Arial" w:eastAsia="Arial" w:hAnsi="Arial"/>
                <w:sz w:val="18"/>
                <w:szCs w:val="18"/>
                <w:color w:val="auto"/>
              </w:rPr>
              <w:t>ASSISTANT TREASURER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5.15</w:t>
            </w:r>
          </w:p>
        </w:tc>
        <w:tc>
          <w:tcPr>
            <w:tcW w:w="9380" w:type="dxa"/>
            <w:vAlign w:val="bottom"/>
          </w:tcPr>
          <w:p>
            <w:pPr>
              <w:ind w:left="200"/>
              <w:spacing w:after="0"/>
              <w:rPr>
                <w:sz w:val="20"/>
                <w:szCs w:val="20"/>
                <w:color w:val="auto"/>
              </w:rPr>
            </w:pPr>
            <w:r>
              <w:rPr>
                <w:rFonts w:ascii="Arial" w:cs="Arial" w:eastAsia="Arial" w:hAnsi="Arial"/>
                <w:sz w:val="18"/>
                <w:szCs w:val="18"/>
                <w:color w:val="auto"/>
              </w:rPr>
              <w:t>REPRESENTATION OF SHARES OF OTHER CORPORATIONS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5.16</w:t>
            </w:r>
          </w:p>
        </w:tc>
        <w:tc>
          <w:tcPr>
            <w:tcW w:w="938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ARTICLE VI</w:t>
            </w:r>
          </w:p>
        </w:tc>
        <w:tc>
          <w:tcPr>
            <w:tcW w:w="9380" w:type="dxa"/>
            <w:vAlign w:val="bottom"/>
          </w:tcPr>
          <w:p>
            <w:pPr>
              <w:ind w:left="200"/>
              <w:spacing w:after="0"/>
              <w:rPr>
                <w:sz w:val="20"/>
                <w:szCs w:val="20"/>
                <w:color w:val="auto"/>
              </w:rPr>
            </w:pPr>
            <w:r>
              <w:rPr>
                <w:rFonts w:ascii="Arial" w:cs="Arial" w:eastAsia="Arial" w:hAnsi="Arial"/>
                <w:sz w:val="18"/>
                <w:szCs w:val="18"/>
                <w:color w:val="auto"/>
              </w:rPr>
              <w:t>RECORDS AND REPORTS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6.1</w:t>
            </w:r>
          </w:p>
        </w:tc>
        <w:tc>
          <w:tcPr>
            <w:tcW w:w="9380" w:type="dxa"/>
            <w:vAlign w:val="bottom"/>
          </w:tcPr>
          <w:p>
            <w:pPr>
              <w:ind w:left="200"/>
              <w:spacing w:after="0"/>
              <w:rPr>
                <w:sz w:val="20"/>
                <w:szCs w:val="20"/>
                <w:color w:val="auto"/>
              </w:rPr>
            </w:pPr>
            <w:r>
              <w:rPr>
                <w:rFonts w:ascii="Arial" w:cs="Arial" w:eastAsia="Arial" w:hAnsi="Arial"/>
                <w:sz w:val="18"/>
                <w:szCs w:val="18"/>
                <w:color w:val="auto"/>
              </w:rPr>
              <w:t>MAINTENANCE AND INSPECTION OF RECORDS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6.2</w:t>
            </w:r>
          </w:p>
        </w:tc>
        <w:tc>
          <w:tcPr>
            <w:tcW w:w="9380" w:type="dxa"/>
            <w:vAlign w:val="bottom"/>
          </w:tcPr>
          <w:p>
            <w:pPr>
              <w:ind w:left="200"/>
              <w:spacing w:after="0"/>
              <w:rPr>
                <w:sz w:val="20"/>
                <w:szCs w:val="20"/>
                <w:color w:val="auto"/>
              </w:rPr>
            </w:pPr>
            <w:r>
              <w:rPr>
                <w:rFonts w:ascii="Arial" w:cs="Arial" w:eastAsia="Arial" w:hAnsi="Arial"/>
                <w:sz w:val="18"/>
                <w:szCs w:val="18"/>
                <w:color w:val="auto"/>
              </w:rPr>
              <w:t>INSPECTION BY DIRECTORS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ARTICLE VII</w:t>
            </w:r>
          </w:p>
        </w:tc>
        <w:tc>
          <w:tcPr>
            <w:tcW w:w="9380" w:type="dxa"/>
            <w:vAlign w:val="bottom"/>
          </w:tcPr>
          <w:p>
            <w:pPr>
              <w:ind w:left="200"/>
              <w:spacing w:after="0"/>
              <w:rPr>
                <w:sz w:val="20"/>
                <w:szCs w:val="20"/>
                <w:color w:val="auto"/>
              </w:rPr>
            </w:pPr>
            <w:r>
              <w:rPr>
                <w:rFonts w:ascii="Arial" w:cs="Arial" w:eastAsia="Arial" w:hAnsi="Arial"/>
                <w:sz w:val="18"/>
                <w:szCs w:val="18"/>
                <w:color w:val="auto"/>
              </w:rPr>
              <w:t>GENERAL MATTERS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7.1</w:t>
            </w:r>
          </w:p>
        </w:tc>
        <w:tc>
          <w:tcPr>
            <w:tcW w:w="9380" w:type="dxa"/>
            <w:vAlign w:val="bottom"/>
          </w:tcPr>
          <w:p>
            <w:pPr>
              <w:ind w:left="200"/>
              <w:spacing w:after="0"/>
              <w:rPr>
                <w:sz w:val="20"/>
                <w:szCs w:val="20"/>
                <w:color w:val="auto"/>
              </w:rPr>
            </w:pPr>
            <w:r>
              <w:rPr>
                <w:rFonts w:ascii="Arial" w:cs="Arial" w:eastAsia="Arial" w:hAnsi="Arial"/>
                <w:sz w:val="18"/>
                <w:szCs w:val="18"/>
                <w:color w:val="auto"/>
              </w:rPr>
              <w:t>CHECKS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7.2</w:t>
            </w:r>
          </w:p>
        </w:tc>
        <w:tc>
          <w:tcPr>
            <w:tcW w:w="9380" w:type="dxa"/>
            <w:vAlign w:val="bottom"/>
          </w:tcPr>
          <w:p>
            <w:pPr>
              <w:ind w:left="200"/>
              <w:spacing w:after="0"/>
              <w:rPr>
                <w:sz w:val="20"/>
                <w:szCs w:val="20"/>
                <w:color w:val="auto"/>
              </w:rPr>
            </w:pPr>
            <w:r>
              <w:rPr>
                <w:rFonts w:ascii="Arial" w:cs="Arial" w:eastAsia="Arial" w:hAnsi="Arial"/>
                <w:sz w:val="18"/>
                <w:szCs w:val="18"/>
                <w:color w:val="auto"/>
              </w:rPr>
              <w:t>EXECUTION OF CORPORATE CONTRACTS AND INSTRUMENTS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7.3</w:t>
            </w:r>
          </w:p>
        </w:tc>
        <w:tc>
          <w:tcPr>
            <w:tcW w:w="9380" w:type="dxa"/>
            <w:vAlign w:val="bottom"/>
          </w:tcPr>
          <w:p>
            <w:pPr>
              <w:ind w:left="200"/>
              <w:spacing w:after="0"/>
              <w:rPr>
                <w:sz w:val="20"/>
                <w:szCs w:val="20"/>
                <w:color w:val="auto"/>
              </w:rPr>
            </w:pPr>
            <w:r>
              <w:rPr>
                <w:rFonts w:ascii="Arial" w:cs="Arial" w:eastAsia="Arial" w:hAnsi="Arial"/>
                <w:sz w:val="18"/>
                <w:szCs w:val="18"/>
                <w:color w:val="auto"/>
              </w:rPr>
              <w:t>STOCK CERTIFICATES; PARTLY PAID SHARES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7.4</w:t>
            </w:r>
          </w:p>
        </w:tc>
        <w:tc>
          <w:tcPr>
            <w:tcW w:w="9380" w:type="dxa"/>
            <w:vAlign w:val="bottom"/>
          </w:tcPr>
          <w:p>
            <w:pPr>
              <w:ind w:left="200"/>
              <w:spacing w:after="0"/>
              <w:rPr>
                <w:sz w:val="20"/>
                <w:szCs w:val="20"/>
                <w:color w:val="auto"/>
              </w:rPr>
            </w:pPr>
            <w:r>
              <w:rPr>
                <w:rFonts w:ascii="Arial" w:cs="Arial" w:eastAsia="Arial" w:hAnsi="Arial"/>
                <w:sz w:val="18"/>
                <w:szCs w:val="18"/>
                <w:color w:val="auto"/>
              </w:rPr>
              <w:t>SPECIAL DESIGNATION ON CERTIFICATES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7.5</w:t>
            </w:r>
          </w:p>
        </w:tc>
        <w:tc>
          <w:tcPr>
            <w:tcW w:w="938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7.6</w:t>
            </w:r>
          </w:p>
        </w:tc>
        <w:tc>
          <w:tcPr>
            <w:tcW w:w="938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260" w:type="dxa"/>
            <w:vAlign w:val="bottom"/>
          </w:tcPr>
          <w:p>
            <w:pPr>
              <w:ind w:left="660"/>
              <w:spacing w:after="0"/>
              <w:rPr>
                <w:sz w:val="20"/>
                <w:szCs w:val="20"/>
                <w:color w:val="auto"/>
              </w:rPr>
            </w:pPr>
            <w:r>
              <w:rPr>
                <w:rFonts w:ascii="Arial" w:cs="Arial" w:eastAsia="Arial" w:hAnsi="Arial"/>
                <w:sz w:val="18"/>
                <w:szCs w:val="18"/>
                <w:color w:val="auto"/>
              </w:rPr>
              <w:t>7.7</w:t>
            </w:r>
          </w:p>
        </w:tc>
        <w:tc>
          <w:tcPr>
            <w:tcW w:w="93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432"/>
        </w:trPr>
        <w:tc>
          <w:tcPr>
            <w:tcW w:w="1260" w:type="dxa"/>
            <w:vAlign w:val="bottom"/>
          </w:tcPr>
          <w:p>
            <w:pPr>
              <w:spacing w:after="0"/>
              <w:rPr>
                <w:sz w:val="24"/>
                <w:szCs w:val="24"/>
                <w:color w:val="auto"/>
              </w:rPr>
            </w:pPr>
          </w:p>
        </w:tc>
        <w:tc>
          <w:tcPr>
            <w:tcW w:w="9380" w:type="dxa"/>
            <w:vAlign w:val="bottom"/>
          </w:tcPr>
          <w:p>
            <w:pPr>
              <w:jc w:val="center"/>
              <w:ind w:right="390"/>
              <w:spacing w:after="0"/>
              <w:rPr>
                <w:sz w:val="20"/>
                <w:szCs w:val="20"/>
                <w:color w:val="auto"/>
              </w:rPr>
            </w:pPr>
            <w:r>
              <w:rPr>
                <w:rFonts w:ascii="Arial" w:cs="Arial" w:eastAsia="Arial" w:hAnsi="Arial"/>
                <w:sz w:val="18"/>
                <w:szCs w:val="18"/>
                <w:color w:val="auto"/>
              </w:rPr>
              <w:t>ii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938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ectPr>
          <w:pgSz w:w="11900" w:h="16838" w:orient="portrait"/>
          <w:cols w:equalWidth="0" w:num="1">
            <w:col w:w="11460"/>
          </w:cols>
          <w:pgMar w:left="240" w:top="580" w:right="199" w:bottom="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9360" w:type="dxa"/>
            <w:vAlign w:val="bottom"/>
          </w:tcPr>
          <w:p>
            <w:pPr>
              <w:ind w:left="4020"/>
              <w:spacing w:after="0"/>
              <w:rPr>
                <w:sz w:val="20"/>
                <w:szCs w:val="20"/>
                <w:color w:val="auto"/>
              </w:rPr>
            </w:pPr>
            <w:r>
              <w:rPr>
                <w:rFonts w:ascii="Arial" w:cs="Arial" w:eastAsia="Arial" w:hAnsi="Arial"/>
                <w:sz w:val="18"/>
                <w:szCs w:val="18"/>
                <w:color w:val="auto"/>
              </w:rPr>
              <w:t>(continued)</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280" w:type="dxa"/>
            <w:vAlign w:val="bottom"/>
          </w:tcPr>
          <w:p>
            <w:pPr>
              <w:spacing w:after="0"/>
              <w:rPr>
                <w:sz w:val="24"/>
                <w:szCs w:val="24"/>
                <w:color w:val="auto"/>
              </w:rPr>
            </w:pPr>
          </w:p>
        </w:tc>
        <w:tc>
          <w:tcPr>
            <w:tcW w:w="93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1280" w:type="dxa"/>
            <w:vAlign w:val="bottom"/>
          </w:tcPr>
          <w:p>
            <w:pPr>
              <w:ind w:left="660"/>
              <w:spacing w:after="0"/>
              <w:rPr>
                <w:sz w:val="20"/>
                <w:szCs w:val="20"/>
                <w:color w:val="auto"/>
              </w:rPr>
            </w:pPr>
            <w:r>
              <w:rPr>
                <w:rFonts w:ascii="Arial" w:cs="Arial" w:eastAsia="Arial" w:hAnsi="Arial"/>
                <w:sz w:val="18"/>
                <w:szCs w:val="18"/>
                <w:color w:val="auto"/>
              </w:rPr>
              <w:t>7.8</w:t>
            </w:r>
          </w:p>
        </w:tc>
        <w:tc>
          <w:tcPr>
            <w:tcW w:w="9360" w:type="dxa"/>
            <w:vAlign w:val="bottom"/>
          </w:tcPr>
          <w:p>
            <w:pPr>
              <w:ind w:left="180"/>
              <w:spacing w:after="0"/>
              <w:rPr>
                <w:sz w:val="20"/>
                <w:szCs w:val="20"/>
                <w:color w:val="auto"/>
              </w:rPr>
            </w:pPr>
            <w:r>
              <w:rPr>
                <w:rFonts w:ascii="Arial" w:cs="Arial" w:eastAsia="Arial" w:hAnsi="Arial"/>
                <w:sz w:val="18"/>
                <w:szCs w:val="18"/>
                <w:color w:val="auto"/>
              </w:rPr>
              <w:t>FISCAL YEAR</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7.9</w:t>
            </w:r>
          </w:p>
        </w:tc>
        <w:tc>
          <w:tcPr>
            <w:tcW w:w="9360" w:type="dxa"/>
            <w:vAlign w:val="bottom"/>
          </w:tcPr>
          <w:p>
            <w:pPr>
              <w:ind w:left="180"/>
              <w:spacing w:after="0"/>
              <w:rPr>
                <w:sz w:val="20"/>
                <w:szCs w:val="20"/>
                <w:color w:val="auto"/>
              </w:rPr>
            </w:pPr>
            <w:r>
              <w:rPr>
                <w:rFonts w:ascii="Arial" w:cs="Arial" w:eastAsia="Arial" w:hAnsi="Arial"/>
                <w:sz w:val="18"/>
                <w:szCs w:val="18"/>
                <w:color w:val="auto"/>
              </w:rPr>
              <w:t>SEAL</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7.10</w:t>
            </w:r>
          </w:p>
        </w:tc>
        <w:tc>
          <w:tcPr>
            <w:tcW w:w="9360" w:type="dxa"/>
            <w:vAlign w:val="bottom"/>
          </w:tcPr>
          <w:p>
            <w:pPr>
              <w:ind w:left="180"/>
              <w:spacing w:after="0"/>
              <w:rPr>
                <w:sz w:val="20"/>
                <w:szCs w:val="20"/>
                <w:color w:val="auto"/>
              </w:rPr>
            </w:pPr>
            <w:r>
              <w:rPr>
                <w:rFonts w:ascii="Arial" w:cs="Arial" w:eastAsia="Arial" w:hAnsi="Arial"/>
                <w:sz w:val="18"/>
                <w:szCs w:val="18"/>
                <w:color w:val="auto"/>
              </w:rPr>
              <w:t>TRANSFER OF STOCK</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7.11</w:t>
            </w:r>
          </w:p>
        </w:tc>
        <w:tc>
          <w:tcPr>
            <w:tcW w:w="9360" w:type="dxa"/>
            <w:vAlign w:val="bottom"/>
          </w:tcPr>
          <w:p>
            <w:pPr>
              <w:ind w:left="180"/>
              <w:spacing w:after="0"/>
              <w:rPr>
                <w:sz w:val="20"/>
                <w:szCs w:val="20"/>
                <w:color w:val="auto"/>
              </w:rPr>
            </w:pPr>
            <w:r>
              <w:rPr>
                <w:rFonts w:ascii="Arial" w:cs="Arial" w:eastAsia="Arial" w:hAnsi="Arial"/>
                <w:sz w:val="18"/>
                <w:szCs w:val="18"/>
                <w:color w:val="auto"/>
              </w:rPr>
              <w:t>STOCK TRANSFER AGREEMENTS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7.12</w:t>
            </w:r>
          </w:p>
        </w:tc>
        <w:tc>
          <w:tcPr>
            <w:tcW w:w="9360" w:type="dxa"/>
            <w:vAlign w:val="bottom"/>
          </w:tcPr>
          <w:p>
            <w:pPr>
              <w:ind w:left="180"/>
              <w:spacing w:after="0"/>
              <w:rPr>
                <w:sz w:val="20"/>
                <w:szCs w:val="20"/>
                <w:color w:val="auto"/>
              </w:rPr>
            </w:pPr>
            <w:r>
              <w:rPr>
                <w:rFonts w:ascii="Arial" w:cs="Arial" w:eastAsia="Arial" w:hAnsi="Arial"/>
                <w:sz w:val="18"/>
                <w:szCs w:val="18"/>
                <w:color w:val="auto"/>
              </w:rPr>
              <w:t>REGISTERED STOCKHOLDERS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7.13</w:t>
            </w:r>
          </w:p>
        </w:tc>
        <w:tc>
          <w:tcPr>
            <w:tcW w:w="9360" w:type="dxa"/>
            <w:vAlign w:val="bottom"/>
          </w:tcPr>
          <w:p>
            <w:pPr>
              <w:ind w:left="180"/>
              <w:spacing w:after="0"/>
              <w:rPr>
                <w:sz w:val="20"/>
                <w:szCs w:val="20"/>
                <w:color w:val="auto"/>
              </w:rPr>
            </w:pPr>
            <w:r>
              <w:rPr>
                <w:rFonts w:ascii="Arial" w:cs="Arial" w:eastAsia="Arial" w:hAnsi="Arial"/>
                <w:sz w:val="18"/>
                <w:szCs w:val="18"/>
                <w:color w:val="auto"/>
              </w:rPr>
              <w:t>WAIVER OF NOTICE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ARTICLE VIII</w:t>
            </w:r>
          </w:p>
        </w:tc>
        <w:tc>
          <w:tcPr>
            <w:tcW w:w="9360" w:type="dxa"/>
            <w:vAlign w:val="bottom"/>
          </w:tcPr>
          <w:p>
            <w:pPr>
              <w:ind w:left="180"/>
              <w:spacing w:after="0"/>
              <w:rPr>
                <w:sz w:val="20"/>
                <w:szCs w:val="20"/>
                <w:color w:val="auto"/>
              </w:rPr>
            </w:pPr>
            <w:r>
              <w:rPr>
                <w:rFonts w:ascii="Arial" w:cs="Arial" w:eastAsia="Arial" w:hAnsi="Arial"/>
                <w:sz w:val="18"/>
                <w:szCs w:val="18"/>
                <w:color w:val="auto"/>
              </w:rPr>
              <w:t>NOTICE BY ELECTRONIC TRANSMISSION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8.1</w:t>
            </w:r>
          </w:p>
        </w:tc>
        <w:tc>
          <w:tcPr>
            <w:tcW w:w="9360" w:type="dxa"/>
            <w:vAlign w:val="bottom"/>
          </w:tcPr>
          <w:p>
            <w:pPr>
              <w:ind w:left="180"/>
              <w:spacing w:after="0"/>
              <w:rPr>
                <w:sz w:val="20"/>
                <w:szCs w:val="20"/>
                <w:color w:val="auto"/>
              </w:rPr>
            </w:pPr>
            <w:r>
              <w:rPr>
                <w:rFonts w:ascii="Arial" w:cs="Arial" w:eastAsia="Arial" w:hAnsi="Arial"/>
                <w:sz w:val="18"/>
                <w:szCs w:val="18"/>
                <w:color w:val="auto"/>
              </w:rPr>
              <w:t>NOTICE BY ELECTRONIC TRANSMISSION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8.2</w:t>
            </w:r>
          </w:p>
        </w:tc>
        <w:tc>
          <w:tcPr>
            <w:tcW w:w="9360" w:type="dxa"/>
            <w:vAlign w:val="bottom"/>
          </w:tcPr>
          <w:p>
            <w:pPr>
              <w:ind w:left="180"/>
              <w:spacing w:after="0"/>
              <w:rPr>
                <w:sz w:val="20"/>
                <w:szCs w:val="20"/>
                <w:color w:val="auto"/>
              </w:rPr>
            </w:pPr>
            <w:r>
              <w:rPr>
                <w:rFonts w:ascii="Arial" w:cs="Arial" w:eastAsia="Arial" w:hAnsi="Arial"/>
                <w:sz w:val="18"/>
                <w:szCs w:val="18"/>
                <w:color w:val="auto"/>
              </w:rPr>
              <w:t>DEFINITION OF ELECTRONIC TRANSMISSION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8.3</w:t>
            </w:r>
          </w:p>
        </w:tc>
        <w:tc>
          <w:tcPr>
            <w:tcW w:w="9360" w:type="dxa"/>
            <w:vAlign w:val="bottom"/>
          </w:tcPr>
          <w:p>
            <w:pPr>
              <w:ind w:left="180"/>
              <w:spacing w:after="0"/>
              <w:rPr>
                <w:sz w:val="20"/>
                <w:szCs w:val="20"/>
                <w:color w:val="auto"/>
              </w:rPr>
            </w:pPr>
            <w:r>
              <w:rPr>
                <w:rFonts w:ascii="Arial" w:cs="Arial" w:eastAsia="Arial" w:hAnsi="Arial"/>
                <w:sz w:val="18"/>
                <w:szCs w:val="18"/>
                <w:color w:val="auto"/>
              </w:rPr>
              <w:t>INAPPLICABILITY</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ARTICLE IX</w:t>
            </w:r>
          </w:p>
        </w:tc>
        <w:tc>
          <w:tcPr>
            <w:tcW w:w="936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9.1</w:t>
            </w:r>
          </w:p>
        </w:tc>
        <w:tc>
          <w:tcPr>
            <w:tcW w:w="9360" w:type="dxa"/>
            <w:vAlign w:val="bottom"/>
          </w:tcPr>
          <w:p>
            <w:pPr>
              <w:ind w:left="180"/>
              <w:spacing w:after="0"/>
              <w:rPr>
                <w:sz w:val="20"/>
                <w:szCs w:val="20"/>
                <w:color w:val="auto"/>
              </w:rPr>
            </w:pPr>
            <w:r>
              <w:rPr>
                <w:rFonts w:ascii="Arial" w:cs="Arial" w:eastAsia="Arial" w:hAnsi="Arial"/>
                <w:sz w:val="18"/>
                <w:szCs w:val="18"/>
                <w:color w:val="auto"/>
              </w:rPr>
              <w:t>INDEMNIFICATION OF DIRECTORS AND OFFICERS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9.2</w:t>
            </w:r>
          </w:p>
        </w:tc>
        <w:tc>
          <w:tcPr>
            <w:tcW w:w="9360" w:type="dxa"/>
            <w:vAlign w:val="bottom"/>
          </w:tcPr>
          <w:p>
            <w:pPr>
              <w:ind w:left="180"/>
              <w:spacing w:after="0"/>
              <w:rPr>
                <w:sz w:val="20"/>
                <w:szCs w:val="20"/>
                <w:color w:val="auto"/>
              </w:rPr>
            </w:pPr>
            <w:r>
              <w:rPr>
                <w:rFonts w:ascii="Arial" w:cs="Arial" w:eastAsia="Arial" w:hAnsi="Arial"/>
                <w:sz w:val="18"/>
                <w:szCs w:val="18"/>
                <w:color w:val="auto"/>
              </w:rPr>
              <w:t>INDEMNIFICATION OF OTHERS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9.3</w:t>
            </w:r>
          </w:p>
        </w:tc>
        <w:tc>
          <w:tcPr>
            <w:tcW w:w="9360" w:type="dxa"/>
            <w:vAlign w:val="bottom"/>
          </w:tcPr>
          <w:p>
            <w:pPr>
              <w:ind w:left="180"/>
              <w:spacing w:after="0"/>
              <w:rPr>
                <w:sz w:val="20"/>
                <w:szCs w:val="20"/>
                <w:color w:val="auto"/>
              </w:rPr>
            </w:pPr>
            <w:r>
              <w:rPr>
                <w:rFonts w:ascii="Arial" w:cs="Arial" w:eastAsia="Arial" w:hAnsi="Arial"/>
                <w:sz w:val="18"/>
                <w:szCs w:val="18"/>
                <w:color w:val="auto"/>
              </w:rPr>
              <w:t>PREPAYMENT OF EXPENSES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9.4</w:t>
            </w:r>
          </w:p>
        </w:tc>
        <w:tc>
          <w:tcPr>
            <w:tcW w:w="9360" w:type="dxa"/>
            <w:vAlign w:val="bottom"/>
          </w:tcPr>
          <w:p>
            <w:pPr>
              <w:ind w:left="180"/>
              <w:spacing w:after="0"/>
              <w:rPr>
                <w:sz w:val="20"/>
                <w:szCs w:val="20"/>
                <w:color w:val="auto"/>
              </w:rPr>
            </w:pPr>
            <w:r>
              <w:rPr>
                <w:rFonts w:ascii="Arial" w:cs="Arial" w:eastAsia="Arial" w:hAnsi="Arial"/>
                <w:sz w:val="18"/>
                <w:szCs w:val="18"/>
                <w:color w:val="auto"/>
              </w:rPr>
              <w:t>DETERMINATION; CLAIM</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9.5</w:t>
            </w:r>
          </w:p>
        </w:tc>
        <w:tc>
          <w:tcPr>
            <w:tcW w:w="9360" w:type="dxa"/>
            <w:vAlign w:val="bottom"/>
          </w:tcPr>
          <w:p>
            <w:pPr>
              <w:ind w:left="180"/>
              <w:spacing w:after="0"/>
              <w:rPr>
                <w:sz w:val="20"/>
                <w:szCs w:val="20"/>
                <w:color w:val="auto"/>
              </w:rPr>
            </w:pPr>
            <w:r>
              <w:rPr>
                <w:rFonts w:ascii="Arial" w:cs="Arial" w:eastAsia="Arial" w:hAnsi="Arial"/>
                <w:sz w:val="18"/>
                <w:szCs w:val="18"/>
                <w:color w:val="auto"/>
              </w:rPr>
              <w:t>NON-EXCLUSIVITY OF RIGHTS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9.6</w:t>
            </w:r>
          </w:p>
        </w:tc>
        <w:tc>
          <w:tcPr>
            <w:tcW w:w="93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9.7</w:t>
            </w:r>
          </w:p>
        </w:tc>
        <w:tc>
          <w:tcPr>
            <w:tcW w:w="9360" w:type="dxa"/>
            <w:vAlign w:val="bottom"/>
          </w:tcPr>
          <w:p>
            <w:pPr>
              <w:ind w:left="180"/>
              <w:spacing w:after="0"/>
              <w:rPr>
                <w:sz w:val="20"/>
                <w:szCs w:val="20"/>
                <w:color w:val="auto"/>
              </w:rPr>
            </w:pPr>
            <w:r>
              <w:rPr>
                <w:rFonts w:ascii="Arial" w:cs="Arial" w:eastAsia="Arial" w:hAnsi="Arial"/>
                <w:sz w:val="18"/>
                <w:szCs w:val="18"/>
                <w:color w:val="auto"/>
              </w:rPr>
              <w:t>OTHER INDEMNIFICATION</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80" w:type="dxa"/>
            <w:vAlign w:val="bottom"/>
          </w:tcPr>
          <w:p>
            <w:pPr>
              <w:ind w:left="660"/>
              <w:spacing w:after="0"/>
              <w:rPr>
                <w:sz w:val="20"/>
                <w:szCs w:val="20"/>
                <w:color w:val="auto"/>
              </w:rPr>
            </w:pPr>
            <w:r>
              <w:rPr>
                <w:rFonts w:ascii="Arial" w:cs="Arial" w:eastAsia="Arial" w:hAnsi="Arial"/>
                <w:sz w:val="18"/>
                <w:szCs w:val="18"/>
                <w:color w:val="auto"/>
              </w:rPr>
              <w:t>9.8</w:t>
            </w:r>
          </w:p>
        </w:tc>
        <w:tc>
          <w:tcPr>
            <w:tcW w:w="9360" w:type="dxa"/>
            <w:vAlign w:val="bottom"/>
          </w:tcPr>
          <w:p>
            <w:pPr>
              <w:ind w:left="180"/>
              <w:spacing w:after="0"/>
              <w:rPr>
                <w:sz w:val="20"/>
                <w:szCs w:val="20"/>
                <w:color w:val="auto"/>
              </w:rPr>
            </w:pPr>
            <w:r>
              <w:rPr>
                <w:rFonts w:ascii="Arial" w:cs="Arial" w:eastAsia="Arial" w:hAnsi="Arial"/>
                <w:sz w:val="18"/>
                <w:szCs w:val="18"/>
                <w:color w:val="auto"/>
              </w:rPr>
              <w:t>AMENDMENT OR REPEAL</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80" w:type="dxa"/>
            <w:vAlign w:val="bottom"/>
          </w:tcPr>
          <w:p>
            <w:pPr>
              <w:spacing w:after="0"/>
              <w:rPr>
                <w:sz w:val="20"/>
                <w:szCs w:val="20"/>
                <w:color w:val="auto"/>
              </w:rPr>
            </w:pPr>
            <w:r>
              <w:rPr>
                <w:rFonts w:ascii="Arial" w:cs="Arial" w:eastAsia="Arial" w:hAnsi="Arial"/>
                <w:sz w:val="18"/>
                <w:szCs w:val="18"/>
                <w:color w:val="auto"/>
              </w:rPr>
              <w:t>ARTICLE X</w:t>
            </w:r>
          </w:p>
        </w:tc>
        <w:tc>
          <w:tcPr>
            <w:tcW w:w="9360" w:type="dxa"/>
            <w:vAlign w:val="bottom"/>
          </w:tcPr>
          <w:p>
            <w:pPr>
              <w:ind w:left="180"/>
              <w:spacing w:after="0"/>
              <w:rPr>
                <w:sz w:val="20"/>
                <w:szCs w:val="20"/>
                <w:color w:val="auto"/>
              </w:rPr>
            </w:pPr>
            <w:r>
              <w:rPr>
                <w:rFonts w:ascii="Arial" w:cs="Arial" w:eastAsia="Arial" w:hAnsi="Arial"/>
                <w:sz w:val="18"/>
                <w:szCs w:val="18"/>
                <w:color w:val="auto"/>
              </w:rPr>
              <w:t>AMENDMENTS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1280" w:type="dxa"/>
            <w:vAlign w:val="bottom"/>
          </w:tcPr>
          <w:p>
            <w:pPr>
              <w:spacing w:after="0"/>
              <w:rPr>
                <w:sz w:val="24"/>
                <w:szCs w:val="24"/>
                <w:color w:val="auto"/>
              </w:rPr>
            </w:pPr>
          </w:p>
        </w:tc>
        <w:tc>
          <w:tcPr>
            <w:tcW w:w="9360" w:type="dxa"/>
            <w:vAlign w:val="bottom"/>
          </w:tcPr>
          <w:p>
            <w:pPr>
              <w:ind w:left="4360"/>
              <w:spacing w:after="0"/>
              <w:rPr>
                <w:sz w:val="20"/>
                <w:szCs w:val="20"/>
                <w:color w:val="auto"/>
              </w:rPr>
            </w:pPr>
            <w:r>
              <w:rPr>
                <w:rFonts w:ascii="Arial" w:cs="Arial" w:eastAsia="Arial" w:hAnsi="Arial"/>
                <w:sz w:val="18"/>
                <w:szCs w:val="18"/>
                <w:color w:val="auto"/>
              </w:rPr>
              <w:t>iii</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93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CORPORATE OFFICES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registered office of the corporation shall be fixed in the corporation’s certificate of incorporation, as the same may be amended from time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22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The corporation’s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may at any time establish other offices at any place or places where the corporation is qualified to do business.</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MEETINGS OF STOCKHOLDERS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PLACE OF MEETINGS.</w:t>
      </w:r>
    </w:p>
    <w:p>
      <w:pPr>
        <w:spacing w:after="0" w:line="225"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Delaware General Corporate Law (the “</w:t>
      </w:r>
      <w:r>
        <w:rPr>
          <w:rFonts w:ascii="Arial" w:cs="Arial" w:eastAsia="Arial" w:hAnsi="Arial"/>
          <w:sz w:val="18"/>
          <w:szCs w:val="18"/>
          <w:b w:val="1"/>
          <w:bCs w:val="1"/>
          <w:color w:val="auto"/>
        </w:rPr>
        <w:t>DGCL</w:t>
      </w:r>
      <w:r>
        <w:rPr>
          <w:rFonts w:ascii="Arial" w:cs="Arial" w:eastAsia="Arial" w:hAnsi="Arial"/>
          <w:sz w:val="18"/>
          <w:szCs w:val="18"/>
          <w:color w:val="auto"/>
        </w:rPr>
        <w:t>”). In the absence of any such designation or determination, stockholders’ meetings shall be held at the corporation’s principal executive office.</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ANNUAL MEETING.</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annual meeting of stockholders shall be held each year. The Board shall designate the date and time of the annual meeting. In the absence of such designation the annual meeting of stockholders shall be held on the second Tuesday of May of each year at 10:00 a.m. However, if such day falls on a</w:t>
      </w:r>
    </w:p>
    <w:p>
      <w:pPr>
        <w:sectPr>
          <w:pgSz w:w="11900" w:h="16838" w:orient="portrait"/>
          <w:cols w:equalWidth="0" w:num="1">
            <w:col w:w="11460"/>
          </w:cols>
          <w:pgMar w:left="240" w:top="125" w:right="199" w:bottom="0" w:gutter="0" w:footer="0" w:header="0"/>
        </w:sectPr>
      </w:pPr>
    </w:p>
    <w:bookmarkStart w:id="222" w:name="page223"/>
    <w:bookmarkEnd w:id="222"/>
    <w:p>
      <w:pPr>
        <w:ind w:right="40"/>
        <w:spacing w:after="0" w:line="277" w:lineRule="auto"/>
        <w:rPr>
          <w:sz w:val="20"/>
          <w:szCs w:val="20"/>
          <w:color w:val="auto"/>
        </w:rPr>
      </w:pPr>
      <w:r>
        <w:rPr>
          <w:rFonts w:ascii="Arial" w:cs="Arial" w:eastAsia="Arial" w:hAnsi="Arial"/>
          <w:sz w:val="18"/>
          <w:szCs w:val="18"/>
          <w:color w:val="auto"/>
        </w:rPr>
        <w:t>legal holiday, then the meeting shall be held at the same time and place on the next succeeding business day. At the annual meeting, directors shall be elected and any other proper business may be transacted.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 special meeting of the stockholders may be called at any time by the Board, chairperson of the Board, chief executive officer or president (in the absence of a chief executive officer) or by one or more stockholders holding shares with voting power in the aggregate entitled to cast not less than ten percent (10%) of the voting power at that meeting.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660" w:firstLine="645"/>
        <w:spacing w:after="0" w:line="277" w:lineRule="auto"/>
        <w:tabs>
          <w:tab w:leader="none" w:pos="199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a president (in the absence of a chief executive officer) or the secretary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officer(s) receiving the request shall cause notice to be promptly given to the stockholders entitled to vote at such meeting, in accordance with the provisions of Sections 2.4 and 2.5 of these bylaws, that a meeting will be held at the time requested by the person or persons calling the meeting. No business may be transacted at such special meeting other than the business specified in such notice to stockholders. Nothing contained in this paragraph of this Section 2.3 shall be construed as limiting, fixing, or affecting the time when a meeting of stockholders called by action of the Board may be held.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NOTICE OF STOCKHOLDERS’ MEETINGS.</w:t>
      </w:r>
    </w:p>
    <w:p>
      <w:pPr>
        <w:spacing w:after="0" w:line="2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All notices of meetings of stockholders shall be sent or otherwise given in accordance with either Section 2.5 or Section 8.1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MANNER OF GIVING NOTICE; AFFIDAVIT OF NOTICE. Notice of any meeting of stockholders shall be given:</w:t>
      </w:r>
    </w:p>
    <w:p>
      <w:pPr>
        <w:spacing w:after="0" w:line="225" w:lineRule="exact"/>
        <w:rPr>
          <w:sz w:val="20"/>
          <w:szCs w:val="20"/>
          <w:color w:val="auto"/>
        </w:rPr>
      </w:pPr>
    </w:p>
    <w:p>
      <w:pPr>
        <w:ind w:left="660" w:right="60" w:firstLine="645"/>
        <w:spacing w:after="0" w:line="277" w:lineRule="auto"/>
        <w:tabs>
          <w:tab w:leader="none" w:pos="197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mailed, when deposited in the United States mail, postage prepaid, directed to the stockholder at his or her address as it appears on the corporation’s records; or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if electronically transmitted as provided in Section 8.1 of these bylaws.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fade evidence of the facts stated therein.</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QUORUM.</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holders of stock issued and outstanding and entitled to vote and in the aggregate entitled to cast not less than a majority of the voting power of the total number of shares of capital stock of the Company at the time outstanding having the right to vote, present in person or represented by proxy, shall constitute a quorum for the transaction of business at all meetings of the stockholders. If, however, such quorum is not present or represented at any meeting of the stockholders, then either (i) the chairperson of the meeting, or (ii)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ADJOURNED MEETING; NOTICE.</w:t>
      </w:r>
    </w:p>
    <w:p>
      <w:pPr>
        <w:spacing w:after="0" w:line="225"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person and vote at such adjourned meeting are announced at the meeting at which the adjournment is taken. At the continuation of the adjourned meeting, the corporation may transact any business which 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VOTING.</w:t>
      </w:r>
    </w:p>
    <w:p>
      <w:pPr>
        <w:sectPr>
          <w:pgSz w:w="11900" w:h="16838" w:orient="portrait"/>
          <w:cols w:equalWidth="0" w:num="1">
            <w:col w:w="11360"/>
          </w:cols>
          <w:pgMar w:left="240" w:top="125" w:right="299" w:bottom="32" w:gutter="0" w:footer="0" w:header="0"/>
        </w:sectPr>
      </w:pPr>
    </w:p>
    <w:bookmarkStart w:id="223" w:name="page224"/>
    <w:bookmarkEnd w:id="223"/>
    <w:p>
      <w:pPr>
        <w:ind w:right="80" w:firstLine="648"/>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STOCKHOLDER ACTION BY WRITTEN CONSENT WITHOUT A MEETING.</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8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65"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RECORD DATE FOR STOCKHOLDER NOTICE; VOTING; GIVING CONSENTS.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record date shall not precede the date on which the resolution fixing the record date is adopted and which shall not be more than sixty (60) nor less than ten (10) days before the date of such meeting, nor more than sixty (60) days prior to any other such action.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Board does not so fix a record date:</w:t>
      </w:r>
    </w:p>
    <w:p>
      <w:pPr>
        <w:spacing w:after="0" w:line="225" w:lineRule="exact"/>
        <w:rPr>
          <w:sz w:val="20"/>
          <w:szCs w:val="20"/>
          <w:color w:val="auto"/>
        </w:rPr>
      </w:pPr>
    </w:p>
    <w:p>
      <w:pPr>
        <w:ind w:left="660" w:firstLine="645"/>
        <w:spacing w:after="0" w:line="264" w:lineRule="auto"/>
        <w:tabs>
          <w:tab w:leader="none" w:pos="197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8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express consent to corporate action in writing without a meeting, when no prior action by the Board is necessary, shall be the day on which the first written consent is expressed.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997"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PROXIES.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LIST OF STOCKHOLDERS ENTITLED TO VOTE.</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w:t>
      </w:r>
    </w:p>
    <w:p>
      <w:pPr>
        <w:spacing w:after="0" w:line="2" w:lineRule="exact"/>
        <w:rPr>
          <w:sz w:val="20"/>
          <w:szCs w:val="20"/>
          <w:color w:val="auto"/>
        </w:rPr>
      </w:pPr>
    </w:p>
    <w:p>
      <w:pPr>
        <w:ind w:right="100" w:firstLine="8"/>
        <w:spacing w:after="0" w:line="268" w:lineRule="auto"/>
        <w:tabs>
          <w:tab w:leader="none" w:pos="34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days prior to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5"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225"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Subject to the provisions of the DGCL and any limitations in the certificate of incorporation or these bylaws relating to action required to be approved by the stockholders or by the outstanding shares, the business and affairs of the corporation shall be managed and all corporate powers shall be exercised by or under the direction of the Board.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NUMBER OF DIRECTORS.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authorized number of directors shall be determined from time to time by resolution of the Board, provided the Board shall consist of at least one member. No reduction of the authorized number of directors shall have the effect of removing any director before that director’s term of office expires.</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ELECTION, QUALIFICATION AND TERM OF OFFICE OF DIRECTORS.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Except as provided in Section 3.4 of these bylaws, directors shall be elected at each annual meeting of stockholders to hold office until the next annual meeting. Directors need not be stockholders unless so required by the certificate of incorporation or these bylaws. The certificate of incorporation or these bylaws may prescribe other qualifications for directors. Each director, including a director elected to fill a vacancy, shall hold office until such director’s successor is elected and qualified or until such director’s earlier death, resignation or removal.</w:t>
      </w:r>
    </w:p>
    <w:p>
      <w:pPr>
        <w:spacing w:after="0" w:line="187"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color w:val="auto"/>
        </w:rPr>
        <w:t>All elections of directors shall be by written ballot, unless otherwise provided in the certificate of incorporation; if authorized by the Board, such requirement of a written ballot shall be satisfied by a ballot submitted by electronic transmission, provided that any such electronic transmission must be either set forth or be submitted with information from which it can be determined that the electronic transmission authorized by the stockholder or proxy 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person entitled to vote at an election for directors may cumulate votes to which such person is entitled.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RESIGNATION AND VACANCIES.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director may resign at any time upon notice given in writing or by electronic 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left="660" w:right="80" w:firstLine="645"/>
        <w:spacing w:after="0" w:line="264" w:lineRule="auto"/>
        <w:tabs>
          <w:tab w:leader="none" w:pos="19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firstLine="645"/>
        <w:spacing w:after="0" w:line="286" w:lineRule="auto"/>
        <w:tabs>
          <w:tab w:leader="none" w:pos="198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6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If at any time, by reason of death or resignation or other cause, the corporation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If, at the time of filling any vacancy or any newly created directorship, the directors then in office constitute less than a majority of the whole Board (as constituted immediately prior to any such increase), then the Court of Chancery may, upon application of any stockholder or stockholders holding at least ten percent (10%) of the voting power of the total number of the shares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 of office of any director shall terminate upon that election of such director’s successor.</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PLACE OF MEETINGS; MEETINGS BY TELEPHONE.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REGULAR MEETINGS.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Regular meetings of the Board may be held without notice at such time and at such place as shall from time to time be determined by the Board.</w:t>
      </w:r>
    </w:p>
    <w:p>
      <w:pPr>
        <w:spacing w:after="0" w:line="2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SPECIAL MEETINGS; NOTICE.</w:t>
      </w:r>
    </w:p>
    <w:p>
      <w:pPr>
        <w:sectPr>
          <w:pgSz w:w="11900" w:h="16838" w:orient="portrait"/>
          <w:cols w:equalWidth="0" w:num="1">
            <w:col w:w="11400"/>
          </w:cols>
          <w:pgMar w:left="240" w:top="121" w:right="259" w:bottom="0" w:gutter="0" w:footer="0" w:header="0"/>
        </w:sectPr>
      </w:pPr>
    </w:p>
    <w:bookmarkStart w:id="225" w:name="page226"/>
    <w:bookmarkEnd w:id="225"/>
    <w:p>
      <w:pPr>
        <w:spacing w:after="0" w:line="3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a president, the secretary or any two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980" w:hanging="675"/>
        <w:spacing w:after="0"/>
        <w:tabs>
          <w:tab w:leader="none" w:pos="1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twenty-four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QUORUM.</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Unless the Certificate of Incorporation requires a greater number, at all meetings of the Board, a majority of the voting power of the total number of directors shall constitute a quorum for the transaction of business. The affirmative vote of a majority of the voting power of directors present at any meeting at which a quorum is present shall be the act of the Board, except as may be otherwise specifically provided by statute, the certificate of incorporation or these bylaws; </w:t>
      </w:r>
      <w:r>
        <w:rPr>
          <w:rFonts w:ascii="Arial" w:cs="Arial" w:eastAsia="Arial" w:hAnsi="Arial"/>
          <w:sz w:val="18"/>
          <w:szCs w:val="18"/>
          <w:i w:val="1"/>
          <w:iCs w:val="1"/>
          <w:color w:val="auto"/>
        </w:rPr>
        <w:t>provided, however</w:t>
      </w:r>
      <w:r>
        <w:rPr>
          <w:rFonts w:ascii="Arial" w:cs="Arial" w:eastAsia="Arial" w:hAnsi="Arial"/>
          <w:sz w:val="18"/>
          <w:szCs w:val="18"/>
          <w:color w:val="auto"/>
        </w:rPr>
        <w:t>, at any meeting, whether a quorum be present or otherwise, a majority of the voting power of directors present may adjourn from time to time until the time fixed for the next regular meeting of the Board, without notice other than by announcement at a meeting. If a quorum is not present at any meeting of the Board, then the directors present thereat may adjourn the meeting from time to time, without notice other than announcement at the meeting, until a quorum is present.</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meeting at which a quorum is initially present may continue to transact business notwithstanding the withdrawal of directors, if any action taken is approved by at least a majority of the required quorum for that meeting.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BOARD ACTION BY WRITTEN CONSENT WITHOUT A MEETING.</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FEES AND COMPENSATION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Unless otherwise restricted by the certificate of incorporation or these bylaws, the Board shall have the authority to fix the compensation of directors.</w:t>
      </w:r>
    </w:p>
    <w:p>
      <w:pPr>
        <w:spacing w:after="0" w:line="248"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APPROVAL OF LOANS TO OFFICERS.</w:t>
      </w:r>
    </w:p>
    <w:p>
      <w:pPr>
        <w:spacing w:after="0" w:line="225"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corporation may lend money to, or guarantee any obligation of, or otherwise assist any officer or other employee of the corporation or of its subsidiary, including any officer or employee who is a director of the corporation or its subsidiary, whenever, in the judgment of the Board, such loan, guaranty or assistance may reasonably be expected to benefit the corporation. The loan, guaranty or other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assistance may be with or without interest and may be unsecured, or secured in such manner as the Board shall approve, including, without limitation, a pledge of shares of stock of the corporation.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REMOVAL OF DIRECTORS.</w:t>
      </w:r>
    </w:p>
    <w:p>
      <w:pPr>
        <w:spacing w:after="0" w:line="225"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Unless otherwise restricted by statute, the certificate of incorporation or these bylaws, any director or the entire Board may be removed, with or without cause, by the holders of shares in the aggregate entitled to cast not less than a majority of the voting power of the total number of shares of capital stock of the Company then entitled to vote at an election of directors.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 term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office.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w:t>
      </w:r>
    </w:p>
    <w:p>
      <w:pPr>
        <w:sectPr>
          <w:pgSz w:w="11900" w:h="16870" w:orient="portrait"/>
          <w:cols w:equalWidth="0" w:num="1">
            <w:col w:w="11420"/>
          </w:cols>
          <w:pgMar w:left="240" w:top="341" w:right="239" w:bottom="0" w:gutter="0" w:footer="0" w:header="0"/>
        </w:sectPr>
      </w:pPr>
    </w:p>
    <w:bookmarkStart w:id="226" w:name="page227"/>
    <w:bookmarkEnd w:id="226"/>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COMMITTEES OF DIRECTORS.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COMMITTEE MINUTES.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MEETINGS AND ACTION OF COMMITTEES.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980" w:hanging="675"/>
        <w:spacing w:after="0"/>
        <w:tabs>
          <w:tab w:leader="none" w:pos="1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Section 3.8 (quorum);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Section 7.13 (waiver of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such changes in the context of those bylaws as are necessary to substitute the committee and its members for the Board and its members.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the foregoing:</w:t>
      </w:r>
    </w:p>
    <w:p>
      <w:pPr>
        <w:spacing w:after="0" w:line="225" w:lineRule="exact"/>
        <w:rPr>
          <w:sz w:val="20"/>
          <w:szCs w:val="20"/>
          <w:color w:val="auto"/>
        </w:rPr>
      </w:pPr>
    </w:p>
    <w:p>
      <w:pPr>
        <w:ind w:left="1980" w:hanging="675"/>
        <w:spacing w:after="0"/>
        <w:tabs>
          <w:tab w:leader="none" w:pos="198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time of regular meetings of committees may be determined either by resolution of the Board or by resolution of the committee;</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660" w:right="260" w:firstLine="645"/>
        <w:spacing w:after="0" w:line="342" w:lineRule="auto"/>
        <w:tabs>
          <w:tab w:leader="none" w:pos="1973" w:val="left"/>
        </w:tabs>
        <w:numPr>
          <w:ilvl w:val="0"/>
          <w:numId w:val="182"/>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22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The officers of the corporation shall be a Chief Executive Officer and a secretary. The corporation may also have, at the discretion of the Board, a chairperson of the Board, a vice chairperson of the Board, one or more presidents, a chief financial officer, a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APPOINTMENT OF OFFICERS.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Sections 5.3 and 5.5 of these bylaws, subject to the rights, if any, of an officer under any contract of employment.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SUBORDINATE OFFICERS.</w:t>
      </w:r>
    </w:p>
    <w:p>
      <w:pPr>
        <w:spacing w:after="0" w:line="225" w:lineRule="exact"/>
        <w:rPr>
          <w:sz w:val="20"/>
          <w:szCs w:val="20"/>
          <w:color w:val="auto"/>
        </w:rPr>
      </w:pPr>
    </w:p>
    <w:p>
      <w:pPr>
        <w:jc w:val="both"/>
        <w:ind w:right="320" w:firstLine="648"/>
        <w:spacing w:after="0" w:line="286"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one or more presidents,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REMOVAL AND RESIGNATION OF OFFICERS.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at any regular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41" w:right="239" w:bottom="0" w:gutter="0" w:footer="0" w:header="0"/>
        </w:sectPr>
      </w:pPr>
    </w:p>
    <w:bookmarkStart w:id="227" w:name="page228"/>
    <w:bookmarkEnd w:id="22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special meeting of the Board or, except in the case of an officer chosen by the Board, by any officer upon whom such power of removal may be conferred by the Board.</w:t>
      </w:r>
    </w:p>
    <w:p>
      <w:pPr>
        <w:spacing w:after="0" w:line="170"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4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VACANCIES IN OFFICES.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CHAIRPERSON OF THE BOARD.</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chairperson of the Board, if such an officer be elected, shall, if present, preside at meetings of the Board and exercise and perform such other powers and duties as may from time to time be assigned to him by the Board or as may be prescribed by these bylaws. If there is no chief executive officer or president, then the chairperson of the Board shall also be the chief executive officer of the corporation and shall have the powers and duties prescribed in Section 5.7 of these bylaws.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CHIEF EXECUTIVE OFFICER.</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Subject to such supervisory powers, if any, as the Board may give to the chairperson of the Board, the chief executive officer, if any, shall, subject to the control of the Board, have general supervision, direction, and control of the business and affairs of the corporation and shall report directly to the Board. All other officers, officials, employees and agents shall report directly or indirectly to the chief executive officer. The chief executive officer shall see that all orders and resolutions of the Board are carried into effect. The chief executive officer shall serve as chairperson of and preside at all meetings of the stockholders. In the absence of a chairperson of the Board, the chief executive officer shall preside at all meetings of the Board.</w:t>
      </w:r>
    </w:p>
    <w:p>
      <w:pPr>
        <w:spacing w:after="0" w:line="15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PRESIDENT.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absence or disability of the chief executive officer, a president shall perform all the duties of the chief executive officer. When acting as the chief executive officer, a president shall have all the powers of and be subject to all the restrictions upon, the chief executive officer. A president shall have such other powers and perform such other duties as from time to time may be prescribed for him by the Board, these bylaws, the chief executive officer or the chairperson of the Board.</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color w:val="auto"/>
        </w:rPr>
        <w:t>VICE PRESIDENTS.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absence or disability of any president, the vice presidents, if any, in order of their rank as fixed by the Board or, if not ranked, a vice president designated by the Board, shall perform all the duties of a president. When acting as a president, the appropriate vice president shall have all the powers of and be subject to all the restrictions upon, that president. The vice presidents shall have such other powers and perform such other duties as from time to time may be prescribed for them respectively by the Board, these bylaws, the chairperson of the Board, the chief executive officer or, in the absence of a chief executive officer, one of more of the presidents.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color w:val="auto"/>
        </w:rPr>
        <w:t>SECRETARY.</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such other place as the Board may direct, a book of minutes of all meetings and actions of directors, committees of directors, and stockholders. The minutes shall show:</w:t>
      </w:r>
    </w:p>
    <w:p>
      <w:pPr>
        <w:spacing w:after="0" w:line="170" w:lineRule="exact"/>
        <w:rPr>
          <w:sz w:val="20"/>
          <w:szCs w:val="20"/>
          <w:color w:val="auto"/>
        </w:rPr>
      </w:pPr>
    </w:p>
    <w:p>
      <w:pPr>
        <w:ind w:left="1980" w:hanging="675"/>
        <w:spacing w:after="0"/>
        <w:tabs>
          <w:tab w:leader="none" w:pos="1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time and place of each meeting;</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whether regular or special (and, if special, how authorized and the notice given);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names of those present at directors’ meetings or committee meetings;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number of shares present or represented at stockholders’ meetings;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and the proceedings thereof.</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secretary shall keep, or cause to be kept, at the principal executive office of the corporation or at the office of the corporation’s transfer agent or registrar, as determined by resolution of the Board, a share register, or a duplicate share register showing:</w:t>
      </w:r>
    </w:p>
    <w:p>
      <w:pPr>
        <w:spacing w:after="0" w:line="170" w:lineRule="exact"/>
        <w:rPr>
          <w:sz w:val="20"/>
          <w:szCs w:val="20"/>
          <w:color w:val="auto"/>
        </w:rPr>
      </w:pPr>
    </w:p>
    <w:p>
      <w:pPr>
        <w:ind w:left="1980" w:hanging="675"/>
        <w:spacing w:after="0"/>
        <w:tabs>
          <w:tab w:leader="none" w:pos="1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names of all stockholders and their addresses;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number and classes of shares held by each:</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number and date of certificates evidencing such shares;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number and date of cancellation of every certificate surrendered for cancellation.</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secretary shall give, or cause to be given, notice of all meetings of the stockholders and of the Board required to be given by law or by these bylaws. The secretary shall keep the seal of the corporation, if one be adopted, in safe custody and shall have such other powers and perform such other duties as may be prescribed by the Board or by these bylaws.</w:t>
      </w:r>
    </w:p>
    <w:p>
      <w:pPr>
        <w:sectPr>
          <w:pgSz w:w="11900" w:h="16838" w:orient="portrait"/>
          <w:cols w:equalWidth="0" w:num="1">
            <w:col w:w="11400"/>
          </w:cols>
          <w:pgMar w:left="240" w:top="733" w:right="259" w:bottom="0" w:gutter="0" w:footer="0" w:header="0"/>
        </w:sectPr>
      </w:pPr>
    </w:p>
    <w:bookmarkStart w:id="228" w:name="page229"/>
    <w:bookmarkEnd w:id="228"/>
    <w:p>
      <w:pPr>
        <w:ind w:left="660"/>
        <w:spacing w:after="0"/>
        <w:tabs>
          <w:tab w:leader="none" w:pos="126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color w:val="auto"/>
        </w:rPr>
        <w:t>CHIEF FINANCIAL OFFICER.</w:t>
      </w:r>
    </w:p>
    <w:p>
      <w:pPr>
        <w:spacing w:after="0" w:line="225"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chief financial officer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chief financial officer shall deposit all moneys and other valuables in the name and to the credit of the corporation with such depositories as the Board may designate. The chief financial officer shall disburse the funds of the corporation as may be ordered by the Board, shall render to the chief executive officer or, in the absence of a chief executive officer, any president and directors, whenever they request it, an account of all his or her transactions as chief financial officer and of the financial condition of the corporation, and shall have other powers and perform such other duties as may be prescribed by the Board or these bylaws.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chief financial officer may be the treasurer of the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TREASURER</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treasurer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books of account shall at all reasonable times be open to inspection by any director.</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treasurer shall deposit all moneys and other valuables in the name and to the credit of the corporation with such depositories as the Board may designate. The treasurer shall disburse the funds of the corporation as may be ordered by the Board, shall render to the chief executive officer or, in the absence of a chief executive officer, one or more of the presidents and directors, whenever they request it, an account of all his or her transactions as treasurer and of the financial condition of the corporation, and shall have other powers and perform such other duties as may be prescribed by the Board or these bylaws.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ASSISTANT SECRETARY.</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assistant secretary, or, if there is more than one, the assistant secretaries in the order determined by the stockholders or Board (or if there be no such determination, then in the order of their election) shall, in the absence of the secretary or in the event of the secretary’s inability or refusal to act, perform the duties and exercise the powers of the secretary and shall perform such other duties and have such other powers as may be prescribed by the Board or these bylaws.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7"/>
          <w:szCs w:val="17"/>
          <w:color w:val="auto"/>
        </w:rPr>
        <w:t>ASSISTANT TREASURER.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assistant treasurer, or, if there is more than one, the assistant treasurers, in the order determined by the stockholders or Board (or if there be no such determination, then in the order of their election), shall, in the absence of the chief financial officer or in the event of the chief financial officer’s inability or refusal to act, perform the duties and exercise the powers of the chief financial officer and shall perform such other duties and have such other powers as may be prescribed by the Board or these bylaws.</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REPRESENTATION OF SHARES OF OTHER CORPORATIONS.</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chairperson of the Board, any president, any vice president, the treasurer, the secretary or assistant secretary of this corporation, or any other person authorized by the Board or a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7"/>
          <w:szCs w:val="17"/>
          <w:color w:val="auto"/>
        </w:rPr>
        <w:t>AUTHORITY AND DUTIES OF OFFICERS.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In addition to the foregoing authority and duties, all officers of the corporation shall respectively have such authority and perform such duties in the management of the business of the corporation as may be designated from time to time by the Board or the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RECORDS AND REPORTS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MAINTENANCE AND INSPECTION OF RECORDS.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 reasonably related to such person’s interest as a stockholder. In every instance where an attorney or other agent is the person who seeks the right to inspection, the demand under oath shall be accompanied by a power of attorney</w:t>
      </w:r>
    </w:p>
    <w:p>
      <w:pPr>
        <w:sectPr>
          <w:pgSz w:w="11900" w:h="16838" w:orient="portrait"/>
          <w:cols w:equalWidth="0" w:num="1">
            <w:col w:w="11420"/>
          </w:cols>
          <w:pgMar w:left="240" w:top="342" w:right="239" w:bottom="0" w:gutter="0" w:footer="0" w:header="0"/>
        </w:sectPr>
      </w:pPr>
    </w:p>
    <w:bookmarkStart w:id="229" w:name="page230"/>
    <w:bookmarkEnd w:id="229"/>
    <w:p>
      <w:pPr>
        <w:ind w:right="700"/>
        <w:spacing w:after="0" w:line="277" w:lineRule="auto"/>
        <w:rPr>
          <w:sz w:val="20"/>
          <w:szCs w:val="20"/>
          <w:color w:val="auto"/>
        </w:rPr>
      </w:pPr>
      <w:r>
        <w:rPr>
          <w:rFonts w:ascii="Arial" w:cs="Arial" w:eastAsia="Arial" w:hAnsi="Arial"/>
          <w:sz w:val="18"/>
          <w:szCs w:val="18"/>
          <w:color w:val="auto"/>
        </w:rPr>
        <w:t>or such other writing that authorizes the attorney or other agent so to act on behalf of the stockholder. The demand under oath shall be directed to the corporation at its registered office in Delaware or at its principal executive office.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INSPECTION BY DIRECTORS.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MATTERS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CHECKS.</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From time to time, the Board shall determine by resolution which person or persons may sign or endorse all checks, drafts, other orders for payment of money, notes or other evidences of indebtedness that are issued in the name of or payable to the corporation, and only the persons so authorized shall sign or endorse those instruments.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EXECUTION OF CORPORATE CONTRACTS AND INSTRUMENTS.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STOCK CERTIFICATES; PARTLY PAID SHARES.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shares of the corporation shall be represented by certificates, provided that the Board 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by, or in the name of the corporation by the chairperson or vice-chairperson of the Board, or a president or vice-president, and by the treasurer or an assistant treasurer, or the secretary or an assistant secretary of such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were such officer, transfer agent or registrar at the date of issue.</w:t>
      </w:r>
    </w:p>
    <w:p>
      <w:pPr>
        <w:spacing w:after="0" w:line="19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SPECIAL DESIGNATION ON CERTIFICATES.</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provided, however,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LOST CERTIFICATES.</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Except as provided in this Section 7.5,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7"/>
          <w:szCs w:val="17"/>
          <w:color w:val="auto"/>
        </w:rPr>
        <w:t>CONSTRUCTION; DEFINITIONS.</w:t>
      </w:r>
    </w:p>
    <w:p>
      <w:pPr>
        <w:sectPr>
          <w:pgSz w:w="11900" w:h="16838" w:orient="portrait"/>
          <w:cols w:equalWidth="0" w:num="1">
            <w:col w:w="11420"/>
          </w:cols>
          <w:pgMar w:left="240" w:top="125" w:right="239" w:bottom="32" w:gutter="0" w:footer="0" w:header="0"/>
        </w:sectPr>
      </w:pPr>
    </w:p>
    <w:bookmarkStart w:id="230" w:name="page231"/>
    <w:bookmarkEnd w:id="230"/>
    <w:p>
      <w:pPr>
        <w:ind w:right="140" w:firstLine="648"/>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Arial" w:cs="Arial" w:eastAsia="Arial" w:hAnsi="Arial"/>
          <w:sz w:val="18"/>
          <w:szCs w:val="18"/>
          <w:b w:val="1"/>
          <w:bCs w:val="1"/>
          <w:color w:val="auto"/>
        </w:rPr>
        <w:t>person</w:t>
      </w:r>
      <w:r>
        <w:rPr>
          <w:rFonts w:ascii="Arial" w:cs="Arial" w:eastAsia="Arial" w:hAnsi="Arial"/>
          <w:sz w:val="18"/>
          <w:szCs w:val="18"/>
          <w:color w:val="auto"/>
        </w:rPr>
        <w:t>” includes both a corporation and a natural person.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DIVIDENDS.</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FISCAL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SEAL.</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color w:val="auto"/>
        </w:rPr>
        <w:t>TRANSFER OF STOCK.</w:t>
      </w:r>
    </w:p>
    <w:p>
      <w:pPr>
        <w:spacing w:after="0" w:line="225"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in its books.</w:t>
      </w:r>
    </w:p>
    <w:p>
      <w:pPr>
        <w:spacing w:after="0" w:line="18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7.11</w:t>
      </w:r>
      <w:r>
        <w:rPr>
          <w:sz w:val="20"/>
          <w:szCs w:val="20"/>
          <w:color w:val="auto"/>
        </w:rPr>
        <w:tab/>
      </w:r>
      <w:r>
        <w:rPr>
          <w:rFonts w:ascii="Arial" w:cs="Arial" w:eastAsia="Arial" w:hAnsi="Arial"/>
          <w:sz w:val="17"/>
          <w:szCs w:val="17"/>
          <w:color w:val="auto"/>
        </w:rPr>
        <w:t>STOCK TRANSFER AGREEMENTS.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6"/>
          <w:szCs w:val="16"/>
          <w:color w:val="auto"/>
        </w:rPr>
        <w:t>REGISTERED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left="660" w:right="20" w:firstLine="645"/>
        <w:spacing w:after="0" w:line="277" w:lineRule="auto"/>
        <w:tabs>
          <w:tab w:leader="none" w:pos="1978"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shall be entitled to hold liable for calls and assessments the person registered on its books as the owner of shares; and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00" w:firstLine="645"/>
        <w:spacing w:after="0" w:line="277" w:lineRule="auto"/>
        <w:tabs>
          <w:tab w:leader="none" w:pos="199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7"/>
          <w:szCs w:val="17"/>
          <w:color w:val="auto"/>
        </w:rPr>
        <w:t>WAIVER OF NOTICE.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NOTICE BY ELECTRONIC TRANSMISSION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NOTICE BY ELECTRONIC TRANSMISSION.</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w:t>
      </w:r>
    </w:p>
    <w:p>
      <w:pPr>
        <w:spacing w:after="0" w:line="171" w:lineRule="exact"/>
        <w:rPr>
          <w:sz w:val="20"/>
          <w:szCs w:val="20"/>
          <w:color w:val="auto"/>
        </w:rPr>
      </w:pPr>
    </w:p>
    <w:p>
      <w:pPr>
        <w:ind w:left="1980" w:hanging="675"/>
        <w:spacing w:after="0"/>
        <w:tabs>
          <w:tab w:leader="none" w:pos="19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corporation is unable to deliver by electronic transmission two consecutive notices given by the corporation in accordance with</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consent; and</w:t>
      </w:r>
    </w:p>
    <w:p>
      <w:pPr>
        <w:spacing w:after="0" w:line="210" w:lineRule="exact"/>
        <w:rPr>
          <w:rFonts w:ascii="Arial" w:cs="Arial" w:eastAsia="Arial" w:hAnsi="Arial"/>
          <w:sz w:val="16"/>
          <w:szCs w:val="16"/>
          <w:color w:val="auto"/>
        </w:rPr>
      </w:pPr>
    </w:p>
    <w:p>
      <w:pPr>
        <w:ind w:left="660" w:right="140" w:firstLine="645"/>
        <w:spacing w:after="0" w:line="277" w:lineRule="auto"/>
        <w:tabs>
          <w:tab w:leader="none" w:pos="198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corporation or to the transfer agent, or other person responsible for the giving of notice.</w:t>
      </w:r>
    </w:p>
    <w:p>
      <w:pPr>
        <w:sectPr>
          <w:pgSz w:w="11900" w:h="16838" w:orient="portrait"/>
          <w:cols w:equalWidth="0" w:num="1">
            <w:col w:w="11400"/>
          </w:cols>
          <w:pgMar w:left="240" w:top="125" w:right="259" w:bottom="0" w:gutter="0" w:footer="0" w:header="0"/>
        </w:sectPr>
      </w:pPr>
    </w:p>
    <w:bookmarkStart w:id="231" w:name="page232"/>
    <w:bookmarkEnd w:id="231"/>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980" w:hanging="675"/>
        <w:spacing w:after="0"/>
        <w:tabs>
          <w:tab w:leader="none" w:pos="19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if by facsimile telecommunication, when directed to a number at which the stockholder has consented to receive notice;</w:t>
      </w:r>
    </w:p>
    <w:p>
      <w:pPr>
        <w:spacing w:after="0" w:line="236" w:lineRule="exact"/>
        <w:rPr>
          <w:rFonts w:ascii="Arial" w:cs="Arial" w:eastAsia="Arial" w:hAnsi="Arial"/>
          <w:sz w:val="17"/>
          <w:szCs w:val="17"/>
          <w:color w:val="auto"/>
        </w:rPr>
      </w:pPr>
    </w:p>
    <w:p>
      <w:pPr>
        <w:ind w:left="1980" w:hanging="675"/>
        <w:spacing w:after="0"/>
        <w:tabs>
          <w:tab w:leader="none" w:pos="1980" w:val="left"/>
        </w:tabs>
        <w:numPr>
          <w:ilvl w:val="1"/>
          <w:numId w:val="188"/>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236" w:lineRule="exact"/>
        <w:rPr>
          <w:rFonts w:ascii="Arial" w:cs="Arial" w:eastAsia="Arial" w:hAnsi="Arial"/>
          <w:sz w:val="17"/>
          <w:szCs w:val="17"/>
          <w:color w:val="auto"/>
        </w:rPr>
      </w:pPr>
    </w:p>
    <w:p>
      <w:pPr>
        <w:ind w:left="2000" w:hanging="695"/>
        <w:spacing w:after="0"/>
        <w:tabs>
          <w:tab w:leader="none" w:pos="200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960" w:hanging="304"/>
        <w:spacing w:after="0"/>
        <w:tabs>
          <w:tab w:leader="none" w:pos="9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DEFINITION OF ELECTRONIC TRANSMISSION.</w:t>
      </w:r>
    </w:p>
    <w:p>
      <w:pPr>
        <w:spacing w:after="0" w:line="221"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INAPPLICABILITY.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INDEMNIFICATION OF DIRECTORS AND OFFICERS.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corporation shall indemnify and hold harmless, to the fullest extent permitted by applicable law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or a person for whom he or she is the legal representative, is or was a director, officer,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 The corporation shall be required to indemnify a person in connection with a proceeding initiated by such person only if the proceeding was authorized by the Board of the corporation.</w:t>
      </w:r>
    </w:p>
    <w:p>
      <w:pPr>
        <w:spacing w:after="0" w:line="1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INDEMNIFICATION OF OTHERS.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action, suit or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action, suit, or proceeding.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PREPAYMENT OF EXPENSES.</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corporation shall pay the expenses incurred by any officer or director of the corporation, and may pay the expenses incurred by any employee or agent of the corporation, in defending any proceeding in advance of its final disposition; provided, however, that the payment of expenses incurred by a person in advance of the final disposition of the proceeding shall be made only upon receipt of an undertaking by the person to repay all amounts advanced if it should be ultimately determined that the person is not entitled to be indemnified under this Article 9 or otherwise.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DETERMINATION; CLAIM.</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a claim for indemnification or payment of expenses under this Article 9 is not paid in full within sixty days after a written claim therefor has been received by the corporation the claimant may file suit to recover the unpaid amount of such claim and, if successful in whole or in part, shall be entitled to be paid the expense of prosecuting such claim. In any such action the corporation shall have the burden of proving that the claimant was not entitled to the requested indemnification or payment of expenses under applicable law.</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NON-EXCLUSIVITY OF RIGHTS.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rights conferred on any person by this Article 9 shall not be exclusive of any other rights which such person may have or hereafter acquire under any statute, provision of the certificate of incorporation, these bylaws, agreement, vote of stockholders or disinterested directors or otherwise.</w:t>
      </w:r>
    </w:p>
    <w:p>
      <w:pPr>
        <w:sectPr>
          <w:pgSz w:w="11900" w:h="16953" w:orient="portrait"/>
          <w:cols w:equalWidth="0" w:num="1">
            <w:col w:w="11420"/>
          </w:cols>
          <w:pgMar w:left="240" w:top="125" w:right="239" w:bottom="0" w:gutter="0" w:footer="0" w:header="0"/>
        </w:sectPr>
      </w:pPr>
    </w:p>
    <w:bookmarkStart w:id="232" w:name="page233"/>
    <w:bookmarkEnd w:id="232"/>
    <w:p>
      <w:pPr>
        <w:ind w:left="660"/>
        <w:spacing w:after="0"/>
        <w:tabs>
          <w:tab w:leader="none" w:pos="128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color w:val="auto"/>
        </w:rPr>
        <w:t>INSURANCE.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General Corporation Law of Delaware.</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7"/>
          <w:szCs w:val="17"/>
          <w:color w:val="auto"/>
        </w:rPr>
        <w:t>OTHER INDEMNIFICATION.</w:t>
      </w:r>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corporation’s obligation, if any, to indemnify any person who was or is serving at its request as a director, officer, employee or agent of another corporation, partnership, joint venture, trust, enterprise or non-profit entity shall be reduced by any amount such person may collect as indemnification from such other corporation, partnership, joint venture, trust, enterprise or non-profit enterprise.</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7"/>
          <w:szCs w:val="17"/>
          <w:color w:val="auto"/>
        </w:rPr>
        <w:t>AMENDMENT OR REPEAL.</w:t>
      </w:r>
    </w:p>
    <w:p>
      <w:pPr>
        <w:spacing w:after="0" w:line="225"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Any repeal or modification of the foregoing provisions of this Article 9 shall not adversely affect any right or protection hereunder of any person in respect of any act or omission occurring prior to the time of such repeal or modification.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corporation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SECRETARY</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 HEREBY CERTIFY THAT: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 am the duly elected and acting Secretary of </w:t>
      </w:r>
      <w:r>
        <w:rPr>
          <w:rFonts w:ascii="Arial" w:cs="Arial" w:eastAsia="Arial" w:hAnsi="Arial"/>
          <w:sz w:val="18"/>
          <w:szCs w:val="18"/>
          <w:b w:val="1"/>
          <w:bCs w:val="1"/>
          <w:color w:val="auto"/>
        </w:rPr>
        <w:t>MONGODB,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Attached hereto is a complete and accurate copy of the Amended and Restated Bylaws of the Company as duly adopted by the Board of Directors by Unanimous Written Consent dated November 17, 2016 and said Amended and Restated Bylaws are presently in effect.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Signed on November 17, 2016.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Andrew Stephens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Stephens,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8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Exhibit 4.2</w:t>
            </w:r>
          </w:p>
        </w:tc>
      </w:tr>
      <w:tr>
        <w:trPr>
          <w:trHeight w:val="414"/>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FIFTH AMENDED AND RESTATED</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rPr>
              <w:t>INVESTORS’ RIGHTS AGREEMENT</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4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91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780"/>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58"/>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Registration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418"/>
        </w:trPr>
        <w:tc>
          <w:tcPr>
            <w:tcW w:w="40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2.1</w:t>
            </w:r>
          </w:p>
        </w:tc>
        <w:tc>
          <w:tcPr>
            <w:tcW w:w="9180" w:type="dxa"/>
            <w:vAlign w:val="bottom"/>
          </w:tcPr>
          <w:p>
            <w:pPr>
              <w:ind w:left="180"/>
              <w:spacing w:after="0"/>
              <w:rPr>
                <w:sz w:val="20"/>
                <w:szCs w:val="20"/>
                <w:color w:val="auto"/>
              </w:rPr>
            </w:pPr>
            <w:r>
              <w:rPr>
                <w:rFonts w:ascii="Arial" w:cs="Arial" w:eastAsia="Arial" w:hAnsi="Arial"/>
                <w:sz w:val="18"/>
                <w:szCs w:val="18"/>
                <w:color w:val="auto"/>
              </w:rPr>
              <w:t>Demand Registration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2.2</w:t>
            </w:r>
          </w:p>
        </w:tc>
        <w:tc>
          <w:tcPr>
            <w:tcW w:w="9180" w:type="dxa"/>
            <w:vAlign w:val="bottom"/>
          </w:tcPr>
          <w:p>
            <w:pPr>
              <w:ind w:left="180"/>
              <w:spacing w:after="0"/>
              <w:rPr>
                <w:sz w:val="20"/>
                <w:szCs w:val="20"/>
                <w:color w:val="auto"/>
              </w:rPr>
            </w:pPr>
            <w:r>
              <w:rPr>
                <w:rFonts w:ascii="Arial" w:cs="Arial" w:eastAsia="Arial" w:hAnsi="Arial"/>
                <w:sz w:val="18"/>
                <w:szCs w:val="18"/>
                <w:color w:val="auto"/>
              </w:rPr>
              <w:t>Company Registration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2.3</w:t>
            </w:r>
          </w:p>
        </w:tc>
        <w:tc>
          <w:tcPr>
            <w:tcW w:w="9180" w:type="dxa"/>
            <w:vAlign w:val="bottom"/>
          </w:tcPr>
          <w:p>
            <w:pPr>
              <w:ind w:left="180"/>
              <w:spacing w:after="0"/>
              <w:rPr>
                <w:sz w:val="20"/>
                <w:szCs w:val="20"/>
                <w:color w:val="auto"/>
              </w:rPr>
            </w:pPr>
            <w:r>
              <w:rPr>
                <w:rFonts w:ascii="Arial" w:cs="Arial" w:eastAsia="Arial" w:hAnsi="Arial"/>
                <w:sz w:val="18"/>
                <w:szCs w:val="18"/>
                <w:color w:val="auto"/>
              </w:rPr>
              <w:t>Underwriting Requirements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2.4</w:t>
            </w:r>
          </w:p>
        </w:tc>
        <w:tc>
          <w:tcPr>
            <w:tcW w:w="9180" w:type="dxa"/>
            <w:vAlign w:val="bottom"/>
          </w:tcPr>
          <w:p>
            <w:pPr>
              <w:ind w:left="180"/>
              <w:spacing w:after="0"/>
              <w:rPr>
                <w:sz w:val="20"/>
                <w:szCs w:val="20"/>
                <w:color w:val="auto"/>
              </w:rPr>
            </w:pPr>
            <w:r>
              <w:rPr>
                <w:rFonts w:ascii="Arial" w:cs="Arial" w:eastAsia="Arial" w:hAnsi="Arial"/>
                <w:sz w:val="18"/>
                <w:szCs w:val="18"/>
                <w:color w:val="auto"/>
              </w:rPr>
              <w:t>Obligations of the Company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2.5</w:t>
            </w:r>
          </w:p>
        </w:tc>
        <w:tc>
          <w:tcPr>
            <w:tcW w:w="9180" w:type="dxa"/>
            <w:vAlign w:val="bottom"/>
          </w:tcPr>
          <w:p>
            <w:pPr>
              <w:ind w:left="180"/>
              <w:spacing w:after="0"/>
              <w:rPr>
                <w:sz w:val="20"/>
                <w:szCs w:val="20"/>
                <w:color w:val="auto"/>
              </w:rPr>
            </w:pPr>
            <w:r>
              <w:rPr>
                <w:rFonts w:ascii="Arial" w:cs="Arial" w:eastAsia="Arial" w:hAnsi="Arial"/>
                <w:sz w:val="18"/>
                <w:szCs w:val="18"/>
                <w:color w:val="auto"/>
              </w:rPr>
              <w:t>Furnish Information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2.6</w:t>
            </w:r>
          </w:p>
        </w:tc>
        <w:tc>
          <w:tcPr>
            <w:tcW w:w="9180" w:type="dxa"/>
            <w:vAlign w:val="bottom"/>
          </w:tcPr>
          <w:p>
            <w:pPr>
              <w:ind w:left="180"/>
              <w:spacing w:after="0"/>
              <w:rPr>
                <w:sz w:val="20"/>
                <w:szCs w:val="20"/>
                <w:color w:val="auto"/>
              </w:rPr>
            </w:pPr>
            <w:r>
              <w:rPr>
                <w:rFonts w:ascii="Arial" w:cs="Arial" w:eastAsia="Arial" w:hAnsi="Arial"/>
                <w:sz w:val="18"/>
                <w:szCs w:val="18"/>
                <w:color w:val="auto"/>
              </w:rPr>
              <w:t>Expenses of Registration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2.7</w:t>
            </w:r>
          </w:p>
        </w:tc>
        <w:tc>
          <w:tcPr>
            <w:tcW w:w="9180" w:type="dxa"/>
            <w:vAlign w:val="bottom"/>
          </w:tcPr>
          <w:p>
            <w:pPr>
              <w:ind w:left="180"/>
              <w:spacing w:after="0"/>
              <w:rPr>
                <w:sz w:val="20"/>
                <w:szCs w:val="20"/>
                <w:color w:val="auto"/>
              </w:rPr>
            </w:pPr>
            <w:r>
              <w:rPr>
                <w:rFonts w:ascii="Arial" w:cs="Arial" w:eastAsia="Arial" w:hAnsi="Arial"/>
                <w:sz w:val="18"/>
                <w:szCs w:val="18"/>
                <w:color w:val="auto"/>
              </w:rPr>
              <w:t>Delay of Registration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2.8</w:t>
            </w:r>
          </w:p>
        </w:tc>
        <w:tc>
          <w:tcPr>
            <w:tcW w:w="918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2.9</w:t>
            </w:r>
          </w:p>
        </w:tc>
        <w:tc>
          <w:tcPr>
            <w:tcW w:w="9180" w:type="dxa"/>
            <w:vAlign w:val="bottom"/>
          </w:tcPr>
          <w:p>
            <w:pPr>
              <w:ind w:left="180"/>
              <w:spacing w:after="0"/>
              <w:rPr>
                <w:sz w:val="20"/>
                <w:szCs w:val="20"/>
                <w:color w:val="auto"/>
              </w:rPr>
            </w:pPr>
            <w:r>
              <w:rPr>
                <w:rFonts w:ascii="Arial" w:cs="Arial" w:eastAsia="Arial" w:hAnsi="Arial"/>
                <w:sz w:val="18"/>
                <w:szCs w:val="18"/>
                <w:color w:val="auto"/>
              </w:rPr>
              <w:t>Reports Under Exchange Act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2.10</w:t>
            </w:r>
          </w:p>
        </w:tc>
        <w:tc>
          <w:tcPr>
            <w:tcW w:w="9180" w:type="dxa"/>
            <w:vAlign w:val="bottom"/>
          </w:tcPr>
          <w:p>
            <w:pPr>
              <w:ind w:left="180"/>
              <w:spacing w:after="0"/>
              <w:rPr>
                <w:sz w:val="20"/>
                <w:szCs w:val="20"/>
                <w:color w:val="auto"/>
              </w:rPr>
            </w:pPr>
            <w:r>
              <w:rPr>
                <w:rFonts w:ascii="Arial" w:cs="Arial" w:eastAsia="Arial" w:hAnsi="Arial"/>
                <w:sz w:val="18"/>
                <w:szCs w:val="18"/>
                <w:color w:val="auto"/>
              </w:rPr>
              <w:t>Limitations on Subsequent Registration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2.11</w:t>
            </w:r>
          </w:p>
        </w:tc>
        <w:tc>
          <w:tcPr>
            <w:tcW w:w="9180" w:type="dxa"/>
            <w:vAlign w:val="bottom"/>
          </w:tcPr>
          <w:p>
            <w:pPr>
              <w:ind w:left="180"/>
              <w:spacing w:after="0"/>
              <w:rPr>
                <w:sz w:val="20"/>
                <w:szCs w:val="20"/>
                <w:color w:val="auto"/>
              </w:rPr>
            </w:pPr>
            <w:r>
              <w:rPr>
                <w:rFonts w:ascii="Arial" w:cs="Arial" w:eastAsia="Arial" w:hAnsi="Arial"/>
                <w:sz w:val="18"/>
                <w:szCs w:val="18"/>
                <w:color w:val="auto"/>
              </w:rPr>
              <w:t>“Market Stand-off”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2.12</w:t>
            </w:r>
          </w:p>
        </w:tc>
        <w:tc>
          <w:tcPr>
            <w:tcW w:w="9180" w:type="dxa"/>
            <w:vAlign w:val="bottom"/>
          </w:tcPr>
          <w:p>
            <w:pPr>
              <w:ind w:left="180"/>
              <w:spacing w:after="0"/>
              <w:rPr>
                <w:sz w:val="20"/>
                <w:szCs w:val="20"/>
                <w:color w:val="auto"/>
              </w:rPr>
            </w:pPr>
            <w:r>
              <w:rPr>
                <w:rFonts w:ascii="Arial" w:cs="Arial" w:eastAsia="Arial" w:hAnsi="Arial"/>
                <w:sz w:val="18"/>
                <w:szCs w:val="18"/>
                <w:color w:val="auto"/>
              </w:rPr>
              <w:t>Restrictions on Transfer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30"/>
        </w:trPr>
        <w:tc>
          <w:tcPr>
            <w:tcW w:w="40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2.13</w:t>
            </w:r>
          </w:p>
        </w:tc>
        <w:tc>
          <w:tcPr>
            <w:tcW w:w="9180" w:type="dxa"/>
            <w:vAlign w:val="bottom"/>
          </w:tcPr>
          <w:p>
            <w:pPr>
              <w:ind w:left="180"/>
              <w:spacing w:after="0"/>
              <w:rPr>
                <w:sz w:val="20"/>
                <w:szCs w:val="20"/>
                <w:color w:val="auto"/>
              </w:rPr>
            </w:pPr>
            <w:r>
              <w:rPr>
                <w:rFonts w:ascii="Arial" w:cs="Arial" w:eastAsia="Arial" w:hAnsi="Arial"/>
                <w:sz w:val="18"/>
                <w:szCs w:val="18"/>
                <w:color w:val="auto"/>
              </w:rPr>
              <w:t>Termination of Registration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Information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418"/>
        </w:trPr>
        <w:tc>
          <w:tcPr>
            <w:tcW w:w="40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3.1</w:t>
            </w:r>
          </w:p>
        </w:tc>
        <w:tc>
          <w:tcPr>
            <w:tcW w:w="9180" w:type="dxa"/>
            <w:vAlign w:val="bottom"/>
          </w:tcPr>
          <w:p>
            <w:pPr>
              <w:ind w:left="180"/>
              <w:spacing w:after="0"/>
              <w:rPr>
                <w:sz w:val="20"/>
                <w:szCs w:val="20"/>
                <w:color w:val="auto"/>
              </w:rPr>
            </w:pPr>
            <w:r>
              <w:rPr>
                <w:rFonts w:ascii="Arial" w:cs="Arial" w:eastAsia="Arial" w:hAnsi="Arial"/>
                <w:sz w:val="18"/>
                <w:szCs w:val="18"/>
                <w:color w:val="auto"/>
              </w:rPr>
              <w:t>Delivery of Financial Statements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3.2</w:t>
            </w:r>
          </w:p>
        </w:tc>
        <w:tc>
          <w:tcPr>
            <w:tcW w:w="9180" w:type="dxa"/>
            <w:vAlign w:val="bottom"/>
          </w:tcPr>
          <w:p>
            <w:pPr>
              <w:ind w:left="180"/>
              <w:spacing w:after="0"/>
              <w:rPr>
                <w:sz w:val="20"/>
                <w:szCs w:val="20"/>
                <w:color w:val="auto"/>
              </w:rPr>
            </w:pPr>
            <w:r>
              <w:rPr>
                <w:rFonts w:ascii="Arial" w:cs="Arial" w:eastAsia="Arial" w:hAnsi="Arial"/>
                <w:sz w:val="18"/>
                <w:szCs w:val="18"/>
                <w:color w:val="auto"/>
              </w:rPr>
              <w:t>Inspection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3.3</w:t>
            </w:r>
          </w:p>
        </w:tc>
        <w:tc>
          <w:tcPr>
            <w:tcW w:w="9180" w:type="dxa"/>
            <w:vAlign w:val="bottom"/>
          </w:tcPr>
          <w:p>
            <w:pPr>
              <w:ind w:left="180"/>
              <w:spacing w:after="0"/>
              <w:rPr>
                <w:sz w:val="20"/>
                <w:szCs w:val="20"/>
                <w:color w:val="auto"/>
              </w:rPr>
            </w:pPr>
            <w:r>
              <w:rPr>
                <w:rFonts w:ascii="Arial" w:cs="Arial" w:eastAsia="Arial" w:hAnsi="Arial"/>
                <w:sz w:val="18"/>
                <w:szCs w:val="18"/>
                <w:color w:val="auto"/>
              </w:rPr>
              <w:t>Termination of Information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30"/>
        </w:trPr>
        <w:tc>
          <w:tcPr>
            <w:tcW w:w="40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3.4</w:t>
            </w:r>
          </w:p>
        </w:tc>
        <w:tc>
          <w:tcPr>
            <w:tcW w:w="9180" w:type="dxa"/>
            <w:vAlign w:val="bottom"/>
          </w:tcPr>
          <w:p>
            <w:pPr>
              <w:ind w:left="180"/>
              <w:spacing w:after="0"/>
              <w:rPr>
                <w:sz w:val="20"/>
                <w:szCs w:val="20"/>
                <w:color w:val="auto"/>
              </w:rPr>
            </w:pPr>
            <w:r>
              <w:rPr>
                <w:rFonts w:ascii="Arial" w:cs="Arial" w:eastAsia="Arial" w:hAnsi="Arial"/>
                <w:sz w:val="18"/>
                <w:szCs w:val="18"/>
                <w:color w:val="auto"/>
              </w:rPr>
              <w:t>Confidentiality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Rights to Future Stock Issuances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418"/>
        </w:trPr>
        <w:tc>
          <w:tcPr>
            <w:tcW w:w="40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4.1</w:t>
            </w:r>
          </w:p>
        </w:tc>
        <w:tc>
          <w:tcPr>
            <w:tcW w:w="9180" w:type="dxa"/>
            <w:vAlign w:val="bottom"/>
          </w:tcPr>
          <w:p>
            <w:pPr>
              <w:ind w:left="180"/>
              <w:spacing w:after="0"/>
              <w:rPr>
                <w:sz w:val="20"/>
                <w:szCs w:val="20"/>
                <w:color w:val="auto"/>
              </w:rPr>
            </w:pPr>
            <w:r>
              <w:rPr>
                <w:rFonts w:ascii="Arial" w:cs="Arial" w:eastAsia="Arial" w:hAnsi="Arial"/>
                <w:sz w:val="18"/>
                <w:szCs w:val="18"/>
                <w:color w:val="auto"/>
              </w:rPr>
              <w:t>Right of First Offer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30"/>
        </w:trPr>
        <w:tc>
          <w:tcPr>
            <w:tcW w:w="40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4.2</w:t>
            </w:r>
          </w:p>
        </w:tc>
        <w:tc>
          <w:tcPr>
            <w:tcW w:w="9180" w:type="dxa"/>
            <w:vAlign w:val="bottom"/>
          </w:tcPr>
          <w:p>
            <w:pPr>
              <w:ind w:left="180"/>
              <w:spacing w:after="0"/>
              <w:rPr>
                <w:sz w:val="20"/>
                <w:szCs w:val="20"/>
                <w:color w:val="auto"/>
              </w:rPr>
            </w:pPr>
            <w:r>
              <w:rPr>
                <w:rFonts w:ascii="Arial" w:cs="Arial" w:eastAsia="Arial" w:hAnsi="Arial"/>
                <w:sz w:val="18"/>
                <w:szCs w:val="18"/>
                <w:color w:val="auto"/>
              </w:rPr>
              <w:t>Termination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Additional Covenants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418"/>
        </w:trPr>
        <w:tc>
          <w:tcPr>
            <w:tcW w:w="40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5.1</w:t>
            </w:r>
          </w:p>
        </w:tc>
        <w:tc>
          <w:tcPr>
            <w:tcW w:w="9180" w:type="dxa"/>
            <w:vAlign w:val="bottom"/>
          </w:tcPr>
          <w:p>
            <w:pPr>
              <w:ind w:left="180"/>
              <w:spacing w:after="0"/>
              <w:rPr>
                <w:sz w:val="20"/>
                <w:szCs w:val="20"/>
                <w:color w:val="auto"/>
              </w:rPr>
            </w:pPr>
            <w:r>
              <w:rPr>
                <w:rFonts w:ascii="Arial" w:cs="Arial" w:eastAsia="Arial" w:hAnsi="Arial"/>
                <w:sz w:val="18"/>
                <w:szCs w:val="18"/>
                <w:color w:val="auto"/>
              </w:rPr>
              <w:t>Employee Agreements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5.2</w:t>
            </w:r>
          </w:p>
        </w:tc>
        <w:tc>
          <w:tcPr>
            <w:tcW w:w="9180" w:type="dxa"/>
            <w:vAlign w:val="bottom"/>
          </w:tcPr>
          <w:p>
            <w:pPr>
              <w:ind w:left="180"/>
              <w:spacing w:after="0"/>
              <w:rPr>
                <w:sz w:val="20"/>
                <w:szCs w:val="20"/>
                <w:color w:val="auto"/>
              </w:rPr>
            </w:pPr>
            <w:r>
              <w:rPr>
                <w:rFonts w:ascii="Arial" w:cs="Arial" w:eastAsia="Arial" w:hAnsi="Arial"/>
                <w:sz w:val="18"/>
                <w:szCs w:val="18"/>
                <w:color w:val="auto"/>
              </w:rPr>
              <w:t>Employee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5.3</w:t>
            </w:r>
          </w:p>
        </w:tc>
        <w:tc>
          <w:tcPr>
            <w:tcW w:w="9180" w:type="dxa"/>
            <w:vAlign w:val="bottom"/>
          </w:tcPr>
          <w:p>
            <w:pPr>
              <w:ind w:left="180"/>
              <w:spacing w:after="0"/>
              <w:rPr>
                <w:sz w:val="20"/>
                <w:szCs w:val="20"/>
                <w:color w:val="auto"/>
              </w:rPr>
            </w:pPr>
            <w:r>
              <w:rPr>
                <w:rFonts w:ascii="Arial" w:cs="Arial" w:eastAsia="Arial" w:hAnsi="Arial"/>
                <w:sz w:val="18"/>
                <w:szCs w:val="18"/>
                <w:color w:val="auto"/>
              </w:rPr>
              <w:t>Matters Requiring the Approval of the Preferred Directors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5.4</w:t>
            </w:r>
          </w:p>
        </w:tc>
        <w:tc>
          <w:tcPr>
            <w:tcW w:w="9180" w:type="dxa"/>
            <w:vAlign w:val="bottom"/>
          </w:tcPr>
          <w:p>
            <w:pPr>
              <w:ind w:left="180"/>
              <w:spacing w:after="0"/>
              <w:rPr>
                <w:sz w:val="20"/>
                <w:szCs w:val="20"/>
                <w:color w:val="auto"/>
              </w:rPr>
            </w:pPr>
            <w:r>
              <w:rPr>
                <w:rFonts w:ascii="Arial" w:cs="Arial" w:eastAsia="Arial" w:hAnsi="Arial"/>
                <w:sz w:val="18"/>
                <w:szCs w:val="18"/>
                <w:color w:val="auto"/>
              </w:rPr>
              <w:t>Board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5.5</w:t>
            </w:r>
          </w:p>
        </w:tc>
        <w:tc>
          <w:tcPr>
            <w:tcW w:w="9180" w:type="dxa"/>
            <w:vAlign w:val="bottom"/>
          </w:tcPr>
          <w:p>
            <w:pPr>
              <w:ind w:left="180"/>
              <w:spacing w:after="0"/>
              <w:rPr>
                <w:sz w:val="20"/>
                <w:szCs w:val="20"/>
                <w:color w:val="auto"/>
              </w:rPr>
            </w:pPr>
            <w:r>
              <w:rPr>
                <w:rFonts w:ascii="Arial" w:cs="Arial" w:eastAsia="Arial" w:hAnsi="Arial"/>
                <w:sz w:val="18"/>
                <w:szCs w:val="18"/>
                <w:color w:val="auto"/>
              </w:rPr>
              <w:t>Indemnification Matters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5.6</w:t>
            </w:r>
          </w:p>
        </w:tc>
        <w:tc>
          <w:tcPr>
            <w:tcW w:w="9180" w:type="dxa"/>
            <w:vAlign w:val="bottom"/>
          </w:tcPr>
          <w:p>
            <w:pPr>
              <w:ind w:left="180"/>
              <w:spacing w:after="0"/>
              <w:rPr>
                <w:sz w:val="20"/>
                <w:szCs w:val="20"/>
                <w:color w:val="auto"/>
              </w:rPr>
            </w:pPr>
            <w:r>
              <w:rPr>
                <w:rFonts w:ascii="Arial" w:cs="Arial" w:eastAsia="Arial" w:hAnsi="Arial"/>
                <w:sz w:val="18"/>
                <w:szCs w:val="18"/>
                <w:color w:val="auto"/>
              </w:rPr>
              <w:t>Successor Indemnification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5.7</w:t>
            </w:r>
          </w:p>
        </w:tc>
        <w:tc>
          <w:tcPr>
            <w:tcW w:w="9180" w:type="dxa"/>
            <w:vAlign w:val="bottom"/>
          </w:tcPr>
          <w:p>
            <w:pPr>
              <w:ind w:left="180"/>
              <w:spacing w:after="0"/>
              <w:rPr>
                <w:sz w:val="20"/>
                <w:szCs w:val="20"/>
                <w:color w:val="auto"/>
              </w:rPr>
            </w:pPr>
            <w:r>
              <w:rPr>
                <w:rFonts w:ascii="Arial" w:cs="Arial" w:eastAsia="Arial" w:hAnsi="Arial"/>
                <w:sz w:val="18"/>
                <w:szCs w:val="18"/>
                <w:color w:val="auto"/>
              </w:rPr>
              <w:t>FCPA</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5.8</w:t>
            </w:r>
          </w:p>
        </w:tc>
        <w:tc>
          <w:tcPr>
            <w:tcW w:w="9180" w:type="dxa"/>
            <w:vAlign w:val="bottom"/>
          </w:tcPr>
          <w:p>
            <w:pPr>
              <w:ind w:left="180"/>
              <w:spacing w:after="0"/>
              <w:rPr>
                <w:sz w:val="20"/>
                <w:szCs w:val="20"/>
                <w:color w:val="auto"/>
              </w:rPr>
            </w:pPr>
            <w:r>
              <w:rPr>
                <w:rFonts w:ascii="Arial" w:cs="Arial" w:eastAsia="Arial" w:hAnsi="Arial"/>
                <w:sz w:val="18"/>
                <w:szCs w:val="18"/>
                <w:color w:val="auto"/>
              </w:rPr>
              <w:t>Real Property Holding Corporation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5.9</w:t>
            </w:r>
          </w:p>
        </w:tc>
        <w:tc>
          <w:tcPr>
            <w:tcW w:w="9180" w:type="dxa"/>
            <w:vAlign w:val="bottom"/>
          </w:tcPr>
          <w:p>
            <w:pPr>
              <w:ind w:left="180"/>
              <w:spacing w:after="0"/>
              <w:rPr>
                <w:sz w:val="20"/>
                <w:szCs w:val="20"/>
                <w:color w:val="auto"/>
              </w:rPr>
            </w:pPr>
            <w:r>
              <w:rPr>
                <w:rFonts w:ascii="Arial" w:cs="Arial" w:eastAsia="Arial" w:hAnsi="Arial"/>
                <w:sz w:val="18"/>
                <w:szCs w:val="18"/>
                <w:color w:val="auto"/>
              </w:rPr>
              <w:t>Green Dot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5.10</w:t>
            </w:r>
          </w:p>
        </w:tc>
        <w:tc>
          <w:tcPr>
            <w:tcW w:w="9180" w:type="dxa"/>
            <w:vAlign w:val="bottom"/>
          </w:tcPr>
          <w:p>
            <w:pPr>
              <w:ind w:left="180"/>
              <w:spacing w:after="0"/>
              <w:rPr>
                <w:sz w:val="20"/>
                <w:szCs w:val="20"/>
                <w:color w:val="auto"/>
              </w:rPr>
            </w:pPr>
            <w:r>
              <w:rPr>
                <w:rFonts w:ascii="Arial" w:cs="Arial" w:eastAsia="Arial" w:hAnsi="Arial"/>
                <w:sz w:val="18"/>
                <w:szCs w:val="18"/>
                <w:color w:val="auto"/>
              </w:rPr>
              <w:t>Expenses of Counsel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400" w:type="dxa"/>
            <w:vAlign w:val="bottom"/>
          </w:tcPr>
          <w:p>
            <w:pPr>
              <w:spacing w:after="0"/>
              <w:rPr>
                <w:sz w:val="18"/>
                <w:szCs w:val="18"/>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5.11</w:t>
            </w:r>
          </w:p>
        </w:tc>
        <w:tc>
          <w:tcPr>
            <w:tcW w:w="9180" w:type="dxa"/>
            <w:vAlign w:val="bottom"/>
          </w:tcPr>
          <w:p>
            <w:pPr>
              <w:ind w:left="180"/>
              <w:spacing w:after="0"/>
              <w:rPr>
                <w:sz w:val="20"/>
                <w:szCs w:val="20"/>
                <w:color w:val="auto"/>
              </w:rPr>
            </w:pPr>
            <w:r>
              <w:rPr>
                <w:rFonts w:ascii="Arial" w:cs="Arial" w:eastAsia="Arial" w:hAnsi="Arial"/>
                <w:sz w:val="18"/>
                <w:szCs w:val="18"/>
                <w:color w:val="auto"/>
              </w:rPr>
              <w:t>Liquidation Event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30"/>
        </w:trPr>
        <w:tc>
          <w:tcPr>
            <w:tcW w:w="400" w:type="dxa"/>
            <w:vAlign w:val="bottom"/>
          </w:tcPr>
          <w:p>
            <w:pPr>
              <w:spacing w:after="0"/>
              <w:rPr>
                <w:sz w:val="20"/>
                <w:szCs w:val="20"/>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5.12</w:t>
            </w:r>
          </w:p>
        </w:tc>
        <w:tc>
          <w:tcPr>
            <w:tcW w:w="9180" w:type="dxa"/>
            <w:vAlign w:val="bottom"/>
          </w:tcPr>
          <w:p>
            <w:pPr>
              <w:ind w:left="180"/>
              <w:spacing w:after="0"/>
              <w:rPr>
                <w:sz w:val="20"/>
                <w:szCs w:val="20"/>
                <w:color w:val="auto"/>
              </w:rPr>
            </w:pPr>
            <w:r>
              <w:rPr>
                <w:rFonts w:ascii="Arial" w:cs="Arial" w:eastAsia="Arial" w:hAnsi="Arial"/>
                <w:sz w:val="18"/>
                <w:szCs w:val="18"/>
                <w:color w:val="auto"/>
              </w:rPr>
              <w:t>Termination of Covenants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6.</w:t>
            </w:r>
          </w:p>
        </w:tc>
        <w:tc>
          <w:tcPr>
            <w:tcW w:w="9880" w:type="dxa"/>
            <w:vAlign w:val="bottom"/>
            <w:gridSpan w:val="2"/>
          </w:tcPr>
          <w:p>
            <w:pPr>
              <w:ind w:left="240"/>
              <w:spacing w:after="0"/>
              <w:rPr>
                <w:sz w:val="20"/>
                <w:szCs w:val="20"/>
                <w:color w:val="auto"/>
              </w:rPr>
            </w:pPr>
            <w:r>
              <w:rPr>
                <w:rFonts w:ascii="Arial" w:cs="Arial" w:eastAsia="Arial" w:hAnsi="Arial"/>
                <w:sz w:val="18"/>
                <w:szCs w:val="18"/>
                <w:color w:val="auto"/>
              </w:rPr>
              <w:t>Miscellaneous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Arial" w:cs="Arial" w:eastAsia="Arial" w:hAnsi="Arial"/>
                <w:sz w:val="18"/>
                <w:szCs w:val="18"/>
                <w:color w:val="auto"/>
              </w:rPr>
              <w:t>6.1</w:t>
            </w:r>
          </w:p>
        </w:tc>
        <w:tc>
          <w:tcPr>
            <w:tcW w:w="918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432"/>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color w:val="auto"/>
              </w:rPr>
              <w:t>i</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91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66"/>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jc w:val="center"/>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180" w:type="dxa"/>
            <w:vAlign w:val="bottom"/>
          </w:tcPr>
          <w:p>
            <w:pPr>
              <w:jc w:val="center"/>
              <w:spacing w:after="0"/>
              <w:rPr>
                <w:sz w:val="20"/>
                <w:szCs w:val="20"/>
                <w:color w:val="auto"/>
              </w:rPr>
            </w:pPr>
            <w:r>
              <w:rPr>
                <w:rFonts w:ascii="Arial" w:cs="Arial" w:eastAsia="Arial" w:hAnsi="Arial"/>
                <w:sz w:val="18"/>
                <w:szCs w:val="18"/>
                <w:color w:val="auto"/>
                <w:w w:val="91"/>
              </w:rPr>
              <w:t>(continued)</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11"/>
        </w:trPr>
        <w:tc>
          <w:tcPr>
            <w:tcW w:w="4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6.2</w:t>
            </w:r>
          </w:p>
        </w:tc>
        <w:tc>
          <w:tcPr>
            <w:tcW w:w="918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6.3</w:t>
            </w:r>
          </w:p>
        </w:tc>
        <w:tc>
          <w:tcPr>
            <w:tcW w:w="9180" w:type="dxa"/>
            <w:vAlign w:val="bottom"/>
          </w:tcPr>
          <w:p>
            <w:pPr>
              <w:ind w:left="160"/>
              <w:spacing w:after="0"/>
              <w:rPr>
                <w:sz w:val="20"/>
                <w:szCs w:val="20"/>
                <w:color w:val="auto"/>
              </w:rPr>
            </w:pPr>
            <w:r>
              <w:rPr>
                <w:rFonts w:ascii="Arial" w:cs="Arial" w:eastAsia="Arial" w:hAnsi="Arial"/>
                <w:sz w:val="18"/>
                <w:szCs w:val="18"/>
                <w:color w:val="auto"/>
              </w:rPr>
              <w:t>Counterparts; Facsimile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6.4</w:t>
            </w:r>
          </w:p>
        </w:tc>
        <w:tc>
          <w:tcPr>
            <w:tcW w:w="918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00" w:type="dxa"/>
            <w:vAlign w:val="bottom"/>
          </w:tcPr>
          <w:p>
            <w:pPr>
              <w:spacing w:after="0"/>
              <w:rPr>
                <w:sz w:val="18"/>
                <w:szCs w:val="18"/>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6.5</w:t>
            </w:r>
          </w:p>
        </w:tc>
        <w:tc>
          <w:tcPr>
            <w:tcW w:w="9180" w:type="dxa"/>
            <w:vAlign w:val="bottom"/>
          </w:tcPr>
          <w:p>
            <w:pPr>
              <w:ind w:left="160"/>
              <w:spacing w:after="0"/>
              <w:rPr>
                <w:sz w:val="20"/>
                <w:szCs w:val="20"/>
                <w:color w:val="auto"/>
              </w:rPr>
            </w:pPr>
            <w:r>
              <w:rPr>
                <w:rFonts w:ascii="Arial" w:cs="Arial" w:eastAsia="Arial" w:hAnsi="Arial"/>
                <w:sz w:val="18"/>
                <w:szCs w:val="18"/>
                <w:color w:val="auto"/>
              </w:rPr>
              <w:t>Notices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00" w:type="dxa"/>
            <w:vAlign w:val="bottom"/>
          </w:tcPr>
          <w:p>
            <w:pPr>
              <w:spacing w:after="0"/>
              <w:rPr>
                <w:sz w:val="20"/>
                <w:szCs w:val="20"/>
                <w:color w:val="auto"/>
              </w:rPr>
            </w:pPr>
          </w:p>
        </w:tc>
        <w:tc>
          <w:tcPr>
            <w:tcW w:w="700" w:type="dxa"/>
            <w:vAlign w:val="bottom"/>
          </w:tcPr>
          <w:p>
            <w:pPr>
              <w:ind w:left="260"/>
              <w:spacing w:after="0"/>
              <w:rPr>
                <w:sz w:val="20"/>
                <w:szCs w:val="20"/>
                <w:color w:val="auto"/>
              </w:rPr>
            </w:pPr>
            <w:r>
              <w:rPr>
                <w:rFonts w:ascii="Arial" w:cs="Arial" w:eastAsia="Arial" w:hAnsi="Arial"/>
                <w:sz w:val="18"/>
                <w:szCs w:val="18"/>
                <w:color w:val="auto"/>
              </w:rPr>
              <w:t>6.6</w:t>
            </w:r>
          </w:p>
        </w:tc>
        <w:tc>
          <w:tcPr>
            <w:tcW w:w="9180" w:type="dxa"/>
            <w:vAlign w:val="bottom"/>
          </w:tcPr>
          <w:p>
            <w:pPr>
              <w:ind w:left="160"/>
              <w:spacing w:after="0"/>
              <w:rPr>
                <w:sz w:val="20"/>
                <w:szCs w:val="20"/>
                <w:color w:val="auto"/>
              </w:rPr>
            </w:pPr>
            <w:r>
              <w:rPr>
                <w:rFonts w:ascii="Arial" w:cs="Arial" w:eastAsia="Arial" w:hAnsi="Arial"/>
                <w:sz w:val="18"/>
                <w:szCs w:val="18"/>
                <w:color w:val="auto"/>
              </w:rPr>
              <w:t>Amendments and Waivers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-9512300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-9512300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-1725295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-1725295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5" w:right="199" w:bottom="0" w:gutter="0" w:footer="0" w:header="0"/>
        </w:sectPr>
      </w:pPr>
    </w:p>
    <w:bookmarkStart w:id="234" w:name="page235"/>
    <w:bookmarkEnd w:id="234"/>
    <w:p>
      <w:pPr>
        <w:spacing w:after="0" w:line="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6.7</w:t>
            </w:r>
          </w:p>
        </w:tc>
        <w:tc>
          <w:tcPr>
            <w:tcW w:w="620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6.8</w:t>
            </w:r>
          </w:p>
        </w:tc>
        <w:tc>
          <w:tcPr>
            <w:tcW w:w="6200" w:type="dxa"/>
            <w:vAlign w:val="bottom"/>
          </w:tcPr>
          <w:p>
            <w:pPr>
              <w:ind w:left="140"/>
              <w:spacing w:after="0"/>
              <w:rPr>
                <w:sz w:val="20"/>
                <w:szCs w:val="20"/>
                <w:color w:val="auto"/>
              </w:rPr>
            </w:pPr>
            <w:r>
              <w:rPr>
                <w:rFonts w:ascii="Arial" w:cs="Arial" w:eastAsia="Arial" w:hAnsi="Arial"/>
                <w:sz w:val="18"/>
                <w:szCs w:val="18"/>
                <w:color w:val="auto"/>
              </w:rPr>
              <w:t>Aggregation of Stock</w:t>
            </w:r>
          </w:p>
        </w:tc>
        <w:tc>
          <w:tcPr>
            <w:tcW w:w="4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6.9</w:t>
            </w:r>
          </w:p>
        </w:tc>
        <w:tc>
          <w:tcPr>
            <w:tcW w:w="620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6.10</w:t>
            </w:r>
          </w:p>
        </w:tc>
        <w:tc>
          <w:tcPr>
            <w:tcW w:w="6200" w:type="dxa"/>
            <w:vAlign w:val="bottom"/>
          </w:tcPr>
          <w:p>
            <w:pPr>
              <w:ind w:left="140"/>
              <w:spacing w:after="0"/>
              <w:rPr>
                <w:sz w:val="20"/>
                <w:szCs w:val="20"/>
                <w:color w:val="auto"/>
              </w:rPr>
            </w:pPr>
            <w:r>
              <w:rPr>
                <w:rFonts w:ascii="Arial" w:cs="Arial" w:eastAsia="Arial" w:hAnsi="Arial"/>
                <w:sz w:val="18"/>
                <w:szCs w:val="18"/>
                <w:color w:val="auto"/>
              </w:rPr>
              <w:t>Delays or Omissions</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6.11</w:t>
            </w:r>
          </w:p>
        </w:tc>
        <w:tc>
          <w:tcPr>
            <w:tcW w:w="6200" w:type="dxa"/>
            <w:vAlign w:val="bottom"/>
          </w:tcPr>
          <w:p>
            <w:pPr>
              <w:ind w:left="140"/>
              <w:spacing w:after="0"/>
              <w:rPr>
                <w:sz w:val="20"/>
                <w:szCs w:val="20"/>
                <w:color w:val="auto"/>
              </w:rPr>
            </w:pPr>
            <w:r>
              <w:rPr>
                <w:rFonts w:ascii="Arial" w:cs="Arial" w:eastAsia="Arial" w:hAnsi="Arial"/>
                <w:sz w:val="18"/>
                <w:szCs w:val="18"/>
                <w:color w:val="auto"/>
              </w:rPr>
              <w:t>Acknowledgment</w:t>
            </w:r>
          </w:p>
        </w:tc>
        <w:tc>
          <w:tcPr>
            <w:tcW w:w="41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6.12</w:t>
            </w:r>
          </w:p>
        </w:tc>
        <w:tc>
          <w:tcPr>
            <w:tcW w:w="6200" w:type="dxa"/>
            <w:vAlign w:val="bottom"/>
          </w:tcPr>
          <w:p>
            <w:pPr>
              <w:ind w:left="140"/>
              <w:spacing w:after="0"/>
              <w:rPr>
                <w:sz w:val="20"/>
                <w:szCs w:val="20"/>
                <w:color w:val="auto"/>
              </w:rPr>
            </w:pPr>
            <w:r>
              <w:rPr>
                <w:rFonts w:ascii="Arial" w:cs="Arial" w:eastAsia="Arial" w:hAnsi="Arial"/>
                <w:sz w:val="18"/>
                <w:szCs w:val="18"/>
                <w:color w:val="auto"/>
              </w:rPr>
              <w:t>Massachusetts Business Trust</w:t>
            </w:r>
          </w:p>
        </w:tc>
        <w:tc>
          <w:tcPr>
            <w:tcW w:w="4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6.13</w:t>
            </w:r>
          </w:p>
        </w:tc>
        <w:tc>
          <w:tcPr>
            <w:tcW w:w="6200" w:type="dxa"/>
            <w:vAlign w:val="bottom"/>
          </w:tcPr>
          <w:p>
            <w:pPr>
              <w:ind w:left="140"/>
              <w:spacing w:after="0"/>
              <w:rPr>
                <w:sz w:val="20"/>
                <w:szCs w:val="20"/>
                <w:color w:val="auto"/>
              </w:rPr>
            </w:pPr>
            <w:r>
              <w:rPr>
                <w:rFonts w:ascii="Arial" w:cs="Arial" w:eastAsia="Arial" w:hAnsi="Arial"/>
                <w:sz w:val="18"/>
                <w:szCs w:val="18"/>
                <w:color w:val="auto"/>
              </w:rPr>
              <w:t>Prior Agreement</w:t>
            </w:r>
          </w:p>
        </w:tc>
        <w:tc>
          <w:tcPr>
            <w:tcW w:w="410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20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Schedule A —</w:t>
      </w:r>
      <w:r>
        <w:rPr>
          <w:sz w:val="20"/>
          <w:szCs w:val="20"/>
          <w:color w:val="auto"/>
        </w:rPr>
        <w:tab/>
      </w:r>
      <w:r>
        <w:rPr>
          <w:rFonts w:ascii="Arial" w:cs="Arial" w:eastAsia="Arial" w:hAnsi="Arial"/>
          <w:sz w:val="16"/>
          <w:szCs w:val="16"/>
          <w:color w:val="auto"/>
        </w:rPr>
        <w:t>Schedule of Investors</w:t>
      </w:r>
    </w:p>
    <w:p>
      <w:pPr>
        <w:spacing w:after="0" w:line="2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Schedule B —</w:t>
      </w:r>
      <w:r>
        <w:rPr>
          <w:sz w:val="20"/>
          <w:szCs w:val="20"/>
          <w:color w:val="auto"/>
        </w:rPr>
        <w:tab/>
      </w:r>
      <w:r>
        <w:rPr>
          <w:rFonts w:ascii="Arial" w:cs="Arial" w:eastAsia="Arial" w:hAnsi="Arial"/>
          <w:sz w:val="16"/>
          <w:szCs w:val="16"/>
          <w:color w:val="auto"/>
        </w:rPr>
        <w:t>Schedule of Key 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FIFTH AMENDED AND RESTATED INVESTORS’ RIGHTS AGREEMENT</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6"/>
          <w:szCs w:val="16"/>
          <w:color w:val="auto"/>
        </w:rPr>
        <w:t>THIS FIFTH AMENDED AND RESTATED INVESTORS’ RIGHTS AGREEMENT is made as of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day of October, 2013, by and among MongoDB,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and each of the investors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of which is referred to in this Agreement as an “</w:t>
      </w:r>
      <w:r>
        <w:rPr>
          <w:rFonts w:ascii="Arial" w:cs="Arial" w:eastAsia="Arial" w:hAnsi="Arial"/>
          <w:sz w:val="16"/>
          <w:szCs w:val="16"/>
          <w:b w:val="1"/>
          <w:bCs w:val="1"/>
          <w:color w:val="auto"/>
        </w:rPr>
        <w:t>Investor,</w:t>
      </w:r>
      <w:r>
        <w:rPr>
          <w:rFonts w:ascii="Arial" w:cs="Arial" w:eastAsia="Arial" w:hAnsi="Arial"/>
          <w:sz w:val="16"/>
          <w:szCs w:val="16"/>
          <w:color w:val="auto"/>
        </w:rPr>
        <w:t xml:space="preserve">” and each of the stockholders listed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each of whom is referred to herein as a “</w:t>
      </w:r>
      <w:r>
        <w:rPr>
          <w:rFonts w:ascii="Arial" w:cs="Arial" w:eastAsia="Arial" w:hAnsi="Arial"/>
          <w:sz w:val="16"/>
          <w:szCs w:val="16"/>
          <w:b w:val="1"/>
          <w:bCs w:val="1"/>
          <w:color w:val="auto"/>
        </w:rPr>
        <w:t>Key Holder</w:t>
      </w:r>
      <w:r>
        <w:rPr>
          <w:rFonts w:ascii="Arial" w:cs="Arial" w:eastAsia="Arial" w:hAnsi="Arial"/>
          <w:sz w:val="16"/>
          <w:szCs w:val="16"/>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are parties to that certain Fourth Amended and Restated Investors’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May 23, 2012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are parties to the Series F Preferred Stock Purchase Agreement dated on or about October 2,</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are holders of at least fifty percent (50%) of the Registrable Securities (as defined in the Prior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desire to amend and restate the Prior Agreement in its entirety as hereinafter set forth; and</w:t>
      </w:r>
    </w:p>
    <w:p>
      <w:pPr>
        <w:spacing w:after="0" w:line="162"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to the Prior Agreement wish to amend and restate the Prior Agreement and enter into this Agreement to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and the Key Holders with the rights and privileges as set forth herein.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as follows:</w:t>
      </w:r>
    </w:p>
    <w:p>
      <w:pPr>
        <w:spacing w:after="0" w:line="229" w:lineRule="exact"/>
        <w:rPr>
          <w:sz w:val="20"/>
          <w:szCs w:val="20"/>
          <w:color w:val="auto"/>
        </w:rPr>
      </w:pPr>
    </w:p>
    <w:p>
      <w:pPr>
        <w:ind w:left="1300" w:hanging="644"/>
        <w:spacing w:after="0"/>
        <w:tabs>
          <w:tab w:leader="none" w:pos="130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1" w:lineRule="exact"/>
        <w:rPr>
          <w:sz w:val="20"/>
          <w:szCs w:val="20"/>
          <w:color w:val="auto"/>
        </w:rPr>
      </w:pPr>
    </w:p>
    <w:p>
      <w:pPr>
        <w:ind w:firstLine="1297"/>
        <w:spacing w:after="0" w:line="295"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 In the case of Fidelity or T. Rowe, any mutual funds or similar pooled vehicles that are controlled by, under common control with, managed or advised by the same management company or registered investment advisor (or an affiliate of such management company or registered investment advisor) as Fidelity or T. Rowe, as applicable shall be an “affiliate” of Fidelity or T. Rowe, as applicable, for purposes hereof.</w:t>
      </w:r>
    </w:p>
    <w:p>
      <w:pPr>
        <w:spacing w:after="0" w:line="156" w:lineRule="exact"/>
        <w:rPr>
          <w:sz w:val="20"/>
          <w:szCs w:val="20"/>
          <w:color w:val="auto"/>
        </w:rPr>
      </w:pPr>
    </w:p>
    <w:p>
      <w:pPr>
        <w:ind w:right="360" w:firstLine="1297"/>
        <w:spacing w:after="0" w:line="282"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Seventh Amended and Restated Certificate of Incorporation, as may be amended from time to time.</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shares of the Company’s common stock, par value $0.001 per share.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1297"/>
        <w:spacing w:after="0" w:line="293"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or liability (joint or several) to which a party hereto may become subject under the Securities Act, the Exchange Act, or other federal or state law, insofar as such loss, damage, or liability (or any action in respect thereof) arises out of or is based upon</w:t>
      </w:r>
    </w:p>
    <w:p>
      <w:pPr>
        <w:spacing w:after="0" w:line="1" w:lineRule="exact"/>
        <w:rPr>
          <w:sz w:val="20"/>
          <w:szCs w:val="20"/>
          <w:color w:val="auto"/>
        </w:rPr>
      </w:pPr>
    </w:p>
    <w:p>
      <w:pPr>
        <w:ind w:right="260" w:firstLine="8"/>
        <w:spacing w:after="0" w:line="253" w:lineRule="auto"/>
        <w:tabs>
          <w:tab w:leader="none" w:pos="21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7"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8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FCPA</w:t>
      </w:r>
      <w:r>
        <w:rPr>
          <w:rFonts w:ascii="Arial" w:cs="Arial" w:eastAsia="Arial" w:hAnsi="Arial"/>
          <w:sz w:val="16"/>
          <w:szCs w:val="16"/>
          <w:color w:val="auto"/>
        </w:rPr>
        <w:t>” means the Foreign Corrupt Practices Act of 1977, as amended.</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Fidelity</w:t>
      </w:r>
      <w:r>
        <w:rPr>
          <w:rFonts w:ascii="Arial" w:cs="Arial" w:eastAsia="Arial" w:hAnsi="Arial"/>
          <w:sz w:val="16"/>
          <w:szCs w:val="16"/>
          <w:color w:val="auto"/>
        </w:rPr>
        <w:t>” means the Fidelity entities listed on Schedule A hereto.</w:t>
      </w:r>
    </w:p>
    <w:p>
      <w:pPr>
        <w:sectPr>
          <w:pgSz w:w="11900" w:h="16843" w:orient="portrait"/>
          <w:cols w:equalWidth="0" w:num="1">
            <w:col w:w="11420"/>
          </w:cols>
          <w:pgMar w:left="240" w:top="125" w:right="239" w:bottom="0" w:gutter="0" w:footer="0" w:header="0"/>
        </w:sectPr>
      </w:pPr>
    </w:p>
    <w:bookmarkStart w:id="235" w:name="page236"/>
    <w:bookmarkEnd w:id="235"/>
    <w:p>
      <w:pPr>
        <w:ind w:right="160" w:firstLine="1297"/>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daughter-in-law, brother-in-law, or sister-in-law, including adoptive relationships, of a natural person referred to herein.</w:t>
      </w:r>
    </w:p>
    <w:p>
      <w:pPr>
        <w:spacing w:after="0" w:line="22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IPO</w:t>
      </w:r>
      <w:r>
        <w:rPr>
          <w:rFonts w:ascii="Arial" w:cs="Arial" w:eastAsia="Arial" w:hAnsi="Arial"/>
          <w:sz w:val="16"/>
          <w:szCs w:val="16"/>
          <w:color w:val="auto"/>
        </w:rPr>
        <w:t>” means the Company’s first underwritten public offering of its Common Stock under the Securities Act.</w:t>
      </w:r>
    </w:p>
    <w:p>
      <w:pPr>
        <w:spacing w:after="0" w:line="225" w:lineRule="exact"/>
        <w:rPr>
          <w:sz w:val="20"/>
          <w:szCs w:val="20"/>
          <w:color w:val="auto"/>
        </w:rPr>
      </w:pPr>
    </w:p>
    <w:p>
      <w:pPr>
        <w:ind w:right="240" w:firstLine="1297"/>
        <w:spacing w:after="0" w:line="266"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 level positions) as well as any employee who, either alone or in concert with other, develops, invents, programs, or designs any Company Intellectual Property (as defined in the Purchase Agreement).</w:t>
      </w:r>
    </w:p>
    <w:p>
      <w:pPr>
        <w:spacing w:after="0" w:line="176" w:lineRule="exact"/>
        <w:rPr>
          <w:sz w:val="20"/>
          <w:szCs w:val="20"/>
          <w:color w:val="auto"/>
        </w:rPr>
      </w:pPr>
    </w:p>
    <w:p>
      <w:pPr>
        <w:ind w:right="100" w:firstLine="1297"/>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Key Holder Registrable Securities</w:t>
      </w:r>
      <w:r>
        <w:rPr>
          <w:rFonts w:ascii="Arial" w:cs="Arial" w:eastAsia="Arial" w:hAnsi="Arial"/>
          <w:sz w:val="18"/>
          <w:szCs w:val="18"/>
          <w:color w:val="auto"/>
        </w:rPr>
        <w:t>” means (i) shares of Common Stock held by the Key Holders, and (ii) any Common Stock issued as (or issuable upon the conversion or exercise of any warrant, right, or other security that is issued as) a dividend or other distribution with respect to, or in exchange for or in replacement of such shares.</w:t>
      </w:r>
    </w:p>
    <w:p>
      <w:pPr>
        <w:spacing w:after="0" w:line="176" w:lineRule="exact"/>
        <w:rPr>
          <w:sz w:val="20"/>
          <w:szCs w:val="20"/>
          <w:color w:val="auto"/>
        </w:rPr>
      </w:pPr>
    </w:p>
    <w:p>
      <w:pPr>
        <w:ind w:right="320" w:firstLine="1297"/>
        <w:spacing w:after="0" w:line="266"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Major Investor</w:t>
      </w:r>
      <w:r>
        <w:rPr>
          <w:rFonts w:ascii="Arial" w:cs="Arial" w:eastAsia="Arial" w:hAnsi="Arial"/>
          <w:sz w:val="18"/>
          <w:szCs w:val="18"/>
          <w:color w:val="auto"/>
        </w:rPr>
        <w:t>” means Fidelity, T. Rowe and any other Investor that, individually or together with such Investor’s Affiliates, holds at least 1,500,000 shares of Registrable Securities (as adjusted for any stock split, stock dividend, combination, or other recapitalization or reclassification effected after the date hereof).</w:t>
      </w:r>
    </w:p>
    <w:p>
      <w:pPr>
        <w:spacing w:after="0" w:line="176" w:lineRule="exact"/>
        <w:rPr>
          <w:sz w:val="20"/>
          <w:szCs w:val="20"/>
          <w:color w:val="auto"/>
        </w:rPr>
      </w:pPr>
    </w:p>
    <w:p>
      <w:pPr>
        <w:jc w:val="both"/>
        <w:ind w:right="380" w:firstLine="1297"/>
        <w:spacing w:after="0" w:line="266"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Preferred Directors</w:t>
      </w:r>
      <w:r>
        <w:rPr>
          <w:rFonts w:ascii="Arial" w:cs="Arial" w:eastAsia="Arial" w:hAnsi="Arial"/>
          <w:sz w:val="16"/>
          <w:szCs w:val="16"/>
          <w:color w:val="auto"/>
        </w:rPr>
        <w:t>” means the Series A Director, the Series B Director and the Series D Director.</w:t>
      </w:r>
    </w:p>
    <w:p>
      <w:pPr>
        <w:spacing w:after="0" w:line="225"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Series A Preferred Stock, the Series B Preferred Stock, the Series C Preferred Stock, Series D Preferred Stock, Series E Preferred Stock and the Series F Preferred Stock, taken together.</w:t>
      </w:r>
    </w:p>
    <w:p>
      <w:pPr>
        <w:spacing w:after="0" w:line="16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means an underwritten public offering with aggregate gross proceeds to the Company in excess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$40,000,000.</w:t>
      </w:r>
    </w:p>
    <w:p>
      <w:pPr>
        <w:spacing w:after="0" w:line="207" w:lineRule="exact"/>
        <w:rPr>
          <w:sz w:val="20"/>
          <w:szCs w:val="20"/>
          <w:color w:val="auto"/>
        </w:rPr>
      </w:pPr>
    </w:p>
    <w:p>
      <w:pPr>
        <w:ind w:right="180" w:firstLine="1297"/>
        <w:spacing w:after="0" w:line="281"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means (i) the Common Stock issuable or issued upon conversion of Preferred Stock; (ii) any Common Stock, or any Common Stock issued or issuable (directly or indirectly) upon conversion and/or exercise of any other securities of the Company, acquired by the Investors after the date hereof, (iii) the Key Holder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Key Holder Registrable Securities shall not be deemed Registrable Securities and solely with respect to such Key Holder Registrable Securities, the Key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Holders shall not be deemed Holders for the purposes of </w:t>
      </w:r>
      <w:r>
        <w:rPr>
          <w:rFonts w:ascii="Arial" w:cs="Arial" w:eastAsia="Arial" w:hAnsi="Arial"/>
          <w:sz w:val="18"/>
          <w:szCs w:val="18"/>
          <w:u w:val="single" w:color="auto"/>
          <w:color w:val="auto"/>
        </w:rPr>
        <w:t>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3.1</w:t>
      </w:r>
      <w:r>
        <w:rPr>
          <w:rFonts w:ascii="Arial" w:cs="Arial" w:eastAsia="Arial" w:hAnsi="Arial"/>
          <w:sz w:val="18"/>
          <w:szCs w:val="18"/>
          <w:color w:val="auto"/>
        </w:rPr>
        <w:t xml:space="preserve">,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6.6</w:t>
      </w:r>
      <w:r>
        <w:rPr>
          <w:rFonts w:ascii="Arial" w:cs="Arial" w:eastAsia="Arial" w:hAnsi="Arial"/>
          <w:sz w:val="18"/>
          <w:szCs w:val="18"/>
          <w:color w:val="auto"/>
        </w:rPr>
        <w:t xml:space="preserve">; and (iv)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8"/>
          <w:szCs w:val="18"/>
          <w:u w:val="single" w:color="auto"/>
          <w:color w:val="auto"/>
        </w:rPr>
        <w:t>(i) and (ii)</w:t>
      </w:r>
      <w:r>
        <w:rPr>
          <w:rFonts w:ascii="Arial" w:cs="Arial" w:eastAsia="Arial" w:hAnsi="Arial"/>
          <w:sz w:val="18"/>
          <w:szCs w:val="18"/>
          <w:color w:val="auto"/>
        </w:rPr>
        <w:t xml:space="preserve"> 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of this Agreement.</w:t>
      </w:r>
    </w:p>
    <w:p>
      <w:pPr>
        <w:spacing w:after="0" w:line="18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means the securities of the Company required to bear the legend set forth in Section 2.12(b) hereof.</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ectPr>
          <w:pgSz w:w="11900" w:h="16838" w:orient="portrait"/>
          <w:cols w:equalWidth="0" w:num="1">
            <w:col w:w="11420"/>
          </w:cols>
          <w:pgMar w:left="240" w:top="337" w:right="239" w:bottom="0" w:gutter="0" w:footer="0" w:header="0"/>
        </w:sectPr>
      </w:pPr>
    </w:p>
    <w:bookmarkStart w:id="236" w:name="page237"/>
    <w:bookmarkEnd w:id="236"/>
    <w:p>
      <w:pPr>
        <w:spacing w:after="0" w:line="9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right="140" w:firstLine="1297"/>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Section 2.6.</w:t>
      </w:r>
    </w:p>
    <w:p>
      <w:pPr>
        <w:spacing w:after="0" w:line="176"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Sequoia</w:t>
      </w:r>
      <w:r>
        <w:rPr>
          <w:rFonts w:ascii="Arial" w:cs="Arial" w:eastAsia="Arial" w:hAnsi="Arial"/>
          <w:sz w:val="18"/>
          <w:szCs w:val="18"/>
          <w:color w:val="auto"/>
        </w:rPr>
        <w:t>” means any of SCHF (M) PV, L.P., Sequoia Capital U.S. Growth Fund IV, L.P., Sequoia Capital USGF Principals Fund IV, L.P., Sequoia Capital U.S. Venture 2010 Fund, Sequoia Capital U.S. Venture 2010 Partners Fund, Sequoia Capital U.S. Venture 2010 Partners Fund (Q) or SCGE Fund, L.P.</w:t>
      </w:r>
    </w:p>
    <w:p>
      <w:pPr>
        <w:spacing w:after="0" w:line="176"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that the holders of record of the Series A Preferred Stock are entitled to elect pursuant to the Certificate of Incorporation.</w:t>
      </w:r>
    </w:p>
    <w:p>
      <w:pPr>
        <w:spacing w:after="0" w:line="162" w:lineRule="exact"/>
        <w:rPr>
          <w:sz w:val="20"/>
          <w:szCs w:val="20"/>
          <w:color w:val="auto"/>
        </w:rPr>
      </w:pPr>
    </w:p>
    <w:p>
      <w:pPr>
        <w:ind w:right="220" w:firstLine="1297"/>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that the holders of record of the Series B Preferred Stock are entitled to elect pursuant to the Certificate of Incorporation.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80" w:firstLine="1297"/>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Series D Director</w:t>
      </w:r>
      <w:r>
        <w:rPr>
          <w:rFonts w:ascii="Arial" w:cs="Arial" w:eastAsia="Arial" w:hAnsi="Arial"/>
          <w:sz w:val="18"/>
          <w:szCs w:val="18"/>
          <w:color w:val="auto"/>
        </w:rPr>
        <w:t>” means any director of the Company that the holders of record of Series D Preferred Stock are entitled to elect pursuant to the Certificate of Incorporation.</w:t>
      </w:r>
    </w:p>
    <w:p>
      <w:pPr>
        <w:spacing w:after="0" w:line="162" w:lineRule="exact"/>
        <w:rPr>
          <w:sz w:val="20"/>
          <w:szCs w:val="20"/>
          <w:color w:val="auto"/>
        </w:rPr>
      </w:pPr>
    </w:p>
    <w:p>
      <w:pPr>
        <w:jc w:val="center"/>
        <w:ind w:right="-59"/>
        <w:spacing w:after="0"/>
        <w:tabs>
          <w:tab w:leader="none" w:pos="30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$0.001 per share.</w:t>
      </w:r>
    </w:p>
    <w:p>
      <w:pPr>
        <w:spacing w:after="0" w:line="225" w:lineRule="exact"/>
        <w:rPr>
          <w:sz w:val="20"/>
          <w:szCs w:val="20"/>
          <w:color w:val="auto"/>
        </w:rPr>
      </w:pPr>
    </w:p>
    <w:p>
      <w:pPr>
        <w:jc w:val="center"/>
        <w:ind w:right="-59"/>
        <w:spacing w:after="0"/>
        <w:tabs>
          <w:tab w:leader="none" w:pos="30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$0.001 per share.</w:t>
      </w:r>
    </w:p>
    <w:p>
      <w:pPr>
        <w:spacing w:after="0" w:line="225" w:lineRule="exact"/>
        <w:rPr>
          <w:sz w:val="20"/>
          <w:szCs w:val="20"/>
          <w:color w:val="auto"/>
        </w:rPr>
      </w:pPr>
    </w:p>
    <w:p>
      <w:pPr>
        <w:jc w:val="center"/>
        <w:ind w:right="-59"/>
        <w:spacing w:after="0"/>
        <w:tabs>
          <w:tab w:leader="none" w:pos="30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C Preferred Stock</w:t>
      </w:r>
      <w:r>
        <w:rPr>
          <w:rFonts w:ascii="Arial" w:cs="Arial" w:eastAsia="Arial" w:hAnsi="Arial"/>
          <w:sz w:val="16"/>
          <w:szCs w:val="16"/>
          <w:color w:val="auto"/>
        </w:rPr>
        <w:t>” means shares of the Company’s Series C Preferred Stock, par value $0.001 per share.</w:t>
      </w:r>
    </w:p>
    <w:p>
      <w:pPr>
        <w:spacing w:after="0" w:line="225" w:lineRule="exact"/>
        <w:rPr>
          <w:sz w:val="20"/>
          <w:szCs w:val="20"/>
          <w:color w:val="auto"/>
        </w:rPr>
      </w:pPr>
    </w:p>
    <w:p>
      <w:pPr>
        <w:jc w:val="center"/>
        <w:ind w:right="-79"/>
        <w:spacing w:after="0"/>
        <w:tabs>
          <w:tab w:leader="none" w:pos="30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means shares of the Company’s Series D Preferred Stock, par value $0.001 per share.</w:t>
      </w:r>
    </w:p>
    <w:p>
      <w:pPr>
        <w:spacing w:after="0" w:line="225" w:lineRule="exact"/>
        <w:rPr>
          <w:sz w:val="20"/>
          <w:szCs w:val="20"/>
          <w:color w:val="auto"/>
        </w:rPr>
      </w:pPr>
    </w:p>
    <w:p>
      <w:pPr>
        <w:jc w:val="center"/>
        <w:ind w:right="-39"/>
        <w:spacing w:after="0"/>
        <w:tabs>
          <w:tab w:leader="none" w:pos="30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means shares of the Company’s Series E Preferred Stock, par value $0.001 per share.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means shares of the Company’s Series F Preferred Stock, par value $0.001 per share.</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 Rowe</w:t>
      </w:r>
      <w:r>
        <w:rPr>
          <w:rFonts w:ascii="Arial" w:cs="Arial" w:eastAsia="Arial" w:hAnsi="Arial"/>
          <w:sz w:val="16"/>
          <w:szCs w:val="16"/>
          <w:color w:val="auto"/>
        </w:rPr>
        <w:t>” means the T. Rowe entities listed on Schedule A hereto.</w:t>
      </w:r>
    </w:p>
    <w:p>
      <w:pPr>
        <w:spacing w:after="0" w:line="229"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ind w:left="660" w:right="60" w:firstLine="1293"/>
        <w:spacing w:after="0" w:line="286" w:lineRule="auto"/>
        <w:tabs>
          <w:tab w:leader="none" w:pos="2602" w:val="left"/>
        </w:tabs>
        <w:numPr>
          <w:ilvl w:val="1"/>
          <w:numId w:val="193"/>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 (180) days after the effective date of the registration statement for the IPO, the Company receives a request from Holders of thirty percent (30%) of the Registrable Securities then outstanding that the Company file a Form S-1 registration statement with respect to the Registrable Securities then outstanding with an anticipated aggregate offering price, net of Selling Expenses, of at least $7,500,000, then the Company shall</w:t>
      </w:r>
    </w:p>
    <w:p>
      <w:pPr>
        <w:spacing w:after="0" w:line="1" w:lineRule="exact"/>
        <w:rPr>
          <w:rFonts w:ascii="Arial" w:cs="Arial" w:eastAsia="Arial" w:hAnsi="Arial"/>
          <w:sz w:val="16"/>
          <w:szCs w:val="16"/>
          <w:color w:val="auto"/>
        </w:rPr>
      </w:pPr>
    </w:p>
    <w:p>
      <w:pPr>
        <w:ind w:left="660" w:right="80"/>
        <w:spacing w:after="0" w:line="281" w:lineRule="auto"/>
        <w:rPr>
          <w:rFonts w:ascii="Arial" w:cs="Arial" w:eastAsia="Arial" w:hAnsi="Arial"/>
          <w:sz w:val="16"/>
          <w:szCs w:val="16"/>
          <w:color w:val="auto"/>
        </w:rPr>
      </w:pPr>
      <w:r>
        <w:rPr>
          <w:rFonts w:ascii="Arial" w:cs="Arial" w:eastAsia="Arial" w:hAnsi="Arial"/>
          <w:sz w:val="16"/>
          <w:szCs w:val="16"/>
          <w:color w:val="auto"/>
        </w:rPr>
        <w:t>(i) within ten (10) 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w:t>
      </w:r>
    </w:p>
    <w:p>
      <w:pPr>
        <w:spacing w:after="0" w:line="3"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660" w:right="340" w:firstLine="1293"/>
        <w:spacing w:after="0" w:line="308" w:lineRule="auto"/>
        <w:tabs>
          <w:tab w:leader="none" w:pos="2612" w:val="left"/>
        </w:tabs>
        <w:numPr>
          <w:ilvl w:val="1"/>
          <w:numId w:val="193"/>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If at any time when it is eligible to use a Form S-3 registration statement, the Company receives a request from Holders of at least thirty percent (30%) of the Registrable Securities then outstanding that the Company file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 xml:space="preserve">Form S-3 registration statement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65" w:lineRule="exact"/>
        <w:rPr>
          <w:sz w:val="20"/>
          <w:szCs w:val="20"/>
          <w:color w:val="auto"/>
        </w:rPr>
      </w:pPr>
    </w:p>
    <w:p>
      <w:pPr>
        <w:ind w:left="660" w:right="20" w:firstLine="1293"/>
        <w:spacing w:after="0" w:line="290" w:lineRule="auto"/>
        <w:tabs>
          <w:tab w:leader="none" w:pos="261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w:t>
      </w:r>
    </w:p>
    <w:p>
      <w:pPr>
        <w:sectPr>
          <w:pgSz w:w="11900" w:h="16933" w:orient="portrait"/>
          <w:cols w:equalWidth="0" w:num="1">
            <w:col w:w="11420"/>
          </w:cols>
          <w:pgMar w:left="240" w:top="121" w:right="239" w:bottom="0" w:gutter="0" w:footer="0" w:header="0"/>
        </w:sectPr>
      </w:pPr>
    </w:p>
    <w:bookmarkStart w:id="237" w:name="page238"/>
    <w:bookmarkEnd w:id="237"/>
    <w:p>
      <w:pPr>
        <w:spacing w:after="0" w:line="100" w:lineRule="exact"/>
        <w:rPr>
          <w:sz w:val="20"/>
          <w:szCs w:val="20"/>
          <w:color w:val="auto"/>
        </w:rPr>
      </w:pPr>
    </w:p>
    <w:p>
      <w:pPr>
        <w:ind w:left="660" w:right="20" w:hanging="4"/>
        <w:spacing w:after="0" w:line="264" w:lineRule="auto"/>
        <w:tabs>
          <w:tab w:leader="none" w:pos="109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days after the request of the Initiating Holders is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not invoke this right more than once in any twelve (12) month period; and provided further that the Company shall not register any securities for its own account or that of any other stockholder during such one hundred twenty (120) day period other than an Excluded Registration.</w:t>
      </w:r>
    </w:p>
    <w:p>
      <w:pPr>
        <w:spacing w:after="0" w:line="181" w:lineRule="exact"/>
        <w:rPr>
          <w:sz w:val="20"/>
          <w:szCs w:val="20"/>
          <w:color w:val="auto"/>
        </w:rPr>
      </w:pPr>
    </w:p>
    <w:p>
      <w:pPr>
        <w:ind w:left="2600" w:hanging="647"/>
        <w:spacing w:after="0"/>
        <w:tabs>
          <w:tab w:leader="none" w:pos="26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shall not be obligated to effect, or to take any action to effect, any registration pursuant to</w:t>
      </w:r>
    </w:p>
    <w:p>
      <w:pPr>
        <w:spacing w:after="0" w:line="23" w:lineRule="exact"/>
        <w:rPr>
          <w:sz w:val="20"/>
          <w:szCs w:val="20"/>
          <w:color w:val="auto"/>
        </w:rPr>
      </w:pPr>
    </w:p>
    <w:p>
      <w:pPr>
        <w:ind w:left="660" w:right="60"/>
        <w:spacing w:after="0" w:line="268" w:lineRule="auto"/>
        <w:rPr>
          <w:sz w:val="20"/>
          <w:szCs w:val="20"/>
          <w:color w:val="auto"/>
        </w:rPr>
      </w:pP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(i) during the period that is sixty (60) days before the Company’s good faith estimate of the date of filing of, and ending on a date that is one hundred eighty (180)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The Company shall not be obligated to effect, or to take any action to effect, any registration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7"/>
          <w:szCs w:val="17"/>
          <w:u w:val="single" w:color="auto"/>
          <w:color w:val="auto"/>
        </w:rPr>
        <w:t>Section 2.1(b)</w:t>
      </w:r>
      <w:r>
        <w:rPr>
          <w:rFonts w:ascii="Arial" w:cs="Arial" w:eastAsia="Arial" w:hAnsi="Arial"/>
          <w:sz w:val="17"/>
          <w:szCs w:val="17"/>
          <w:color w:val="auto"/>
        </w:rPr>
        <w:t xml:space="preserve"> within the twelve (12) month period immediately preceding the date of such request. A registration shall not be counted as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 xml:space="preserve">“effected”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in which case such withdrawn registration statement shall be counted as “effected” for purposes of this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187"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 Registration</w:t>
      </w:r>
      <w:r>
        <w:rPr>
          <w:rFonts w:ascii="Arial" w:cs="Arial" w:eastAsia="Arial" w:hAnsi="Arial"/>
          <w:sz w:val="18"/>
          <w:szCs w:val="18"/>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w:t>
      </w:r>
    </w:p>
    <w:p>
      <w:pPr>
        <w:spacing w:after="0" w:line="19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225" w:lineRule="exact"/>
        <w:rPr>
          <w:sz w:val="20"/>
          <w:szCs w:val="20"/>
          <w:color w:val="auto"/>
        </w:rPr>
      </w:pPr>
    </w:p>
    <w:p>
      <w:pPr>
        <w:ind w:left="660" w:firstLine="1293"/>
        <w:spacing w:after="0" w:line="286" w:lineRule="auto"/>
        <w:tabs>
          <w:tab w:leader="none" w:pos="2602"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If,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6"/>
          <w:szCs w:val="16"/>
          <w:u w:val="single" w:color="auto"/>
          <w:color w:val="auto"/>
        </w:rPr>
        <w:t>Section 2.4(e)</w:t>
      </w:r>
      <w:r>
        <w:rPr>
          <w:rFonts w:ascii="Arial" w:cs="Arial" w:eastAsia="Arial" w:hAnsi="Arial"/>
          <w:sz w:val="16"/>
          <w:szCs w:val="16"/>
          <w:color w:val="auto"/>
        </w:rPr>
        <w:t xml:space="preserve">) enter into an underwriting agreement in customary form with the underwriter(s) selected for such underwriting. Notwithstanding any other provision of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100 shares.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1293"/>
        <w:spacing w:after="0" w:line="283" w:lineRule="auto"/>
        <w:tabs>
          <w:tab w:leader="none" w:pos="2612" w:val="left"/>
        </w:tabs>
        <w:numPr>
          <w:ilvl w:val="1"/>
          <w:numId w:val="198"/>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2.2</w:t>
      </w:r>
      <w:r>
        <w:rPr>
          <w:rFonts w:ascii="Arial" w:cs="Arial" w:eastAsia="Arial" w:hAnsi="Arial"/>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or</w:t>
      </w:r>
    </w:p>
    <w:p>
      <w:pPr>
        <w:ind w:left="660" w:right="20" w:hanging="4"/>
        <w:spacing w:after="0" w:line="295" w:lineRule="auto"/>
        <w:tabs>
          <w:tab w:leader="none" w:pos="97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notwithstanding (ii) above, any Registrable Securities which are not Key Holder Registrable Securities be excluded from such underwriting unless all Key Holder Registrable Securities are first excluded from such offering. For purposes of the provision in this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w:t>
      </w:r>
    </w:p>
    <w:p>
      <w:pPr>
        <w:sectPr>
          <w:pgSz w:w="11900" w:h="16938" w:orient="portrait"/>
          <w:cols w:equalWidth="0" w:num="1">
            <w:col w:w="11420"/>
          </w:cols>
          <w:pgMar w:left="240" w:top="126" w:right="239" w:bottom="0" w:gutter="0" w:footer="0" w:header="0"/>
        </w:sectPr>
      </w:pPr>
    </w:p>
    <w:bookmarkStart w:id="238" w:name="page239"/>
    <w:bookmarkEnd w:id="238"/>
    <w:p>
      <w:pPr>
        <w:spacing w:after="0" w:line="95"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81" w:lineRule="exact"/>
        <w:rPr>
          <w:sz w:val="20"/>
          <w:szCs w:val="20"/>
          <w:color w:val="auto"/>
        </w:rPr>
      </w:pPr>
    </w:p>
    <w:p>
      <w:pPr>
        <w:ind w:left="660" w:right="340" w:firstLine="1293"/>
        <w:spacing w:after="0" w:line="264" w:lineRule="auto"/>
        <w:tabs>
          <w:tab w:leader="none" w:pos="261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w:t>
      </w:r>
      <w:r>
        <w:rPr>
          <w:rFonts w:ascii="Arial" w:cs="Arial" w:eastAsia="Arial" w:hAnsi="Arial"/>
          <w:sz w:val="16"/>
          <w:szCs w:val="16"/>
          <w:u w:val="single" w:color="auto"/>
          <w:color w:val="auto"/>
        </w:rPr>
        <w:t xml:space="preserve"> Section 2 </w:t>
      </w:r>
      <w:r>
        <w:rPr>
          <w:rFonts w:ascii="Arial" w:cs="Arial" w:eastAsia="Arial" w:hAnsi="Arial"/>
          <w:sz w:val="16"/>
          <w:szCs w:val="16"/>
          <w:color w:val="auto"/>
        </w:rPr>
        <w:t>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left="660" w:right="20" w:firstLine="1293"/>
        <w:spacing w:after="0" w:line="286" w:lineRule="auto"/>
        <w:tabs>
          <w:tab w:leader="none" w:pos="2602" w:val="left"/>
        </w:tabs>
        <w:numPr>
          <w:ilvl w:val="1"/>
          <w:numId w:val="201"/>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at least fifty percent (50%)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w:t>
      </w:r>
    </w:p>
    <w:p>
      <w:pPr>
        <w:spacing w:after="0" w:line="1" w:lineRule="exact"/>
        <w:rPr>
          <w:rFonts w:ascii="Arial" w:cs="Arial" w:eastAsia="Arial" w:hAnsi="Arial"/>
          <w:sz w:val="16"/>
          <w:szCs w:val="16"/>
          <w:color w:val="auto"/>
        </w:rPr>
      </w:pPr>
    </w:p>
    <w:p>
      <w:pPr>
        <w:ind w:left="660" w:right="60" w:hanging="4"/>
        <w:spacing w:after="0" w:line="261" w:lineRule="auto"/>
        <w:tabs>
          <w:tab w:leader="none" w:pos="10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day period shall be extended for a period of time equal to the period the Holder refrains, at the request of an underwriter of Common Stock (or other securities) of the Company, from selling any securities included in such registration;</w:t>
      </w:r>
    </w:p>
    <w:p>
      <w:pPr>
        <w:spacing w:after="0" w:line="183" w:lineRule="exact"/>
        <w:rPr>
          <w:rFonts w:ascii="Arial" w:cs="Arial" w:eastAsia="Arial" w:hAnsi="Arial"/>
          <w:sz w:val="18"/>
          <w:szCs w:val="18"/>
          <w:color w:val="auto"/>
        </w:rPr>
      </w:pPr>
    </w:p>
    <w:p>
      <w:pPr>
        <w:ind w:left="660" w:right="140" w:firstLine="1293"/>
        <w:spacing w:after="0" w:line="264" w:lineRule="auto"/>
        <w:tabs>
          <w:tab w:leader="none" w:pos="261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1" w:lineRule="exact"/>
        <w:rPr>
          <w:rFonts w:ascii="Arial" w:cs="Arial" w:eastAsia="Arial" w:hAnsi="Arial"/>
          <w:sz w:val="18"/>
          <w:szCs w:val="18"/>
          <w:color w:val="auto"/>
        </w:rPr>
      </w:pPr>
    </w:p>
    <w:p>
      <w:pPr>
        <w:ind w:left="660" w:right="140" w:firstLine="1293"/>
        <w:spacing w:after="0" w:line="264" w:lineRule="auto"/>
        <w:tabs>
          <w:tab w:leader="none" w:pos="261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81" w:lineRule="exact"/>
        <w:rPr>
          <w:rFonts w:ascii="Arial" w:cs="Arial" w:eastAsia="Arial" w:hAnsi="Arial"/>
          <w:sz w:val="18"/>
          <w:szCs w:val="18"/>
          <w:color w:val="auto"/>
        </w:rPr>
      </w:pPr>
    </w:p>
    <w:p>
      <w:pPr>
        <w:jc w:val="both"/>
        <w:ind w:left="660" w:right="100" w:firstLine="1293"/>
        <w:spacing w:after="0" w:line="279" w:lineRule="auto"/>
        <w:tabs>
          <w:tab w:leader="none" w:pos="2612" w:val="left"/>
        </w:tabs>
        <w:numPr>
          <w:ilvl w:val="1"/>
          <w:numId w:val="202"/>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left="660" w:right="140" w:firstLine="1293"/>
        <w:spacing w:after="0" w:line="277" w:lineRule="auto"/>
        <w:tabs>
          <w:tab w:leader="none" w:pos="2615"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left="660" w:right="160" w:firstLine="1293"/>
        <w:spacing w:after="0" w:line="264" w:lineRule="auto"/>
        <w:tabs>
          <w:tab w:leader="none" w:pos="2609" w:val="left"/>
        </w:tabs>
        <w:numPr>
          <w:ilvl w:val="1"/>
          <w:numId w:val="20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1" w:lineRule="exact"/>
        <w:rPr>
          <w:rFonts w:ascii="Arial" w:cs="Arial" w:eastAsia="Arial" w:hAnsi="Arial"/>
          <w:sz w:val="18"/>
          <w:szCs w:val="18"/>
          <w:color w:val="auto"/>
        </w:rPr>
      </w:pPr>
    </w:p>
    <w:p>
      <w:pPr>
        <w:ind w:left="660" w:right="260" w:firstLine="1293"/>
        <w:spacing w:after="0" w:line="277" w:lineRule="auto"/>
        <w:tabs>
          <w:tab w:leader="none" w:pos="262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660" w:right="640" w:firstLine="1293"/>
        <w:spacing w:after="0" w:line="277" w:lineRule="auto"/>
        <w:tabs>
          <w:tab w:leader="none" w:pos="2612" w:val="left"/>
        </w:tabs>
        <w:numPr>
          <w:ilvl w:val="1"/>
          <w:numId w:val="20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54" w:lineRule="exact"/>
        <w:rPr>
          <w:sz w:val="20"/>
          <w:szCs w:val="20"/>
          <w:color w:val="auto"/>
        </w:rPr>
      </w:pPr>
    </w:p>
    <w:p>
      <w:pPr>
        <w:ind w:left="660" w:right="580" w:firstLine="1293"/>
        <w:spacing w:after="0" w:line="342" w:lineRule="auto"/>
        <w:tabs>
          <w:tab w:leader="none" w:pos="2626" w:val="left"/>
        </w:tabs>
        <w:numPr>
          <w:ilvl w:val="0"/>
          <w:numId w:val="203"/>
        </w:numPr>
        <w:rPr>
          <w:rFonts w:ascii="Arial" w:cs="Arial" w:eastAsia="Arial" w:hAnsi="Arial"/>
          <w:sz w:val="16"/>
          <w:szCs w:val="16"/>
          <w:color w:val="auto"/>
        </w:rPr>
      </w:pPr>
      <w:r>
        <w:rPr>
          <w:rFonts w:ascii="Arial" w:cs="Arial" w:eastAsia="Arial" w:hAnsi="Arial"/>
          <w:sz w:val="16"/>
          <w:szCs w:val="16"/>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23" w:lineRule="exact"/>
        <w:rPr>
          <w:rFonts w:ascii="Arial" w:cs="Arial" w:eastAsia="Arial" w:hAnsi="Arial"/>
          <w:sz w:val="16"/>
          <w:szCs w:val="16"/>
          <w:color w:val="auto"/>
        </w:rPr>
      </w:pPr>
    </w:p>
    <w:p>
      <w:pPr>
        <w:ind w:left="660" w:right="680" w:firstLine="1293"/>
        <w:spacing w:after="0" w:line="277" w:lineRule="auto"/>
        <w:tabs>
          <w:tab w:leader="none" w:pos="261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right="80" w:firstLine="1297"/>
        <w:spacing w:after="0" w:line="290"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xml:space="preserve">. All expenses (other than Selling Expenses) incurred in connection with registrations, filings, or qualifications pursuant to </w:t>
      </w:r>
      <w:r>
        <w:rPr>
          <w:rFonts w:ascii="Arial" w:cs="Arial" w:eastAsia="Arial" w:hAnsi="Arial"/>
          <w:sz w:val="16"/>
          <w:szCs w:val="16"/>
          <w:u w:val="single" w:color="auto"/>
          <w:color w:val="auto"/>
        </w:rPr>
        <w:t>Section 2</w:t>
      </w:r>
      <w:r>
        <w:rPr>
          <w:rFonts w:ascii="Arial" w:cs="Arial" w:eastAsia="Arial" w:hAnsi="Arial"/>
          <w:sz w:val="16"/>
          <w:szCs w:val="16"/>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xml:space="preserve">”), shall be borne and paid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pay for any expenses of any registration proceeding begun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w:t>
      </w:r>
      <w:r>
        <w:rPr>
          <w:rFonts w:ascii="Arial" w:cs="Arial" w:eastAsia="Arial" w:hAnsi="Arial"/>
          <w:sz w:val="16"/>
          <w:szCs w:val="16"/>
          <w:color w:val="auto"/>
        </w:rPr>
        <w:t xml:space="preserve"> if the registration request is subsequently withdrawn at the request of the Holders of at least fifty percent (50%) of the Registrable Securities to be registered (in which case all selling Holders shall bear such expenses pro rata based upon the number of Registrable Securities that were to be included in the withdrawn registration), unless the Holders of at least fifty percent (50%) of the Registrable Securities agree to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as the case may be;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the time of such withdrawal, the Holders shall have learned of a material</w:t>
      </w:r>
    </w:p>
    <w:p>
      <w:pPr>
        <w:sectPr>
          <w:pgSz w:w="11900" w:h="16933" w:orient="portrait"/>
          <w:cols w:equalWidth="0" w:num="1">
            <w:col w:w="11420"/>
          </w:cols>
          <w:pgMar w:left="240" w:top="125" w:right="239" w:bottom="0" w:gutter="0" w:footer="0" w:header="0"/>
        </w:sectPr>
      </w:pPr>
    </w:p>
    <w:bookmarkStart w:id="239" w:name="page240"/>
    <w:bookmarkEnd w:id="239"/>
    <w:p>
      <w:pPr>
        <w:ind w:right="80"/>
        <w:spacing w:after="0" w:line="302" w:lineRule="auto"/>
        <w:rPr>
          <w:sz w:val="20"/>
          <w:szCs w:val="20"/>
          <w:color w:val="auto"/>
        </w:rPr>
      </w:pPr>
      <w:r>
        <w:rPr>
          <w:rFonts w:ascii="Arial" w:cs="Arial" w:eastAsia="Arial" w:hAnsi="Arial"/>
          <w:sz w:val="16"/>
          <w:szCs w:val="16"/>
          <w:color w:val="auto"/>
        </w:rPr>
        <w:t xml:space="preserve">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All Selling Expenses relating to Registrable Securities registered pursuant to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borne and paid by the Holders pro rata on the basis of the number of Registrable Securities registered on their behalf.</w:t>
      </w:r>
    </w:p>
    <w:p>
      <w:pPr>
        <w:spacing w:after="0" w:line="154"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registration pursuant to this Agreement as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result of any controversy that might arise with respect to the interpretation or implementation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w:t>
      </w:r>
      <w:r>
        <w:rPr>
          <w:rFonts w:ascii="Arial" w:cs="Arial" w:eastAsia="Arial" w:hAnsi="Arial"/>
          <w:sz w:val="16"/>
          <w:szCs w:val="16"/>
          <w:u w:val="single" w:color="auto"/>
          <w:color w:val="auto"/>
        </w:rPr>
        <w:t xml:space="preserve"> Section 2</w:t>
      </w:r>
      <w:r>
        <w:rPr>
          <w:rFonts w:ascii="Arial" w:cs="Arial" w:eastAsia="Arial" w:hAnsi="Arial"/>
          <w:sz w:val="16"/>
          <w:szCs w:val="16"/>
          <w:color w:val="auto"/>
        </w:rPr>
        <w:t>:</w:t>
      </w:r>
    </w:p>
    <w:p>
      <w:pPr>
        <w:spacing w:after="0" w:line="225" w:lineRule="exact"/>
        <w:rPr>
          <w:sz w:val="20"/>
          <w:szCs w:val="20"/>
          <w:color w:val="auto"/>
        </w:rPr>
      </w:pPr>
    </w:p>
    <w:p>
      <w:pPr>
        <w:ind w:left="660" w:right="40" w:firstLine="1293"/>
        <w:spacing w:after="0" w:line="288" w:lineRule="auto"/>
        <w:tabs>
          <w:tab w:leader="none" w:pos="2602"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9" w:lineRule="exact"/>
        <w:rPr>
          <w:rFonts w:ascii="Arial" w:cs="Arial" w:eastAsia="Arial" w:hAnsi="Arial"/>
          <w:sz w:val="16"/>
          <w:szCs w:val="16"/>
          <w:color w:val="auto"/>
        </w:rPr>
      </w:pPr>
    </w:p>
    <w:p>
      <w:pPr>
        <w:ind w:left="660" w:firstLine="1293"/>
        <w:spacing w:after="0" w:line="268" w:lineRule="auto"/>
        <w:tabs>
          <w:tab w:leader="none" w:pos="261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Sections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1293"/>
        <w:spacing w:after="0" w:line="287" w:lineRule="auto"/>
        <w:tabs>
          <w:tab w:leader="none" w:pos="261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left="660" w:right="20" w:firstLine="1293"/>
        <w:spacing w:after="0" w:line="283" w:lineRule="auto"/>
        <w:tabs>
          <w:tab w:leader="none" w:pos="2612"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provides for indemnification in such case, or (ii) contribution under the Securities Act may be required on the part of any party hereto for which indemnification is provided under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w:t>
      </w:r>
    </w:p>
    <w:p>
      <w:pPr>
        <w:spacing w:after="0" w:line="2" w:lineRule="exact"/>
        <w:rPr>
          <w:rFonts w:ascii="Arial" w:cs="Arial" w:eastAsia="Arial" w:hAnsi="Arial"/>
          <w:sz w:val="16"/>
          <w:szCs w:val="16"/>
          <w:color w:val="auto"/>
        </w:rPr>
      </w:pPr>
    </w:p>
    <w:p>
      <w:pPr>
        <w:ind w:left="660" w:right="3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w:t>
      </w:r>
    </w:p>
    <w:p>
      <w:pPr>
        <w:sectPr>
          <w:pgSz w:w="11900" w:h="16838" w:orient="portrait"/>
          <w:cols w:equalWidth="0" w:num="1">
            <w:col w:w="11400"/>
          </w:cols>
          <w:pgMar w:left="240" w:top="125" w:right="259" w:bottom="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40" w:name="page241"/>
    <w:bookmarkEnd w:id="240"/>
    <w:p>
      <w:pPr>
        <w:ind w:left="660" w:right="320"/>
        <w:spacing w:after="0" w:line="264" w:lineRule="auto"/>
        <w:rPr>
          <w:sz w:val="20"/>
          <w:szCs w:val="20"/>
          <w:color w:val="auto"/>
        </w:rPr>
      </w:pPr>
      <w:r>
        <w:rPr>
          <w:rFonts w:ascii="Arial" w:cs="Arial" w:eastAsia="Arial" w:hAnsi="Arial"/>
          <w:sz w:val="18"/>
          <w:szCs w:val="18"/>
          <w:color w:val="auto"/>
        </w:rPr>
        <w:t xml:space="preserve">to this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181" w:lineRule="exact"/>
        <w:rPr>
          <w:sz w:val="20"/>
          <w:szCs w:val="20"/>
          <w:color w:val="auto"/>
        </w:rPr>
      </w:pPr>
    </w:p>
    <w:p>
      <w:pPr>
        <w:ind w:left="660" w:right="80" w:firstLine="1293"/>
        <w:spacing w:after="0" w:line="264" w:lineRule="auto"/>
        <w:tabs>
          <w:tab w:leader="none" w:pos="26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1" w:lineRule="exact"/>
        <w:rPr>
          <w:rFonts w:ascii="Arial" w:cs="Arial" w:eastAsia="Arial" w:hAnsi="Arial"/>
          <w:sz w:val="18"/>
          <w:szCs w:val="18"/>
          <w:color w:val="auto"/>
        </w:rPr>
      </w:pPr>
    </w:p>
    <w:p>
      <w:pPr>
        <w:ind w:left="660" w:right="100" w:firstLine="1293"/>
        <w:spacing w:after="0" w:line="264" w:lineRule="auto"/>
        <w:tabs>
          <w:tab w:leader="none" w:pos="260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1" w:lineRule="exact"/>
        <w:rPr>
          <w:sz w:val="20"/>
          <w:szCs w:val="20"/>
          <w:color w:val="auto"/>
        </w:rPr>
      </w:pPr>
    </w:p>
    <w:p>
      <w:pPr>
        <w:ind w:left="660" w:firstLine="1293"/>
        <w:spacing w:after="0" w:line="277" w:lineRule="auto"/>
        <w:tabs>
          <w:tab w:leader="none" w:pos="260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left="660" w:right="180" w:firstLine="1293"/>
        <w:spacing w:after="0" w:line="264" w:lineRule="auto"/>
        <w:tabs>
          <w:tab w:leader="none" w:pos="2612" w:val="left"/>
        </w:tabs>
        <w:numPr>
          <w:ilvl w:val="0"/>
          <w:numId w:val="207"/>
        </w:numPr>
        <w:rPr>
          <w:rFonts w:ascii="Arial" w:cs="Arial" w:eastAsia="Arial" w:hAnsi="Arial"/>
          <w:sz w:val="18"/>
          <w:szCs w:val="18"/>
          <w:color w:val="auto"/>
        </w:rPr>
      </w:pPr>
      <w:r>
        <w:rPr>
          <w:rFonts w:ascii="Arial" w:cs="Arial" w:eastAsia="Arial" w:hAnsi="Arial"/>
          <w:sz w:val="18"/>
          <w:szCs w:val="18"/>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81" w:lineRule="exact"/>
        <w:rPr>
          <w:rFonts w:ascii="Arial" w:cs="Arial" w:eastAsia="Arial" w:hAnsi="Arial"/>
          <w:sz w:val="18"/>
          <w:szCs w:val="18"/>
          <w:color w:val="auto"/>
        </w:rPr>
      </w:pPr>
    </w:p>
    <w:p>
      <w:pPr>
        <w:ind w:left="660" w:right="120" w:firstLine="1293"/>
        <w:spacing w:after="0" w:line="284" w:lineRule="auto"/>
        <w:tabs>
          <w:tab w:leader="none" w:pos="261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w:t>
      </w:r>
    </w:p>
    <w:p>
      <w:pPr>
        <w:spacing w:after="0" w:line="4" w:lineRule="exact"/>
        <w:rPr>
          <w:rFonts w:ascii="Arial" w:cs="Arial" w:eastAsia="Arial" w:hAnsi="Arial"/>
          <w:sz w:val="16"/>
          <w:szCs w:val="16"/>
          <w:color w:val="auto"/>
        </w:rPr>
      </w:pPr>
    </w:p>
    <w:p>
      <w:pPr>
        <w:ind w:left="660" w:right="20"/>
        <w:spacing w:after="0" w:line="323" w:lineRule="auto"/>
        <w:rPr>
          <w:rFonts w:ascii="Arial" w:cs="Arial" w:eastAsia="Arial" w:hAnsi="Arial"/>
          <w:sz w:val="16"/>
          <w:szCs w:val="16"/>
          <w:color w:val="auto"/>
        </w:rPr>
      </w:pPr>
      <w:r>
        <w:rPr>
          <w:rFonts w:ascii="Arial" w:cs="Arial" w:eastAsia="Arial" w:hAnsi="Arial"/>
          <w:sz w:val="16"/>
          <w:szCs w:val="16"/>
          <w:color w:val="auto"/>
        </w:rPr>
        <w:t>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39"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least a majority of the Registrable Securities then outstanding, enter into any agreement with any holder or prospective holder of any securities of the Company that would provide to such holder the right to include securities in any registration other than on a subordinate basis after all Holders have had the opportunity to include in the registration and offering all shares of Registrable Securities that they wish to so include.</w:t>
      </w:r>
    </w:p>
    <w:p>
      <w:pPr>
        <w:spacing w:after="0" w:line="166" w:lineRule="exact"/>
        <w:rPr>
          <w:sz w:val="20"/>
          <w:szCs w:val="20"/>
          <w:color w:val="auto"/>
        </w:rPr>
      </w:pPr>
    </w:p>
    <w:p>
      <w:pPr>
        <w:ind w:right="20" w:firstLine="1297"/>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xml:space="preserve">. Each Holder hereby agrees that it will not, without the prior written consent of the managing underwriter, during the period commencing on the date of the final prospectus relating to the registration by the Company for its own behalf of shares of its Common Stock or any other equity securities under the Securities Act on a registration statement on Form S-1 and ending on the date specified by the Company and the managing underwriter (such period not to exceed one hundred eighty (180) days, which period may be extended upon the request of the managing underwriter, to the extent required by any FINRA rules, for an additional period of up to fifteen (15) days if the Company issues or proposes to issue an earnings or other public release within fifteen (15) days of the expiration of the 180-day lockup period, if and only if the Company is not an “emerging growth company” (as defined in the Jumpstart Our Business Startups Act of 2012))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apply only to the IPO, shall not apply to the sale of any shares to an underwriter pursuant to an underwriting agreement, and shall be applicable to the Holders only if all officers and directors are subject to the same restrictions and the Company uses commercially reasonable efforts to obtain a similar agreement from all stockholders individually owning more than one percent (1%) of the Company’s outstanding Common Stock (after giving effect to conversion into Common Stock of all outstanding Preferred Stock). The underwriters in connection with such registration are intended third-party beneficiaries of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Holders subject to such agreements (including, without limitation, those set forth in that certain Fifth Amended and Restated Right of First Refusal and Co-Sale Agreement dated as of the date hereof), based on the number of shares subject to such agreements.</w:t>
      </w:r>
    </w:p>
    <w:p>
      <w:pPr>
        <w:spacing w:after="0" w:line="18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225" w:lineRule="exact"/>
        <w:rPr>
          <w:sz w:val="20"/>
          <w:szCs w:val="20"/>
          <w:color w:val="auto"/>
        </w:rPr>
      </w:pPr>
    </w:p>
    <w:p>
      <w:pPr>
        <w:ind w:left="660" w:right="140" w:firstLine="1293"/>
        <w:spacing w:after="0" w:line="277" w:lineRule="auto"/>
        <w:tabs>
          <w:tab w:leader="none" w:pos="260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Preferred Stock and the Registrable Securities shall not be sold, pledged, or otherwise transferred, and the Company shall not recognize and shall issue stop-transfer instructions to its transfer agent with respect to any such sale, pledge,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241" w:name="page242"/>
    <w:bookmarkEnd w:id="241"/>
    <w:p>
      <w:pPr>
        <w:spacing w:after="0" w:line="137" w:lineRule="exact"/>
        <w:rPr>
          <w:sz w:val="20"/>
          <w:szCs w:val="20"/>
          <w:color w:val="auto"/>
        </w:rPr>
      </w:pPr>
    </w:p>
    <w:p>
      <w:pPr>
        <w:ind w:left="660" w:right="120"/>
        <w:spacing w:after="0" w:line="312" w:lineRule="auto"/>
        <w:rPr>
          <w:sz w:val="20"/>
          <w:szCs w:val="20"/>
          <w:color w:val="auto"/>
        </w:rPr>
      </w:pPr>
      <w:r>
        <w:rPr>
          <w:rFonts w:ascii="Arial" w:cs="Arial" w:eastAsia="Arial" w:hAnsi="Arial"/>
          <w:sz w:val="16"/>
          <w:szCs w:val="16"/>
          <w:color w:val="auto"/>
        </w:rPr>
        <w:t>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47" w:lineRule="exact"/>
        <w:rPr>
          <w:sz w:val="20"/>
          <w:szCs w:val="20"/>
          <w:color w:val="auto"/>
        </w:rPr>
      </w:pPr>
    </w:p>
    <w:p>
      <w:pPr>
        <w:ind w:left="660" w:right="400" w:firstLine="1293"/>
        <w:spacing w:after="0" w:line="259" w:lineRule="auto"/>
        <w:tabs>
          <w:tab w:leader="none" w:pos="2612"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Each certificate or instrument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8"/>
          <w:szCs w:val="18"/>
          <w:u w:val="single" w:color="auto"/>
          <w:color w:val="auto"/>
        </w:rPr>
        <w:t>Section 2.12(c)</w:t>
      </w:r>
      <w:r>
        <w:rPr>
          <w:rFonts w:ascii="Arial" w:cs="Arial" w:eastAsia="Arial" w:hAnsi="Arial"/>
          <w:sz w:val="18"/>
          <w:szCs w:val="18"/>
          <w:color w:val="auto"/>
        </w:rPr>
        <w:t>) be stamped or otherwise imprinted with a legend substantially in the following form:</w:t>
      </w:r>
    </w:p>
    <w:p>
      <w:pPr>
        <w:spacing w:after="0" w:line="187"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187" w:lineRule="exact"/>
        <w:rPr>
          <w:sz w:val="20"/>
          <w:szCs w:val="20"/>
          <w:color w:val="auto"/>
        </w:rPr>
      </w:pPr>
    </w:p>
    <w:p>
      <w:pPr>
        <w:ind w:left="660" w:right="360"/>
        <w:spacing w:after="0" w:line="264"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70" w:lineRule="exact"/>
        <w:rPr>
          <w:sz w:val="20"/>
          <w:szCs w:val="20"/>
          <w:color w:val="auto"/>
        </w:rPr>
      </w:pPr>
    </w:p>
    <w:p>
      <w:pPr>
        <w:ind w:left="660" w:right="20" w:firstLine="1293"/>
        <w:spacing w:after="0" w:line="287" w:lineRule="auto"/>
        <w:tabs>
          <w:tab w:leader="none" w:pos="261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w:t>
      </w:r>
      <w:r>
        <w:rPr>
          <w:rFonts w:ascii="Arial" w:cs="Arial" w:eastAsia="Arial" w:hAnsi="Arial"/>
          <w:sz w:val="16"/>
          <w:szCs w:val="16"/>
          <w:u w:val="single" w:color="auto"/>
          <w:color w:val="auto"/>
        </w:rPr>
        <w:t>Section 2</w:t>
      </w:r>
      <w:r>
        <w:rPr>
          <w:rFonts w:ascii="Arial" w:cs="Arial" w:eastAsia="Arial" w:hAnsi="Arial"/>
          <w:sz w:val="16"/>
          <w:szCs w:val="16"/>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 xml:space="preserve">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Each certificate or instrument evidencing the Restricted Securities transferred as above provided shall bear, except if such transfer is made pursuant to SEC Rule 144, the appropriate restrictive legend set forth in </w:t>
      </w:r>
      <w:r>
        <w:rPr>
          <w:rFonts w:ascii="Arial" w:cs="Arial" w:eastAsia="Arial" w:hAnsi="Arial"/>
          <w:sz w:val="16"/>
          <w:szCs w:val="16"/>
          <w:u w:val="single" w:color="auto"/>
          <w:color w:val="auto"/>
        </w:rPr>
        <w:t>Section 2.12(b)</w:t>
      </w:r>
      <w:r>
        <w:rPr>
          <w:rFonts w:ascii="Arial" w:cs="Arial" w:eastAsia="Arial" w:hAnsi="Arial"/>
          <w:sz w:val="16"/>
          <w:szCs w:val="16"/>
          <w:color w:val="auto"/>
        </w:rPr>
        <w:t>, except that such certificate shall not bear such restrictive legend if, in the opinion of counsel for such Holder and the Company, such legend is not required in order to establish compliance with any provisions of the Securities Act.</w:t>
      </w:r>
    </w:p>
    <w:p>
      <w:pPr>
        <w:spacing w:after="0" w:line="16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shall terminate upon the earlier of:</w:t>
      </w:r>
    </w:p>
    <w:p>
      <w:pPr>
        <w:spacing w:after="0" w:line="170" w:lineRule="exact"/>
        <w:rPr>
          <w:sz w:val="20"/>
          <w:szCs w:val="20"/>
          <w:color w:val="auto"/>
        </w:rPr>
      </w:pPr>
    </w:p>
    <w:p>
      <w:pPr>
        <w:ind w:left="2600" w:hanging="647"/>
        <w:spacing w:after="0"/>
        <w:tabs>
          <w:tab w:leader="none" w:pos="2600" w:val="left"/>
        </w:tabs>
        <w:numPr>
          <w:ilvl w:val="1"/>
          <w:numId w:val="211"/>
        </w:numPr>
        <w:rPr>
          <w:rFonts w:ascii="Arial" w:cs="Arial" w:eastAsia="Arial" w:hAnsi="Arial"/>
          <w:sz w:val="17"/>
          <w:szCs w:val="17"/>
          <w:color w:val="auto"/>
        </w:rPr>
      </w:pPr>
      <w:r>
        <w:rPr>
          <w:rFonts w:ascii="Arial" w:cs="Arial" w:eastAsia="Arial" w:hAnsi="Arial"/>
          <w:sz w:val="17"/>
          <w:szCs w:val="17"/>
          <w:color w:val="auto"/>
        </w:rPr>
        <w:t>when all of such Holder’s Registrable Securities could be sold in any ninety (90) day period under SEC Rule 144; and</w:t>
      </w:r>
    </w:p>
    <w:p>
      <w:pPr>
        <w:spacing w:after="0" w:line="236" w:lineRule="exact"/>
        <w:rPr>
          <w:rFonts w:ascii="Arial" w:cs="Arial" w:eastAsia="Arial" w:hAnsi="Arial"/>
          <w:sz w:val="17"/>
          <w:szCs w:val="17"/>
          <w:color w:val="auto"/>
        </w:rPr>
      </w:pPr>
    </w:p>
    <w:p>
      <w:pPr>
        <w:ind w:left="2600" w:hanging="647"/>
        <w:spacing w:after="0"/>
        <w:tabs>
          <w:tab w:leader="none" w:pos="260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fifth anniversary of a Qualified Public Offering.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The Company shall deliver to each Major Investor:</w:t>
      </w:r>
    </w:p>
    <w:p>
      <w:pPr>
        <w:spacing w:after="0" w:line="225" w:lineRule="exact"/>
        <w:rPr>
          <w:rFonts w:ascii="Arial" w:cs="Arial" w:eastAsia="Arial" w:hAnsi="Arial"/>
          <w:sz w:val="18"/>
          <w:szCs w:val="18"/>
          <w:color w:val="auto"/>
        </w:rPr>
      </w:pPr>
    </w:p>
    <w:p>
      <w:pPr>
        <w:ind w:left="660" w:firstLine="1293"/>
        <w:spacing w:after="0" w:line="288" w:lineRule="auto"/>
        <w:tabs>
          <w:tab w:leader="none" w:pos="260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as soon as practicable, but in any event within ninety (90) days after the end of each fiscal year of the Company or such later date, but, with respect to clauses (i), (ii) and (iii) below, not later than one-hundred eighty (180) days after the end of such fiscal year that the Board of Directors, including at least two Preferred Directors determine, (i) a balance sheet as of the end of such year, (ii) statements of income and of cash flows for such year, (iii) a statement of stockholders’ equity as of the end of such year, commencing with the fiscal year ending January 31, 2014, all such financial statements audited and certified by independent public accountants of nationally recognized standing selected by the Company and (iv) a statement showing the number of shares of each class and series of capital stock and securities convertible into or exercisable for shares of capital stock outstanding at the end of the applicable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each Major Investor to calculate the percentage equity ownership of such Major Investor (a “</w:t>
      </w:r>
      <w:r>
        <w:rPr>
          <w:rFonts w:ascii="Arial" w:cs="Arial" w:eastAsia="Arial" w:hAnsi="Arial"/>
          <w:sz w:val="16"/>
          <w:szCs w:val="16"/>
          <w:b w:val="1"/>
          <w:bCs w:val="1"/>
          <w:color w:val="auto"/>
        </w:rPr>
        <w:t>Capitalization Statement</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ind w:left="660" w:right="260" w:firstLine="1293"/>
        <w:spacing w:after="0" w:line="277" w:lineRule="auto"/>
        <w:tabs>
          <w:tab w:leader="none" w:pos="261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(i) unaudited statements of income and of cash flows for such fiscal quarter, and an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342" w:lineRule="auto"/>
        <w:rPr>
          <w:sz w:val="20"/>
          <w:szCs w:val="20"/>
          <w:color w:val="auto"/>
        </w:rPr>
      </w:pPr>
      <w:r>
        <w:rPr>
          <w:rFonts w:ascii="Arial" w:cs="Arial" w:eastAsia="Arial" w:hAnsi="Arial"/>
          <w:sz w:val="16"/>
          <w:szCs w:val="16"/>
          <w:color w:val="auto"/>
        </w:rPr>
        <w:t>unaudited balance sheet and a statement of stockholders’ equity as of the end of such fiscal quarter, all prepared in accordance with GAAP (except that such financial statements may (A) be subject to normal year-end audit adjustments and (B) not contain all notes thereto that may be required in</w:t>
      </w:r>
    </w:p>
    <w:p>
      <w:pPr>
        <w:sectPr>
          <w:pgSz w:w="11900" w:h="16975" w:orient="portrait"/>
          <w:cols w:equalWidth="0" w:num="1">
            <w:col w:w="11420"/>
          </w:cols>
          <w:pgMar w:left="240" w:top="341" w:right="239" w:bottom="0" w:gutter="0" w:footer="0" w:header="0"/>
        </w:sectPr>
      </w:pPr>
    </w:p>
    <w:bookmarkStart w:id="242" w:name="page243"/>
    <w:bookmarkEnd w:id="242"/>
    <w:p>
      <w:pPr>
        <w:ind w:left="660"/>
        <w:spacing w:after="0"/>
        <w:rPr>
          <w:sz w:val="20"/>
          <w:szCs w:val="20"/>
          <w:color w:val="auto"/>
        </w:rPr>
      </w:pPr>
      <w:r>
        <w:rPr>
          <w:rFonts w:ascii="Arial" w:cs="Arial" w:eastAsia="Arial" w:hAnsi="Arial"/>
          <w:sz w:val="18"/>
          <w:szCs w:val="18"/>
          <w:color w:val="auto"/>
        </w:rPr>
        <w:t>accordance with GAAP) and (ii) a Capitalization Statement;</w:t>
      </w:r>
    </w:p>
    <w:p>
      <w:pPr>
        <w:spacing w:after="0" w:line="225" w:lineRule="exact"/>
        <w:rPr>
          <w:sz w:val="20"/>
          <w:szCs w:val="20"/>
          <w:color w:val="auto"/>
        </w:rPr>
      </w:pPr>
    </w:p>
    <w:p>
      <w:pPr>
        <w:ind w:left="660" w:right="180" w:firstLine="1293"/>
        <w:spacing w:after="0" w:line="257" w:lineRule="auto"/>
        <w:tabs>
          <w:tab w:leader="none" w:pos="26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soon as practicable following a request by a Major Investor, but in any event within thirty (30) days of the date of the end of the month for which financial information is requested, an unaudited income statement and statement of cash flows for such month, and an unaudited balance sheet and statement of stockholders’ equity as of the end of such month requested by such Major Investor, all prepared in accordance with GAAP (except that such financial statements may (i) be subject to normal year-end audit adjustments and (ii) not contain all notes thereto that may be required in accordance with GAAP);</w:t>
      </w:r>
    </w:p>
    <w:p>
      <w:pPr>
        <w:spacing w:after="0" w:line="188" w:lineRule="exact"/>
        <w:rPr>
          <w:rFonts w:ascii="Arial" w:cs="Arial" w:eastAsia="Arial" w:hAnsi="Arial"/>
          <w:sz w:val="18"/>
          <w:szCs w:val="18"/>
          <w:color w:val="auto"/>
        </w:rPr>
      </w:pPr>
    </w:p>
    <w:p>
      <w:pPr>
        <w:ind w:left="660" w:right="140" w:firstLine="1293"/>
        <w:spacing w:after="0" w:line="259" w:lineRule="auto"/>
        <w:tabs>
          <w:tab w:leader="none" w:pos="261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 soon as practicable, but in any event thirty (30) days before the end of each fiscal year, a budget and business plan for the next fiscal year (collectively, the “</w:t>
      </w:r>
      <w:r>
        <w:rPr>
          <w:rFonts w:ascii="Arial" w:cs="Arial" w:eastAsia="Arial" w:hAnsi="Arial"/>
          <w:sz w:val="18"/>
          <w:szCs w:val="18"/>
          <w:b w:val="1"/>
          <w:bCs w:val="1"/>
          <w:color w:val="auto"/>
        </w:rPr>
        <w:t>Budget</w:t>
      </w:r>
      <w:r>
        <w:rPr>
          <w:rFonts w:ascii="Arial" w:cs="Arial" w:eastAsia="Arial" w:hAnsi="Arial"/>
          <w:sz w:val="18"/>
          <w:szCs w:val="18"/>
          <w:color w:val="auto"/>
        </w:rPr>
        <w:t>”), approved by the Board of Directors and prepared on a monthly basis, including balance sheets, income statements, and statements of cash flow for such months and, promptly after prepared, any other budgets or revised budgets prepared by the Company; and</w:t>
      </w:r>
    </w:p>
    <w:p>
      <w:pPr>
        <w:spacing w:after="0" w:line="186" w:lineRule="exact"/>
        <w:rPr>
          <w:rFonts w:ascii="Arial" w:cs="Arial" w:eastAsia="Arial" w:hAnsi="Arial"/>
          <w:sz w:val="18"/>
          <w:szCs w:val="18"/>
          <w:color w:val="auto"/>
        </w:rPr>
      </w:pPr>
    </w:p>
    <w:p>
      <w:pPr>
        <w:ind w:left="660" w:right="80" w:firstLine="1293"/>
        <w:spacing w:after="0" w:line="255" w:lineRule="auto"/>
        <w:tabs>
          <w:tab w:leader="none" w:pos="261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including without limitation information relating to accounting or securities law matters required by any Major Investor in connection with its audit;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form reasonably acceptable to the Company) or (ii) the disclosure of which would adversely affect the attorney-client privilege between the Company and its counsel.</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Notwithstanding anything else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Inspection</w:t>
      </w:r>
      <w:r>
        <w:rPr>
          <w:rFonts w:ascii="Arial" w:cs="Arial" w:eastAsia="Arial" w:hAnsi="Arial"/>
          <w:sz w:val="18"/>
          <w:szCs w:val="18"/>
          <w:color w:val="auto"/>
        </w:rPr>
        <w:t xml:space="preserve">. The Company shall permit each Major Investor,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pursuant to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to provide access to any information that it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193"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terminate and be of no further force or effect (i) immediately before, but contingent upon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87"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(iii) to any existing or prospective Affiliate, partner, member, stockholder, or wholly owned subsidiary of such Investor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Investor promptly notifies the Company of such disclosure and takes reasonable steps to minimize the extent of any such required disclosure. Notwithstanding the foregoing, nothing contained herein shall prevent any Investor that is an “investment company” (as defined in the Investment Company Act of 1940) from making such disclosures regarding its holdings and values as deemed necessary or appropriate, consistent with past practice.</w:t>
      </w:r>
    </w:p>
    <w:p>
      <w:pPr>
        <w:spacing w:after="0" w:line="172"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Subject to the terms and conditions of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Investor. An Investor shall be entitled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apportion the right of first offer hereby granted to it among itself and its Affiliates in such proportions as it deems appropriate.</w:t>
      </w:r>
    </w:p>
    <w:p>
      <w:pPr>
        <w:spacing w:after="0" w:line="221" w:lineRule="exact"/>
        <w:rPr>
          <w:sz w:val="20"/>
          <w:szCs w:val="20"/>
          <w:color w:val="auto"/>
        </w:rPr>
      </w:pPr>
    </w:p>
    <w:p>
      <w:pPr>
        <w:ind w:left="660" w:right="100" w:firstLine="1293"/>
        <w:spacing w:after="0" w:line="266" w:lineRule="auto"/>
        <w:tabs>
          <w:tab w:leader="none" w:pos="260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Investor, stating (i) its bona fide intention to offer such New Securities, (ii) the number of such New Securities to be offered, and (iii) the price and terms, if any, upon which it proposes to offer such New Securities.</w:t>
      </w:r>
    </w:p>
    <w:p>
      <w:pPr>
        <w:sectPr>
          <w:pgSz w:w="11900" w:h="16838" w:orient="portrait"/>
          <w:cols w:equalWidth="0" w:num="1">
            <w:col w:w="11420"/>
          </w:cols>
          <w:pgMar w:left="240" w:top="125" w:right="239" w:bottom="0" w:gutter="0" w:footer="0" w:header="0"/>
        </w:sectPr>
      </w:pPr>
    </w:p>
    <w:bookmarkStart w:id="243" w:name="page244"/>
    <w:bookmarkEnd w:id="243"/>
    <w:p>
      <w:pPr>
        <w:spacing w:after="0" w:line="87" w:lineRule="exact"/>
        <w:rPr>
          <w:sz w:val="20"/>
          <w:szCs w:val="20"/>
          <w:color w:val="auto"/>
        </w:rPr>
      </w:pPr>
    </w:p>
    <w:p>
      <w:pPr>
        <w:ind w:left="660" w:right="60" w:firstLine="1293"/>
        <w:spacing w:after="0" w:line="285" w:lineRule="auto"/>
        <w:tabs>
          <w:tab w:leader="none" w:pos="2612" w:val="left"/>
        </w:tabs>
        <w:numPr>
          <w:ilvl w:val="1"/>
          <w:numId w:val="216"/>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Investor may elect to purchase or otherwise acquire, at the price and on the terms specified in the Offer Notice, up to that portion of such New Securities which equals the proportion that the Common Stock issued and held, or issuable (directly or indirectly) upon conversion and/or exercise, as applicable, of the Preferred Stock and any other Derivative Securities then held, by such Investor bears to the total Common Stock of the Company then outstanding (assuming full conversion and/or exercise, as applicable, of all Preferred Stock and other Derivative Securities). At the expiration of such twenty</w:t>
      </w:r>
    </w:p>
    <w:p>
      <w:pPr>
        <w:spacing w:after="0" w:line="2" w:lineRule="exact"/>
        <w:rPr>
          <w:rFonts w:ascii="Arial" w:cs="Arial" w:eastAsia="Arial" w:hAnsi="Arial"/>
          <w:sz w:val="16"/>
          <w:szCs w:val="16"/>
          <w:color w:val="auto"/>
        </w:rPr>
      </w:pPr>
    </w:p>
    <w:p>
      <w:pPr>
        <w:ind w:left="1000" w:hanging="344"/>
        <w:spacing w:after="0"/>
        <w:tabs>
          <w:tab w:leader="none" w:pos="10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day period, the Company shall promptly notify each Investor that elects to purchase or acquire all the shares available to it (each, a “</w:t>
      </w:r>
      <w:r>
        <w:rPr>
          <w:rFonts w:ascii="Arial" w:cs="Arial" w:eastAsia="Arial" w:hAnsi="Arial"/>
          <w:sz w:val="17"/>
          <w:szCs w:val="17"/>
          <w:b w:val="1"/>
          <w:bCs w:val="1"/>
          <w:color w:val="auto"/>
        </w:rPr>
        <w:t>Fully</w:t>
      </w:r>
    </w:p>
    <w:p>
      <w:pPr>
        <w:spacing w:after="0" w:line="20" w:lineRule="exact"/>
        <w:rPr>
          <w:rFonts w:ascii="Arial" w:cs="Arial" w:eastAsia="Arial" w:hAnsi="Arial"/>
          <w:sz w:val="17"/>
          <w:szCs w:val="17"/>
          <w:color w:val="auto"/>
        </w:rPr>
      </w:pPr>
    </w:p>
    <w:p>
      <w:pPr>
        <w:ind w:left="660"/>
        <w:spacing w:after="0" w:line="251" w:lineRule="auto"/>
        <w:rPr>
          <w:rFonts w:ascii="Arial" w:cs="Arial" w:eastAsia="Arial" w:hAnsi="Arial"/>
          <w:sz w:val="17"/>
          <w:szCs w:val="17"/>
          <w:color w:val="auto"/>
        </w:rPr>
      </w:pPr>
      <w:r>
        <w:rPr>
          <w:rFonts w:ascii="Arial" w:cs="Arial" w:eastAsia="Arial" w:hAnsi="Arial"/>
          <w:sz w:val="18"/>
          <w:szCs w:val="18"/>
          <w:b w:val="1"/>
          <w:bCs w:val="1"/>
          <w:color w:val="auto"/>
        </w:rPr>
        <w:t>Exercising Investor</w:t>
      </w:r>
      <w:r>
        <w:rPr>
          <w:rFonts w:ascii="Arial" w:cs="Arial" w:eastAsia="Arial" w:hAnsi="Arial"/>
          <w:sz w:val="18"/>
          <w:szCs w:val="18"/>
          <w:color w:val="auto"/>
        </w:rPr>
        <w:t>”) of any other Investor’s failure to do likewise. During the ten (10) day period commencing after the Company has given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notice, each Fully Exercising Investor may, by giving notice to the Company, elect to purchase or acquire, in addition to the number of shares specified above, up to that portion of the New Securities for which Investors were entitled to subscribe but that were not subscribed for by the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shall occur within the later of ninety (90) days of the date that the Offer Notice is given and the date of initial sale of New Securities pursuant to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198" w:lineRule="exact"/>
        <w:rPr>
          <w:rFonts w:ascii="Arial" w:cs="Arial" w:eastAsia="Arial" w:hAnsi="Arial"/>
          <w:sz w:val="17"/>
          <w:szCs w:val="17"/>
          <w:color w:val="auto"/>
        </w:rPr>
      </w:pPr>
    </w:p>
    <w:p>
      <w:pPr>
        <w:ind w:left="2620" w:hanging="667"/>
        <w:spacing w:after="0"/>
        <w:tabs>
          <w:tab w:leader="none" w:pos="26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If all New Securities referred to in the Offer Notice are not elected to be purchased or acquired as provided in</w:t>
      </w:r>
    </w:p>
    <w:p>
      <w:pPr>
        <w:spacing w:after="0" w:line="23" w:lineRule="exact"/>
        <w:rPr>
          <w:sz w:val="20"/>
          <w:szCs w:val="20"/>
          <w:color w:val="auto"/>
        </w:rPr>
      </w:pPr>
    </w:p>
    <w:p>
      <w:pPr>
        <w:ind w:left="660"/>
        <w:spacing w:after="0" w:line="292" w:lineRule="auto"/>
        <w:rPr>
          <w:sz w:val="20"/>
          <w:szCs w:val="20"/>
          <w:color w:val="auto"/>
        </w:rPr>
      </w:pP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63" w:lineRule="exact"/>
        <w:rPr>
          <w:sz w:val="20"/>
          <w:szCs w:val="20"/>
          <w:color w:val="auto"/>
        </w:rPr>
      </w:pPr>
    </w:p>
    <w:p>
      <w:pPr>
        <w:ind w:left="660" w:right="120" w:firstLine="1293"/>
        <w:spacing w:after="0" w:line="277" w:lineRule="auto"/>
        <w:tabs>
          <w:tab w:leader="none" w:pos="2612"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not be applicable to (i) Exempted Securities (as defined in the Company’s Certificate of Incorporation) and (ii) shares of Common Stock issued in the IPO.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terminate and be of no further force or effect (i) immediately before the consummation of a Qualified Public Offering or (ii) upon a Deemed Liquidation Event, as such term is defined in the Company’s Certificate of Incorporation, whichever event occurs first.</w:t>
      </w:r>
    </w:p>
    <w:p>
      <w:pPr>
        <w:spacing w:after="0" w:line="181" w:lineRule="exact"/>
        <w:rPr>
          <w:sz w:val="20"/>
          <w:szCs w:val="20"/>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noncompetition and nonsolicitation agreement substantially in the form approved by the Board of Directors. In addition, the Company shall not amend, modify, terminate, waive, or otherwise alter, in whole or in part, any of the above-referenced agreements or any restricted stock agreement between the Company and any employee, without the consent of at least one Preferred Director.</w:t>
      </w:r>
    </w:p>
    <w:p>
      <w:pPr>
        <w:spacing w:after="0" w:line="193" w:lineRule="exact"/>
        <w:rPr>
          <w:sz w:val="20"/>
          <w:szCs w:val="20"/>
          <w:color w:val="auto"/>
        </w:rPr>
      </w:pPr>
    </w:p>
    <w:p>
      <w:pPr>
        <w:ind w:right="80" w:firstLine="1297"/>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Employee Stock</w:t>
      </w:r>
      <w:r>
        <w:rPr>
          <w:rFonts w:ascii="Arial" w:cs="Arial" w:eastAsia="Arial" w:hAnsi="Arial"/>
          <w:sz w:val="17"/>
          <w:szCs w:val="17"/>
          <w:color w:val="auto"/>
        </w:rPr>
        <w:t xml:space="preserve">. Unless otherwise approved by the Board of Directors, including at least two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(ii) a market stand-off provision substantially similar to that in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(iii) limitation on transfer of unvested shares, except for certain transfers relating to estate matters. In addition, the Company shall retain a “right of first refusal” on employee transfers of vested and unvested shares until the Company’s IPO and shall have the right to repurchase unvested shares at cost upon termination of employment of a holder of restricted stock.</w:t>
      </w:r>
    </w:p>
    <w:p>
      <w:pPr>
        <w:spacing w:after="0" w:line="179"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Matters Requiring the Approval of the Preferred Directors</w:t>
      </w:r>
      <w:r>
        <w:rPr>
          <w:rFonts w:ascii="Arial" w:cs="Arial" w:eastAsia="Arial" w:hAnsi="Arial"/>
          <w:sz w:val="18"/>
          <w:szCs w:val="18"/>
          <w:color w:val="auto"/>
        </w:rPr>
        <w:t>. So long as the holders of Series A Preferred Stock are entitled to elect a Series A Director, the holders of Series B Preferred Stock are entitled to elect a Series B Director and the holders of Series D Preferred Stock are entitled to elect a Series D Director, the Company hereby covenants and agrees with each of the Investors that it shall not, without approval of the Board of Directors, which approval must include the affirmative vote of at least two Preferred Directors:</w:t>
      </w:r>
    </w:p>
    <w:p>
      <w:pPr>
        <w:spacing w:after="0" w:line="187" w:lineRule="exact"/>
        <w:rPr>
          <w:sz w:val="20"/>
          <w:szCs w:val="20"/>
          <w:color w:val="auto"/>
        </w:rPr>
      </w:pPr>
    </w:p>
    <w:p>
      <w:pPr>
        <w:ind w:left="660" w:right="640" w:firstLine="1293"/>
        <w:spacing w:after="0" w:line="277" w:lineRule="auto"/>
        <w:tabs>
          <w:tab w:leader="none" w:pos="2602"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incur, assume or guarantee, directly or indirectly, or permit any subsidiary to guarantee, directly or indirectly, any indebtedness in excess of $2,500,000;</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left="660" w:right="420" w:firstLine="1293"/>
        <w:spacing w:after="0" w:line="308" w:lineRule="auto"/>
        <w:tabs>
          <w:tab w:leader="none" w:pos="261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otherwise enter into or be a party to any transaction with any stockholder of the Company or any director, officer, or employee of the Company or any “associate” (as defined in Rule 12b-2 promulgated under the Exchange Act) of any such</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Person, except for transactions contemplated by the this Agreement or the Purchase Agreement (except such transactions made in the ordinary course of business on fair and reasonable terms); or</w:t>
      </w:r>
    </w:p>
    <w:p>
      <w:pPr>
        <w:spacing w:after="0" w:line="170" w:lineRule="exact"/>
        <w:rPr>
          <w:sz w:val="20"/>
          <w:szCs w:val="20"/>
          <w:color w:val="auto"/>
        </w:rPr>
      </w:pPr>
    </w:p>
    <w:p>
      <w:pPr>
        <w:ind w:left="2600" w:hanging="647"/>
        <w:spacing w:after="0"/>
        <w:tabs>
          <w:tab w:leader="none" w:pos="26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establish any stock option or similar plan or increase the total number of shares of Common Stock reserved for issuance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under any such plan.</w:t>
      </w:r>
    </w:p>
    <w:p>
      <w:pPr>
        <w:spacing w:after="0" w:line="211"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Board Matters</w:t>
      </w:r>
      <w:r>
        <w:rPr>
          <w:rFonts w:ascii="Arial" w:cs="Arial" w:eastAsia="Arial" w:hAnsi="Arial"/>
          <w:sz w:val="17"/>
          <w:szCs w:val="17"/>
          <w:color w:val="auto"/>
        </w:rPr>
        <w:t>. Unless otherwise determined by the vote of a majority of the directors having voting rights then in office, including at least two Preferred Directors, the Board of Directors shall meet at least quarterly in accordance with an agreed-upon schedule. The Company shall</w:t>
      </w:r>
    </w:p>
    <w:p>
      <w:pPr>
        <w:sectPr>
          <w:pgSz w:w="11900" w:h="16926" w:orient="portrait"/>
          <w:cols w:equalWidth="0" w:num="1">
            <w:col w:w="11400"/>
          </w:cols>
          <w:pgMar w:left="240" w:top="125" w:right="259" w:bottom="0" w:gutter="0" w:footer="0" w:header="0"/>
        </w:sectPr>
      </w:pPr>
    </w:p>
    <w:bookmarkStart w:id="244" w:name="page245"/>
    <w:bookmarkEnd w:id="244"/>
    <w:p>
      <w:pPr>
        <w:ind w:right="280"/>
        <w:spacing w:after="0" w:line="277" w:lineRule="auto"/>
        <w:rPr>
          <w:sz w:val="20"/>
          <w:szCs w:val="20"/>
          <w:color w:val="auto"/>
        </w:rPr>
      </w:pPr>
      <w:r>
        <w:rPr>
          <w:rFonts w:ascii="Arial" w:cs="Arial" w:eastAsia="Arial" w:hAnsi="Arial"/>
          <w:sz w:val="18"/>
          <w:szCs w:val="18"/>
          <w:color w:val="auto"/>
        </w:rPr>
        <w:t>reimburse the nonemployee directors for all reasonable out-of-pocket travel expenses incurred (consistent with the Company’s travel policy) in connection with attending meetings of the Board of Directors.</w:t>
      </w:r>
    </w:p>
    <w:p>
      <w:pPr>
        <w:spacing w:after="0" w:line="170"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w:t>
      </w:r>
    </w:p>
    <w:p>
      <w:pPr>
        <w:spacing w:after="0" w:line="1" w:lineRule="exact"/>
        <w:rPr>
          <w:sz w:val="20"/>
          <w:szCs w:val="20"/>
          <w:color w:val="auto"/>
        </w:rPr>
      </w:pPr>
    </w:p>
    <w:p>
      <w:pPr>
        <w:ind w:right="180" w:firstLine="8"/>
        <w:spacing w:after="0" w:line="253" w:lineRule="auto"/>
        <w:tabs>
          <w:tab w:leader="none" w:pos="245"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191"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88"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FCPA</w:t>
      </w:r>
      <w:r>
        <w:rPr>
          <w:rFonts w:ascii="Arial" w:cs="Arial" w:eastAsia="Arial" w:hAnsi="Arial"/>
          <w:sz w:val="18"/>
          <w:szCs w:val="18"/>
          <w:color w:val="auto"/>
        </w:rPr>
        <w:t>. The Company represents that it shall not, and shall not permit any of its Subsidiaries or Affiliates or any of its or their respective directors, officers, managers,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employees, independent contractors, representatives or agents to, promise, authorize or make any payment to, or otherwise contribute any item of value to, directly or indirectly, to any third party, including any Non-U.S. Official,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w:t>
      </w:r>
    </w:p>
    <w:p>
      <w:pPr>
        <w:spacing w:after="0" w:line="179" w:lineRule="exact"/>
        <w:rPr>
          <w:sz w:val="20"/>
          <w:szCs w:val="20"/>
          <w:color w:val="auto"/>
        </w:rPr>
      </w:pPr>
    </w:p>
    <w:p>
      <w:pPr>
        <w:ind w:right="40" w:firstLine="1297"/>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Real Property Holding Corporation</w:t>
      </w:r>
      <w:r>
        <w:rPr>
          <w:rFonts w:ascii="Arial" w:cs="Arial" w:eastAsia="Arial" w:hAnsi="Arial"/>
          <w:sz w:val="17"/>
          <w:szCs w:val="17"/>
          <w:color w:val="auto"/>
        </w:rPr>
        <w:t>. The Company shall provide prompt notice to New Enterprise Associates 14, Limited Partnership or its affiliates (“</w:t>
      </w:r>
      <w:r>
        <w:rPr>
          <w:rFonts w:ascii="Arial" w:cs="Arial" w:eastAsia="Arial" w:hAnsi="Arial"/>
          <w:sz w:val="17"/>
          <w:szCs w:val="17"/>
          <w:b w:val="1"/>
          <w:bCs w:val="1"/>
          <w:color w:val="auto"/>
        </w:rPr>
        <w:t>NEA</w:t>
      </w:r>
      <w:r>
        <w:rPr>
          <w:rFonts w:ascii="Arial" w:cs="Arial" w:eastAsia="Arial" w:hAnsi="Arial"/>
          <w:sz w:val="17"/>
          <w:szCs w:val="17"/>
          <w:color w:val="auto"/>
        </w:rPr>
        <w:t>”) and all Major Investors following any “determination date” (as defined in Treasury Regulation Section 1.897-2(c)(1)) on which the Company becomes a United States real property holding corporation. In addition, upon a written request by NEA, the Company shall provide NEA and all Major Investors with a written statement informing NEA and such Major Investors whether its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written statement to NEA and the Major Investors shall be delivered to NEA and such Major Investors within 10 days of NEA’s written request therefor.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178"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Green Dot</w:t>
      </w:r>
      <w:r>
        <w:rPr>
          <w:rFonts w:ascii="Arial" w:cs="Arial" w:eastAsia="Arial" w:hAnsi="Arial"/>
          <w:sz w:val="18"/>
          <w:szCs w:val="18"/>
          <w:color w:val="auto"/>
        </w:rPr>
        <w:t>. The Company shall not enter into any banking or nonbanking transaction with Green Dot Corporation or any of its subsidiaries (Next Estate Communications and Bonneville Bancorp) without the prior written consent of Sequoia.</w:t>
      </w:r>
    </w:p>
    <w:p>
      <w:pPr>
        <w:spacing w:after="0" w:line="170" w:lineRule="exact"/>
        <w:rPr>
          <w:sz w:val="20"/>
          <w:szCs w:val="20"/>
          <w:color w:val="auto"/>
        </w:rPr>
      </w:pPr>
    </w:p>
    <w:p>
      <w:pPr>
        <w:ind w:right="120" w:firstLine="1297"/>
        <w:spacing w:after="0" w:line="291"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Expenses of Counsel</w:t>
      </w:r>
      <w:r>
        <w:rPr>
          <w:rFonts w:ascii="Arial" w:cs="Arial" w:eastAsia="Arial" w:hAnsi="Arial"/>
          <w:sz w:val="16"/>
          <w:szCs w:val="16"/>
          <w:color w:val="auto"/>
        </w:rPr>
        <w:t>. In the event of a transaction which is a Sale of the Company (as defined in the Voting Agreement of even date herewith among the Investors and the Company), the reasonable fees and disbursements, not to exceed $40,000, of one counsel for the Major Investors, selected by the Major Investors holding a majority of the shares of Preferred Stock then held by all Major Investors (“</w:t>
      </w:r>
      <w:r>
        <w:rPr>
          <w:rFonts w:ascii="Arial" w:cs="Arial" w:eastAsia="Arial" w:hAnsi="Arial"/>
          <w:sz w:val="16"/>
          <w:szCs w:val="16"/>
          <w:b w:val="1"/>
          <w:bCs w:val="1"/>
          <w:color w:val="auto"/>
        </w:rPr>
        <w:t>Investor Counsel</w:t>
      </w:r>
      <w:r>
        <w:rPr>
          <w:rFonts w:ascii="Arial" w:cs="Arial" w:eastAsia="Arial" w:hAnsi="Arial"/>
          <w:sz w:val="16"/>
          <w:szCs w:val="16"/>
          <w:color w:val="auto"/>
        </w:rPr>
        <w:t>”), in their capacities as stockholders, shall be borne and paid by the Company. The Company shall use reasonable efforts to obtain the ability to share with the Investor Counsel (and such counsel’s clients)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1297"/>
        <w:spacing w:after="0" w:line="264"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Liquidation Event</w:t>
      </w:r>
      <w:r>
        <w:rPr>
          <w:rFonts w:ascii="Arial" w:cs="Arial" w:eastAsia="Arial" w:hAnsi="Arial"/>
          <w:sz w:val="18"/>
          <w:szCs w:val="18"/>
          <w:color w:val="auto"/>
        </w:rPr>
        <w:t>. The Company shall not enter into an agreement, the consummation of which constitutes a Deemed Liquidation Event, as that term is defined in the Company’s Certificate of Incorporation, unless such agreement provides that the funding of any escrow or the creation of any holdback complies with Article IV, Section 2.3.4 of the Company’s Certificate of Incorporation.</w:t>
      </w:r>
    </w:p>
    <w:p>
      <w:pPr>
        <w:spacing w:after="0" w:line="181"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Sections 5.8 and 5.9</w:t>
      </w:r>
      <w:r>
        <w:rPr>
          <w:rFonts w:ascii="Arial" w:cs="Arial" w:eastAsia="Arial" w:hAnsi="Arial"/>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Company’s Certificate of Incorporation, whichever event occurs first.</w:t>
      </w:r>
    </w:p>
    <w:p>
      <w:pPr>
        <w:spacing w:after="0" w:line="187" w:lineRule="exact"/>
        <w:rPr>
          <w:sz w:val="20"/>
          <w:szCs w:val="20"/>
          <w:color w:val="auto"/>
        </w:rPr>
      </w:pPr>
    </w:p>
    <w:p>
      <w:pPr>
        <w:ind w:left="1300" w:hanging="64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45" w:name="page246"/>
    <w:bookmarkEnd w:id="245"/>
    <w:p>
      <w:pPr>
        <w:ind w:firstLine="1297"/>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1,500,000 shares of Registrable Securities (subject to appropriate adjustment for stock splits, stock dividends, combinations, and other recapitalizations), or such lesser number of Registrable Securities if transferring all of the Registrable Securities held by such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3"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New York, without regard to its principles of conflicts of laws.</w:t>
      </w:r>
    </w:p>
    <w:p>
      <w:pPr>
        <w:spacing w:after="0" w:line="170"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 Facsimile</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This Agreement may also be executed and delivered by facsimile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signature and in two or more counterparts, each of which shall be deemed an original, but all of which together shall constitute one and the same instrument.</w:t>
      </w:r>
    </w:p>
    <w:p>
      <w:pPr>
        <w:spacing w:after="0" w:line="248" w:lineRule="exact"/>
        <w:rPr>
          <w:sz w:val="20"/>
          <w:szCs w:val="20"/>
          <w:color w:val="auto"/>
        </w:rPr>
      </w:pPr>
    </w:p>
    <w:p>
      <w:pPr>
        <w:ind w:right="58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right="40" w:firstLine="1297"/>
        <w:spacing w:after="0" w:line="286"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(as applicable)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6"/>
          <w:szCs w:val="16"/>
          <w:u w:val="single" w:color="auto"/>
          <w:color w:val="auto"/>
        </w:rPr>
        <w:t>Section 6.5</w:t>
      </w:r>
      <w:r>
        <w:rPr>
          <w:rFonts w:ascii="Arial" w:cs="Arial" w:eastAsia="Arial" w:hAnsi="Arial"/>
          <w:sz w:val="16"/>
          <w:szCs w:val="16"/>
          <w:color w:val="auto"/>
        </w:rPr>
        <w:t>. If notice is given to the Company, a copy shall also be sent to Ronald A. Fleming, Jr., Pillsbury Winthrop Shaw Pittman LLP, 1540 Broadway, New York, New York 10036, Email: ron.fleming@pillsburylaw.com; Facsimile: 212-298-9931, if notice is given to the Investors (other than Sequoia), a copy shall also be given to Jay K. Hachigian, Gunderson Dettmer Stough Villeneuve Franklin &amp; Hachigian, LLP, 850 Winter Street, Waltham, MA 02451; Facsimile 877-881-1622, if notice is given to Sequoia, a copy shall also be sent to Anthony J. McCusker, Goodwin Procter LLP, 135 Commonwealth Dr, Menlo Park, CA 94025, Email: AMcCusker@goodwinprocter.com; Facsimile: 650-853-1038, if notice is given to NEA, a copy shall also be sent to Michael Lincoln, Cooley LLP, One Freedom Square, Reston Town Center, 11951 Freedom Drive, Reston, VA 20190; Facsimile (703) 456-8100 and if notice is given to Fidelity or T. Rowe, a copy (which shall not constitute notice) shall also be sent to H. David Henken, Goodwin Procter LLP, Exchange Place, Boston, MA 02109, Email: DHenken@goodwinprocter.com; Facsimile: (617) 523-1231.</w:t>
      </w:r>
    </w:p>
    <w:p>
      <w:pPr>
        <w:spacing w:after="0" w:line="169"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at least fifty percent (50%) of the Registrable Securities then outstanding;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may in its sole discretion waive compliance with </w:t>
      </w:r>
      <w:r>
        <w:rPr>
          <w:rFonts w:ascii="Arial" w:cs="Arial" w:eastAsia="Arial" w:hAnsi="Arial"/>
          <w:sz w:val="16"/>
          <w:szCs w:val="16"/>
          <w:u w:val="single" w:color="auto"/>
          <w:color w:val="auto"/>
        </w:rPr>
        <w:t>Section 2.12(c)</w:t>
      </w:r>
      <w:r>
        <w:rPr>
          <w:rFonts w:ascii="Arial" w:cs="Arial" w:eastAsia="Arial" w:hAnsi="Arial"/>
          <w:sz w:val="16"/>
          <w:szCs w:val="16"/>
          <w:color w:val="auto"/>
        </w:rPr>
        <w:t xml:space="preserve"> (and the Company’s failure to object promptly in writing after notification of a proposed assignment allegedly in violation of</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u w:val="single" w:color="auto"/>
          <w:color w:val="auto"/>
        </w:rPr>
        <w:t>Section 2.12(c)</w:t>
      </w:r>
      <w:r>
        <w:rPr>
          <w:rFonts w:ascii="Arial" w:cs="Arial" w:eastAsia="Arial" w:hAnsi="Arial"/>
          <w:sz w:val="18"/>
          <w:szCs w:val="18"/>
          <w:color w:val="auto"/>
        </w:rPr>
        <w:t xml:space="preserve"> shall be deemed to be a waiver);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any provision hereof may be waived by any waiving party on such party’s own behalf, without the consent of any other party.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with respect to a particular transaction shall be deemed to apply to all Investors in the same fashion if such waiver does so by its terms, provided, that, neither a waiving party nor any Affiliate of a waiving party may purchase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securities in such transaction). Notwithstanding the foregoing, the consent of (x) Fidelity and T. Rowe shall be required for any amendments or waivers of </w:t>
      </w:r>
      <w:r>
        <w:rPr>
          <w:rFonts w:ascii="Arial" w:cs="Arial" w:eastAsia="Arial" w:hAnsi="Arial"/>
          <w:sz w:val="18"/>
          <w:szCs w:val="18"/>
          <w:u w:val="single" w:color="auto"/>
          <w:color w:val="auto"/>
        </w:rPr>
        <w:t>Sections 1.19</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w:t>
      </w:r>
      <w:r>
        <w:rPr>
          <w:rFonts w:ascii="Arial" w:cs="Arial" w:eastAsia="Arial" w:hAnsi="Arial"/>
          <w:sz w:val="18"/>
          <w:szCs w:val="18"/>
          <w:u w:val="single" w:color="auto"/>
          <w:color w:val="auto"/>
        </w:rPr>
        <w:t>3</w:t>
      </w:r>
      <w:r>
        <w:rPr>
          <w:rFonts w:ascii="Arial" w:cs="Arial" w:eastAsia="Arial" w:hAnsi="Arial"/>
          <w:sz w:val="18"/>
          <w:szCs w:val="18"/>
          <w:color w:val="auto"/>
        </w:rPr>
        <w:t xml:space="preserve"> and this sentence, in any manner that adversely affects Fidelity and T. Rowe with respect to such provisions and (y) the holders of a majority of the Series F Preferred Stock for any amendment or waiver of </w:t>
      </w:r>
      <w:r>
        <w:rPr>
          <w:rFonts w:ascii="Arial" w:cs="Arial" w:eastAsia="Arial" w:hAnsi="Arial"/>
          <w:sz w:val="18"/>
          <w:szCs w:val="18"/>
          <w:u w:val="single" w:color="auto"/>
          <w:color w:val="auto"/>
        </w:rPr>
        <w:t>Sections 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in any manner that adversely affects the Series F Preferred Stock with respect to such provisions. The Company shall give prompt notice of any amendment or termination hereof or waiver hereunder to any party hereto that did not consent in writing to such amendment, termination, or waiver. Any amendment, termination, or waiver effected in accordance with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92"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ectPr>
          <w:pgSz w:w="11900" w:h="16838" w:orient="portrait"/>
          <w:cols w:equalWidth="0" w:num="1">
            <w:col w:w="11420"/>
          </w:cols>
          <w:pgMar w:left="240" w:top="125" w:right="239" w:bottom="0" w:gutter="0" w:footer="0" w:header="0"/>
        </w:sectPr>
      </w:pPr>
    </w:p>
    <w:bookmarkStart w:id="246" w:name="page247"/>
    <w:bookmarkEnd w:id="246"/>
    <w:p>
      <w:pPr>
        <w:ind w:right="60" w:firstLine="1297"/>
        <w:spacing w:after="0" w:line="264"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1" w:lineRule="exact"/>
        <w:rPr>
          <w:sz w:val="20"/>
          <w:szCs w:val="20"/>
          <w:color w:val="auto"/>
        </w:rPr>
      </w:pPr>
    </w:p>
    <w:p>
      <w:pPr>
        <w:ind w:right="160" w:firstLine="1297"/>
        <w:spacing w:after="0" w:line="27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73"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6"/>
          <w:szCs w:val="16"/>
          <w:u w:val="single" w:color="auto"/>
          <w:color w:val="auto"/>
        </w:rPr>
        <w:t>Acknowledgment</w:t>
      </w:r>
      <w:r>
        <w:rPr>
          <w:rFonts w:ascii="Arial" w:cs="Arial" w:eastAsia="Arial" w:hAnsi="Arial"/>
          <w:sz w:val="16"/>
          <w:szCs w:val="16"/>
          <w:color w:val="auto"/>
        </w:rPr>
        <w:t>.</w:t>
      </w:r>
    </w:p>
    <w:p>
      <w:pPr>
        <w:spacing w:after="0" w:line="225" w:lineRule="exact"/>
        <w:rPr>
          <w:sz w:val="20"/>
          <w:szCs w:val="20"/>
          <w:color w:val="auto"/>
        </w:rPr>
      </w:pPr>
    </w:p>
    <w:p>
      <w:pPr>
        <w:ind w:left="660" w:right="40" w:firstLine="1293"/>
        <w:spacing w:after="0" w:line="279" w:lineRule="auto"/>
        <w:tabs>
          <w:tab w:leader="none" w:pos="2602"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Company acknowledges that the Investors are in the business of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1293"/>
        <w:spacing w:after="0" w:line="259" w:lineRule="auto"/>
        <w:tabs>
          <w:tab w:leader="none" w:pos="261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acknowledges that the Investors and their affiliates, members, equity holders, director representatives, partners, employees, agents and other related persons are engaged in the business of investing in private and public companies in a wide range of industries, including the industry segment in which the Company operates (the “</w:t>
      </w:r>
      <w:r>
        <w:rPr>
          <w:rFonts w:ascii="Arial" w:cs="Arial" w:eastAsia="Arial" w:hAnsi="Arial"/>
          <w:sz w:val="18"/>
          <w:szCs w:val="18"/>
          <w:b w:val="1"/>
          <w:bCs w:val="1"/>
          <w:color w:val="auto"/>
        </w:rPr>
        <w:t>Company Industry Segment</w:t>
      </w:r>
      <w:r>
        <w:rPr>
          <w:rFonts w:ascii="Arial" w:cs="Arial" w:eastAsia="Arial" w:hAnsi="Arial"/>
          <w:sz w:val="18"/>
          <w:szCs w:val="18"/>
          <w:color w:val="auto"/>
        </w:rPr>
        <w:t>”). Accordingly, the Company and the Investors acknowledge and agree that a Covered Person shall:</w:t>
      </w:r>
    </w:p>
    <w:p>
      <w:pPr>
        <w:spacing w:after="0" w:line="186" w:lineRule="exact"/>
        <w:rPr>
          <w:rFonts w:ascii="Arial" w:cs="Arial" w:eastAsia="Arial" w:hAnsi="Arial"/>
          <w:sz w:val="18"/>
          <w:szCs w:val="18"/>
          <w:color w:val="auto"/>
        </w:rPr>
      </w:pPr>
    </w:p>
    <w:p>
      <w:pPr>
        <w:ind w:left="660" w:right="20" w:firstLine="1941"/>
        <w:spacing w:after="0" w:line="308" w:lineRule="auto"/>
        <w:tabs>
          <w:tab w:leader="none" w:pos="3274" w:val="left"/>
        </w:tabs>
        <w:numPr>
          <w:ilvl w:val="1"/>
          <w:numId w:val="225"/>
        </w:numPr>
        <w:rPr>
          <w:rFonts w:ascii="Arial" w:cs="Arial" w:eastAsia="Arial" w:hAnsi="Arial"/>
          <w:sz w:val="17"/>
          <w:szCs w:val="17"/>
          <w:color w:val="auto"/>
        </w:rPr>
      </w:pPr>
      <w:r>
        <w:rPr>
          <w:rFonts w:ascii="Arial" w:cs="Arial" w:eastAsia="Arial" w:hAnsi="Arial"/>
          <w:sz w:val="17"/>
          <w:szCs w:val="17"/>
          <w:color w:val="auto"/>
        </w:rPr>
        <w:t>have no duty to the Company to refrain from participating as a director, investor or otherwise with respect to any company or other person or entity that is engaged in the Company Industry Segment or is otherwise competitive with the Company, and</w:t>
      </w:r>
    </w:p>
    <w:p>
      <w:pPr>
        <w:spacing w:after="0" w:line="146" w:lineRule="exact"/>
        <w:rPr>
          <w:rFonts w:ascii="Arial" w:cs="Arial" w:eastAsia="Arial" w:hAnsi="Arial"/>
          <w:sz w:val="17"/>
          <w:szCs w:val="17"/>
          <w:color w:val="auto"/>
        </w:rPr>
      </w:pPr>
    </w:p>
    <w:p>
      <w:pPr>
        <w:ind w:left="660" w:right="40" w:firstLine="1941"/>
        <w:spacing w:after="0" w:line="255" w:lineRule="auto"/>
        <w:tabs>
          <w:tab w:leader="none" w:pos="3284"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solely in connection with making investment decisions, to the fullest extent permitted by law, have no duty to the Company to refrain from using any information, including, but not limited to, market trend and market data, which comes into such Covered Person’s possession, whether as a director, investor or otherwise (the “</w:t>
      </w:r>
      <w:r>
        <w:rPr>
          <w:rFonts w:ascii="Arial" w:cs="Arial" w:eastAsia="Arial" w:hAnsi="Arial"/>
          <w:sz w:val="18"/>
          <w:szCs w:val="18"/>
          <w:b w:val="1"/>
          <w:bCs w:val="1"/>
          <w:color w:val="auto"/>
        </w:rPr>
        <w:t>Information Waiver</w:t>
      </w:r>
      <w:r>
        <w:rPr>
          <w:rFonts w:ascii="Arial" w:cs="Arial" w:eastAsia="Arial" w:hAnsi="Arial"/>
          <w:sz w:val="18"/>
          <w:szCs w:val="18"/>
          <w:color w:val="auto"/>
        </w:rPr>
        <w:t>”), provided that the Information Waiver shall not apply, and therefore such Covered Person shall be subject to such obligations and duties as would otherwise apply to such Covered Person under applicable law, if the information at issue (i) constitutes material non-public information concerning the Company, or (ii) is covered by a contractual obligation of confidentiality to which the Company is subject.</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Notwithstanding anything in this Section 6 to the contrary, nothing herein shall be construed as a waiver of any Covered Person’s duty of loyalty or obligation of confidentiality with respect to the disclosure of confidential information of the Company. For the purposes of this Section 6, “</w:t>
      </w:r>
      <w:r>
        <w:rPr>
          <w:rFonts w:ascii="Arial" w:cs="Arial" w:eastAsia="Arial" w:hAnsi="Arial"/>
          <w:sz w:val="18"/>
          <w:szCs w:val="18"/>
          <w:b w:val="1"/>
          <w:bCs w:val="1"/>
          <w:color w:val="auto"/>
        </w:rPr>
        <w:t>Covered Persons</w:t>
      </w:r>
      <w:r>
        <w:rPr>
          <w:rFonts w:ascii="Arial" w:cs="Arial" w:eastAsia="Arial" w:hAnsi="Arial"/>
          <w:sz w:val="18"/>
          <w:szCs w:val="18"/>
          <w:color w:val="auto"/>
        </w:rPr>
        <w:t>” shall have the meaning set forth in the Company’s Certificate of Incorporation.</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Massachusetts Business Trust</w:t>
      </w:r>
      <w:r>
        <w:rPr>
          <w:rFonts w:ascii="Arial" w:cs="Arial" w:eastAsia="Arial" w:hAnsi="Arial"/>
          <w:sz w:val="18"/>
          <w:szCs w:val="18"/>
          <w:color w:val="auto"/>
        </w:rPr>
        <w:t>. A copy of the Agreement and Declaration of Trust of each Investor that is a business trust is on file with the Secretary of State of the Commonwealth of Massachusetts and notice is hereby given that this Agreement is executed on behalf of the trustees of such Investor as trustees and not individually and that the obligations of this Agreement are not binding on any of the trustees, officers or equityholders of such Investor individually but are binding only upon such Investor and its assets and property.</w:t>
      </w:r>
    </w:p>
    <w:p>
      <w:pPr>
        <w:spacing w:after="0" w:line="187"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Prior Agreement</w:t>
      </w:r>
      <w:r>
        <w:rPr>
          <w:rFonts w:ascii="Arial" w:cs="Arial" w:eastAsia="Arial" w:hAnsi="Arial"/>
          <w:sz w:val="18"/>
          <w:szCs w:val="18"/>
          <w:color w:val="auto"/>
        </w:rPr>
        <w:t>. The Prior Agreement is hereby amended and restated in its entirety by Company and the holders of at least fifty percent (50%) of outstanding Registrable Securities as evidenced by their signature hereto and shall be of no further force or effect.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Max Schireson</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Max Schireson</w:t>
            </w:r>
          </w:p>
        </w:tc>
      </w:tr>
      <w:tr>
        <w:trPr>
          <w:trHeight w:val="21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KEY HOLDERS: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Eliot Horowitz</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Eliot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Dwight Merriman</w:t>
      </w:r>
    </w:p>
    <w:p>
      <w:pPr>
        <w:sectPr>
          <w:pgSz w:w="11900" w:h="16838" w:orient="portrait"/>
          <w:cols w:equalWidth="0" w:num="1">
            <w:col w:w="11420"/>
          </w:cols>
          <w:pgMar w:left="240" w:top="125" w:right="239" w:bottom="0" w:gutter="0" w:footer="0" w:header="0"/>
        </w:sectPr>
      </w:pPr>
    </w:p>
    <w:bookmarkStart w:id="247" w:name="page248"/>
    <w:bookmarkEnd w:id="247"/>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Dwight Merriman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Kevin Ryan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Kevin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ALTIMETER PRIVATE PARTNERS FUND I,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Altimeter Private General Partner,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/s/Kevin J. Wang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Kevin J.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Member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ALTIMETER PRIVATE SPV I,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Altimeter Private General Partner,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/s/Kevin J. Wang</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Kevin J.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80"/>
        <w:spacing w:after="0"/>
        <w:rPr>
          <w:sz w:val="20"/>
          <w:szCs w:val="20"/>
          <w:color w:val="auto"/>
        </w:rPr>
      </w:pPr>
      <w:r>
        <w:rPr>
          <w:rFonts w:ascii="Arial" w:cs="Arial" w:eastAsia="Arial" w:hAnsi="Arial"/>
          <w:sz w:val="18"/>
          <w:szCs w:val="18"/>
          <w:b w:val="1"/>
          <w:bCs w:val="1"/>
          <w:u w:val="single" w:color="auto"/>
          <w:color w:val="auto"/>
        </w:rPr>
        <w:t>salesforce.com</w:t>
      </w:r>
      <w:r>
        <w:rPr>
          <w:rFonts w:ascii="Arial" w:cs="Arial" w:eastAsia="Arial" w:hAnsi="Arial"/>
          <w:sz w:val="18"/>
          <w:szCs w:val="18"/>
          <w:b w:val="1"/>
          <w:bCs w:val="1"/>
          <w:color w:val="auto"/>
        </w:rPr>
        <w:t>, inc.</w:t>
      </w:r>
    </w:p>
    <w:p>
      <w:pPr>
        <w:spacing w:after="0" w:line="229" w:lineRule="exact"/>
        <w:rPr>
          <w:sz w:val="20"/>
          <w:szCs w:val="20"/>
          <w:color w:val="auto"/>
        </w:rPr>
      </w:pPr>
    </w:p>
    <w:p>
      <w:pPr>
        <w:ind w:left="5680"/>
        <w:spacing w:after="0"/>
        <w:tabs>
          <w:tab w:leader="none" w:pos="6180" w:val="left"/>
        </w:tabs>
        <w:rPr>
          <w:sz w:val="20"/>
          <w:szCs w:val="20"/>
          <w:color w:val="auto"/>
        </w:rPr>
      </w:pPr>
      <w:r>
        <w:rPr>
          <w:rFonts w:ascii="Arial" w:cs="Arial" w:eastAsia="Arial" w:hAnsi="Arial"/>
          <w:sz w:val="18"/>
          <w:szCs w:val="18"/>
          <w:color w:val="auto"/>
        </w:rPr>
        <w:t>By:</w:t>
        <w:tab/>
        <w:t>/s/John Somorjai</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John Somorjai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SVP, Corporate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EMC CORPORATION</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/s/Paul T. Dacier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Paul T. Dacier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UNION SQUARE VENTURES 2008, L.P.</w:t>
      </w:r>
      <w:r>
        <w:rPr>
          <w:rFonts w:ascii="Arial" w:cs="Arial" w:eastAsia="Arial" w:hAnsi="Arial"/>
          <w:sz w:val="18"/>
          <w:szCs w:val="18"/>
          <w:color w:val="auto"/>
        </w:rPr>
        <w:t>,</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 Union Square GP 2008, L.L.C., its general partner and a Delaware limited</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liability company</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/s/Albert Wenger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Albert Wenger</w:t>
            </w:r>
          </w:p>
        </w:tc>
      </w:tr>
      <w:tr>
        <w:trPr>
          <w:trHeight w:val="21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Managing Partner</w:t>
            </w:r>
          </w:p>
        </w:tc>
      </w:tr>
    </w:tbl>
    <w:p>
      <w:pPr>
        <w:spacing w:after="0" w:line="18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FLYBRIDGE CAPITAL PARTNERS III,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Flybridge Capital Partners G.P.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Charles M. Hazard, Jr.</w:t>
      </w:r>
    </w:p>
    <w:p>
      <w:pPr>
        <w:spacing w:after="0" w:line="20" w:lineRule="exact"/>
        <w:rPr>
          <w:sz w:val="20"/>
          <w:szCs w:val="20"/>
          <w:color w:val="auto"/>
        </w:rPr>
      </w:pPr>
    </w:p>
    <w:p>
      <w:pPr>
        <w:sectPr>
          <w:pgSz w:w="11900" w:h="16874" w:orient="portrait"/>
          <w:cols w:equalWidth="0" w:num="1">
            <w:col w:w="11420"/>
          </w:cols>
          <w:pgMar w:left="240" w:top="125" w:right="239" w:bottom="0" w:gutter="0" w:footer="0" w:header="0"/>
        </w:sectPr>
      </w:pPr>
    </w:p>
    <w:bookmarkStart w:id="248" w:name="page249"/>
    <w:bookmarkEnd w:id="248"/>
    <w:p>
      <w:pPr>
        <w:ind w:left="5720"/>
        <w:spacing w:after="0"/>
        <w:rPr>
          <w:sz w:val="20"/>
          <w:szCs w:val="20"/>
          <w:color w:val="auto"/>
        </w:rPr>
      </w:pPr>
      <w:r>
        <w:rPr>
          <w:rFonts w:ascii="Arial" w:cs="Arial" w:eastAsia="Arial" w:hAnsi="Arial"/>
          <w:sz w:val="18"/>
          <w:szCs w:val="18"/>
          <w:color w:val="auto"/>
        </w:rPr>
        <w:t>Name: Charles M. Hazard, Jr.</w:t>
      </w:r>
    </w:p>
    <w:p>
      <w:pPr>
        <w:spacing w:after="0" w:line="20" w:lineRule="exact"/>
        <w:rPr>
          <w:sz w:val="20"/>
          <w:szCs w:val="20"/>
          <w:color w:val="auto"/>
        </w:rPr>
      </w:pP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FLYBRIDGE NETWORK FUND III,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Flybridge Capital Partners G.P. III, L.L.C.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Charles M. Hazard,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M. Hazard,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NEW ENTERPRISE ASSOCIATES 14, LIMITED PARTNERSHIP</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NEA Partners 14, Limited Partnership,</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NEA 14 GP, LTD, its general partner</w:t>
      </w:r>
    </w:p>
    <w:p>
      <w:pPr>
        <w:spacing w:after="0" w:line="225"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Chief Mgmt.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NEA VENTURES 2012, LIMITED PARTNERSHIP</w:t>
      </w:r>
    </w:p>
    <w:p>
      <w:pPr>
        <w:spacing w:after="0" w:line="22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4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14605</wp:posOffset>
            </wp:positionV>
            <wp:extent cx="321564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2156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SEQUOIA CAPITAL U.S. GROWTH FUND IV, 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SEQUOIA CAPITAL USGF PRINCIPALS FUND IV, L.P.</w:t>
      </w:r>
    </w:p>
    <w:p>
      <w:pPr>
        <w:spacing w:after="0" w:line="229"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SCGF IV Management, L.P.</w:t>
      </w:r>
    </w:p>
    <w:p>
      <w:pPr>
        <w:spacing w:after="0" w:line="18"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 Cayman Islands exempted limited partnership</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General Partner of Each</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r>
              <w:rPr>
                <w:rFonts w:ascii="Arial" w:cs="Arial" w:eastAsia="Arial" w:hAnsi="Arial"/>
                <w:sz w:val="18"/>
                <w:szCs w:val="18"/>
                <w:color w:val="auto"/>
              </w:rPr>
              <w:t>SCGF GenPar, Ltd</w:t>
            </w:r>
          </w:p>
        </w:tc>
      </w:tr>
      <w:tr>
        <w:trPr>
          <w:trHeight w:val="216"/>
        </w:trPr>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 Cayman Islands limited liability company</w:t>
            </w:r>
          </w:p>
        </w:tc>
      </w:tr>
      <w:tr>
        <w:trPr>
          <w:trHeight w:val="230"/>
        </w:trPr>
        <w:tc>
          <w:tcPr>
            <w:tcW w:w="46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/s/R.F. Burton</w:t>
            </w:r>
          </w:p>
        </w:tc>
      </w:tr>
      <w:tr>
        <w:trPr>
          <w:trHeight w:val="224"/>
        </w:trPr>
        <w:tc>
          <w:tcPr>
            <w:tcW w:w="5700" w:type="dxa"/>
            <w:vAlign w:val="bottom"/>
            <w:gridSpan w:val="2"/>
          </w:tcPr>
          <w:p>
            <w:pPr>
              <w:ind w:left="40"/>
              <w:spacing w:after="0"/>
              <w:rPr>
                <w:sz w:val="20"/>
                <w:szCs w:val="20"/>
                <w:color w:val="auto"/>
              </w:rPr>
            </w:pPr>
            <w:r>
              <w:rPr>
                <w:rFonts w:ascii="Arial" w:cs="Arial" w:eastAsia="Arial" w:hAnsi="Arial"/>
                <w:sz w:val="18"/>
                <w:szCs w:val="18"/>
                <w:color w:val="auto"/>
              </w:rPr>
              <w:t>Managing Director</w:t>
            </w:r>
          </w:p>
        </w:tc>
      </w:tr>
      <w:tr>
        <w:trPr>
          <w:trHeight w:val="40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SCHF (M) PV, L.P.</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Pr>
          <w:p>
            <w:pPr>
              <w:ind w:left="460"/>
              <w:spacing w:after="0"/>
              <w:rPr>
                <w:sz w:val="20"/>
                <w:szCs w:val="20"/>
                <w:color w:val="auto"/>
              </w:rPr>
            </w:pPr>
            <w:r>
              <w:rPr>
                <w:rFonts w:ascii="Arial" w:cs="Arial" w:eastAsia="Arial" w:hAnsi="Arial"/>
                <w:sz w:val="18"/>
                <w:szCs w:val="18"/>
                <w:color w:val="auto"/>
              </w:rPr>
              <w:t>SCHF (GPE), LLC</w:t>
            </w:r>
          </w:p>
        </w:tc>
      </w:tr>
      <w:tr>
        <w:trPr>
          <w:trHeight w:val="216"/>
        </w:trPr>
        <w:tc>
          <w:tcPr>
            <w:tcW w:w="460" w:type="dxa"/>
            <w:vAlign w:val="bottom"/>
          </w:tcPr>
          <w:p>
            <w:pPr>
              <w:spacing w:after="0"/>
              <w:rPr>
                <w:sz w:val="18"/>
                <w:szCs w:val="18"/>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A Delaware limited liability company,</w:t>
            </w:r>
          </w:p>
        </w:tc>
      </w:tr>
      <w:tr>
        <w:trPr>
          <w:trHeight w:val="230"/>
        </w:trPr>
        <w:tc>
          <w:tcPr>
            <w:tcW w:w="460" w:type="dxa"/>
            <w:vAlign w:val="bottom"/>
          </w:tcPr>
          <w:p>
            <w:pPr>
              <w:spacing w:after="0"/>
              <w:rPr>
                <w:sz w:val="20"/>
                <w:szCs w:val="20"/>
                <w:color w:val="auto"/>
              </w:rPr>
            </w:pPr>
          </w:p>
        </w:tc>
        <w:tc>
          <w:tcPr>
            <w:tcW w:w="5240" w:type="dxa"/>
            <w:vAlign w:val="bottom"/>
          </w:tcPr>
          <w:p>
            <w:pPr>
              <w:ind w:left="460"/>
              <w:spacing w:after="0"/>
              <w:rPr>
                <w:sz w:val="20"/>
                <w:szCs w:val="20"/>
                <w:color w:val="auto"/>
              </w:rPr>
            </w:pPr>
            <w:r>
              <w:rPr>
                <w:rFonts w:ascii="Arial" w:cs="Arial" w:eastAsia="Arial" w:hAnsi="Arial"/>
                <w:sz w:val="18"/>
                <w:szCs w:val="18"/>
                <w:color w:val="auto"/>
              </w:rPr>
              <w:t>Its sole general partner</w:t>
            </w:r>
          </w:p>
        </w:tc>
      </w:tr>
    </w:tbl>
    <w:p>
      <w:pPr>
        <w:spacing w:after="0" w:line="202"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Keith B. Johnson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SCGE FUND, L.P.</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Cayman Islands limited partnership</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SCGE (LTGP),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 Cayman Islands limited partnership, its General Partner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Christopher Lyle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249" w:name="page250"/>
    <w:bookmarkEnd w:id="249"/>
    <w:p>
      <w:pPr>
        <w:ind w:left="5720"/>
        <w:spacing w:after="0"/>
        <w:rPr>
          <w:sz w:val="20"/>
          <w:szCs w:val="20"/>
          <w:color w:val="auto"/>
        </w:rPr>
      </w:pPr>
      <w:r>
        <w:rPr>
          <w:rFonts w:ascii="Arial" w:cs="Arial" w:eastAsia="Arial" w:hAnsi="Arial"/>
          <w:sz w:val="16"/>
          <w:szCs w:val="16"/>
          <w:color w:val="auto"/>
        </w:rPr>
        <w:t>Name: Christopher Lyle</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Title: Portfolio Manager</w:t>
      </w:r>
    </w:p>
    <w:p>
      <w:pPr>
        <w:sectPr>
          <w:pgSz w:w="11900" w:h="16838" w:orient="portrait"/>
          <w:cols w:equalWidth="0" w:num="1">
            <w:col w:w="11220"/>
          </w:cols>
          <w:pgMar w:left="240" w:top="125" w:right="439" w:bottom="0" w:gutter="0" w:footer="0" w:header="0"/>
        </w:sectPr>
      </w:pP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3000 Sand Hill Road, 4-250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00" w:lineRule="exact"/>
        <w:rPr>
          <w:sz w:val="20"/>
          <w:szCs w:val="20"/>
          <w:color w:val="auto"/>
        </w:rPr>
      </w:pPr>
    </w:p>
    <w:p>
      <w:pPr>
        <w:sectPr>
          <w:pgSz w:w="11900" w:h="16838" w:orient="portrait"/>
          <w:cols w:equalWidth="0" w:num="2">
            <w:col w:w="6360" w:space="580"/>
            <w:col w:w="4280"/>
          </w:cols>
          <w:pgMar w:left="240" w:top="125" w:right="439" w:bottom="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Fifth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/s/Sohaib Abbasi</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Sohaib Abbasi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Fifth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MEDIA &amp; TELECOMMUNICATIONS FUND,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TD MUTUAL FUNDS — TD ENTERTAINMENT &amp;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COMMUNICATIONS FUND</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 ROWE PRICE ASSOCIATES, INC., Investment Adviser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/s/Paul Greene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Paul Greene II</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Andrew Baek, Vice President and Senior Legal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andrew_baek@troweprice.com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Fifth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NEW HORIZONS FUND,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NEW HORIZONS TRUST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U.S. EQUITIES TRUST</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 ROWE PRICE ASSOCIATES, INC., Investment Adviser</w:t>
      </w:r>
    </w:p>
    <w:p>
      <w:pPr>
        <w:spacing w:after="0" w:line="225"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/s/Henry Ellenbogen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Henry Ellenbogen</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Andrew Baek, Vice President and Senior Legal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andrew_baek@troweprice.com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Fifth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GLOBAL TECHNOLOGY FUND,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TD MUTUAL FUNDS - TD SCIENCE &amp; TECHNOLOGY FUND</w:t>
      </w:r>
    </w:p>
    <w:p>
      <w:pPr>
        <w:sectPr>
          <w:pgSz w:w="11900" w:h="16838" w:orient="portrait"/>
          <w:cols w:equalWidth="0" w:num="1">
            <w:col w:w="11220"/>
          </w:cols>
          <w:pgMar w:left="240" w:top="125" w:right="439" w:bottom="0" w:gutter="0" w:footer="0" w:header="0"/>
          <w:type w:val="continuous"/>
        </w:sectPr>
      </w:pPr>
    </w:p>
    <w:bookmarkStart w:id="250" w:name="page251"/>
    <w:bookmarkEnd w:id="250"/>
    <w:p>
      <w:pPr>
        <w:ind w:left="5720"/>
        <w:spacing w:after="0"/>
        <w:rPr>
          <w:sz w:val="20"/>
          <w:szCs w:val="20"/>
          <w:color w:val="auto"/>
        </w:rPr>
      </w:pPr>
      <w:r>
        <w:rPr>
          <w:rFonts w:ascii="Arial" w:cs="Arial" w:eastAsia="Arial" w:hAnsi="Arial"/>
          <w:sz w:val="18"/>
          <w:szCs w:val="18"/>
          <w:color w:val="auto"/>
        </w:rPr>
        <w:t>By: T. ROWE PRICE ASSOCIATES, INC., Investment Adviser</w:t>
      </w:r>
    </w:p>
    <w:p>
      <w:pPr>
        <w:spacing w:after="0" w:line="225"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Spencer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Spencer</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Andrew Baek, Vice President and Senior Legal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andrew_baek@troweprice.com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SMALL-CAP STOCK FUND,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INSTITUTIONAL SMALL-CAP STOCK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PERSONAL STRATEGY INCOME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PERSONAL STRATEGY BALANCED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PERSONAL STRATEGY GROWTH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7"/>
          <w:szCs w:val="17"/>
          <w:b w:val="1"/>
          <w:bCs w:val="1"/>
          <w:color w:val="auto"/>
        </w:rPr>
        <w:t>T. ROWE PRICE PERSONAL STRATEGY BALANCED PORTFOLIO</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U.S. SMALL-CAP STOCK TRUST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VALIC COMPANY I — SMALL CAP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TD MUTUAL FUNDS — TD U.S. SMALL-CAP EQUITY FUND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 ROWE PRICE U.S. SMALL-CAP CORE EQUITY TRUST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ADVANTUS CAPITAL MANAGEMENT, INC. - MINNESOTA LIFE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INSURANCE CO.</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T. ROWE PRICE ASSOCIATES, INC., Investment Adviser</w:t>
      </w:r>
    </w:p>
    <w:p>
      <w:pPr>
        <w:spacing w:after="0" w:line="225"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/s/Gregory McCrickard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9"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Gregory McCrickard</w:t>
      </w:r>
    </w:p>
    <w:p>
      <w:pPr>
        <w:spacing w:after="0" w:line="23" w:lineRule="exact"/>
        <w:rPr>
          <w:sz w:val="20"/>
          <w:szCs w:val="20"/>
          <w:color w:val="auto"/>
        </w:rPr>
      </w:pPr>
    </w:p>
    <w:p>
      <w:pPr>
        <w:ind w:left="5720"/>
        <w:spacing w:after="0"/>
        <w:tabs>
          <w:tab w:leader="none" w:pos="63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198495" cy="8890"/>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-130810</wp:posOffset>
            </wp:positionV>
            <wp:extent cx="31984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 Rowe Price Associates, Inc.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Attn: Andrew Baek, Vice President and Senior Legal Counsel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Phone: 410-345-2090</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E-mail: andrew_baek@troweprice.com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INTEL CAPITAL CORPORATION</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/s/Abhay Gadkari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Abhay Gadkari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RED HAT, INC.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/s/Charles E. Peters, Jr.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Charles E. Peters,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EVP &amp;CFO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571" w:gutter="0" w:footer="0" w:header="0"/>
        </w:sectPr>
      </w:pPr>
    </w:p>
    <w:bookmarkStart w:id="251" w:name="page252"/>
    <w:bookmarkEnd w:id="251"/>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FIDELITY MT. VERNON STREET TRUST: FIDELITY GROWTH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COMPANY FUND</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VARIABLE INSURANCE PRODUCTS FUND III: GROWTH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OPPORTUNITIES PORTFOLIO</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FIDELITY ADVISOR SERIES I: FIDELITY ADVISOR GROWTH</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OPPORTUNITIES FUND</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VARIABLE INSURANCE PRODUCTS FUND II: CONTRAFUND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PORTFOLIO</w:t>
      </w:r>
    </w:p>
    <w:p>
      <w:pPr>
        <w:spacing w:after="0" w:line="211"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have executed this Fifth Amended and Restated Investors’ Rights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FIDELITY ADVISOR SERIES I: FIDELITY ADVISOR BALANCED</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Fidelity Puritan Trust: Fidelity Balanced Fund</w:t>
      </w:r>
    </w:p>
    <w:p>
      <w:pPr>
        <w:spacing w:after="0" w:line="225"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/s/Stacie M.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14605</wp:posOffset>
            </wp:positionV>
            <wp:extent cx="33020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Stacie M. Smith</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Deputy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have executed this Fifth Amended and Restated Investors’ Rights Agreement as of December 10, 2014.</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ALTIMETER PARTNERS FUND, L.P.</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Altimeter General Partner, LLC</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720"/>
        <w:spacing w:after="0"/>
        <w:tabs>
          <w:tab w:leader="none" w:pos="6200" w:val="left"/>
        </w:tabs>
        <w:rPr>
          <w:sz w:val="20"/>
          <w:szCs w:val="20"/>
          <w:color w:val="auto"/>
        </w:rPr>
      </w:pPr>
      <w:r>
        <w:rPr>
          <w:rFonts w:ascii="Arial" w:cs="Arial" w:eastAsia="Arial" w:hAnsi="Arial"/>
          <w:sz w:val="18"/>
          <w:szCs w:val="18"/>
          <w:color w:val="auto"/>
        </w:rPr>
        <w:t>By:</w:t>
        <w:tab/>
        <w:t>/s/John J. Kiernan III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John J. Kiernan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53" w:gutter="0" w:footer="0" w:header="0"/>
        </w:sectPr>
      </w:pPr>
    </w:p>
    <w:bookmarkStart w:id="252" w:name="page253"/>
    <w:bookmarkEnd w:id="252"/>
    <w:p>
      <w:pPr>
        <w:ind w:left="660"/>
        <w:spacing w:after="0"/>
        <w:rPr>
          <w:sz w:val="20"/>
          <w:szCs w:val="20"/>
          <w:color w:val="auto"/>
        </w:rPr>
      </w:pPr>
      <w:r>
        <w:rPr>
          <w:rFonts w:ascii="Arial" w:cs="Arial" w:eastAsia="Arial" w:hAnsi="Arial"/>
          <w:sz w:val="16"/>
          <w:szCs w:val="16"/>
          <w:color w:val="auto"/>
        </w:rPr>
        <w:t>IN WITNESS WHEREOF, the undersigned have executed this Fifth Amended and Restated Investors’ Rights Agreement as of December 10, 2014.</w:t>
      </w:r>
    </w:p>
    <w:p>
      <w:pPr>
        <w:spacing w:after="0" w:line="24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BROAD STREET PRINCIPAL INVESTMENTS, L.L.C.</w:t>
      </w:r>
    </w:p>
    <w:p>
      <w:pPr>
        <w:spacing w:after="0" w:line="22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/s/Dan Dees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Dan Dees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have executed this Fifth Amended and Restated Investors’ Rights Agreement as of December 10, 2014.</w:t>
      </w:r>
    </w:p>
    <w:p>
      <w:pPr>
        <w:sectPr>
          <w:pgSz w:w="11900" w:h="16838" w:orient="portrait"/>
          <w:cols w:equalWidth="0" w:num="1">
            <w:col w:w="11340"/>
          </w:cols>
          <w:pgMar w:left="240" w:top="585" w:right="319" w:bottom="0" w:gutter="0" w:footer="0" w:header="0"/>
        </w:sectPr>
      </w:pPr>
    </w:p>
    <w:p>
      <w:pPr>
        <w:spacing w:after="0" w:line="244"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on behalf of</w:t>
      </w:r>
      <w:r>
        <w:rPr>
          <w:rFonts w:ascii="Arial" w:cs="Arial" w:eastAsia="Arial" w:hAnsi="Arial"/>
          <w:sz w:val="18"/>
          <w:szCs w:val="18"/>
          <w:b w:val="1"/>
          <w:bCs w:val="1"/>
          <w:color w:val="auto"/>
        </w:rPr>
        <w:t xml:space="preserve"> THE NORTHERN TRUST COMPANY (ABN 62 126 279 918)</w:t>
      </w:r>
      <w:r>
        <w:rPr>
          <w:rFonts w:ascii="Arial" w:cs="Arial" w:eastAsia="Arial" w:hAnsi="Arial"/>
          <w:sz w:val="18"/>
          <w:szCs w:val="18"/>
          <w:color w:val="auto"/>
        </w:rPr>
        <w:t>, a company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State of Illinois in the United States of America, in its capacity as custodian for </w:t>
      </w:r>
      <w:r>
        <w:rPr>
          <w:rFonts w:ascii="Arial" w:cs="Arial" w:eastAsia="Arial" w:hAnsi="Arial"/>
          <w:sz w:val="18"/>
          <w:szCs w:val="18"/>
          <w:b w:val="1"/>
          <w:bCs w:val="1"/>
          <w:color w:val="auto"/>
        </w:rPr>
        <w:t>Future Fund Investment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No.4 Pty Ltd</w:t>
      </w:r>
      <w:r>
        <w:rPr>
          <w:rFonts w:ascii="Arial" w:cs="Arial" w:eastAsia="Arial" w:hAnsi="Arial"/>
          <w:sz w:val="18"/>
          <w:szCs w:val="18"/>
          <w:color w:val="auto"/>
        </w:rPr>
        <w:t>, by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Jonathan Carstens, VP</w:t>
      </w:r>
    </w:p>
    <w:p>
      <w:pPr>
        <w:spacing w:after="0" w:line="22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being a person who, in accordance with the laws of that territory, is acting under the authority of the company in the presence of:</w:t>
      </w: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/s/N. Harrison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288163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Nicholas Harrison</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witness (block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-130175</wp:posOffset>
            </wp:positionV>
            <wp:extent cx="288163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43, 120 Collins Street,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Melbourne, VIL, 30000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of witness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6"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ind w:left="884" w:hanging="884"/>
        <w:spacing w:after="0"/>
        <w:tabs>
          <w:tab w:leader="none" w:pos="884"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 Jonathan Carstens</w:t>
      </w:r>
    </w:p>
    <w:p>
      <w:pPr>
        <w:spacing w:after="0" w:line="7" w:lineRule="exact"/>
        <w:rPr>
          <w:sz w:val="20"/>
          <w:szCs w:val="20"/>
          <w:color w:val="auto"/>
        </w:rPr>
      </w:pPr>
    </w:p>
    <w:tbl>
      <w:tblPr>
        <w:tblLayout w:type="fixed"/>
        <w:tblInd w:w="4" w:type="dxa"/>
        <w:tblCellMar>
          <w:top w:w="0" w:type="dxa"/>
          <w:left w:w="0" w:type="dxa"/>
          <w:bottom w:w="0" w:type="dxa"/>
          <w:right w:w="0" w:type="dxa"/>
        </w:tblCellMar>
      </w:tblPr>
      <w:tr>
        <w:trPr>
          <w:trHeight w:val="195"/>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91"/>
              </w:rPr>
              <w:t>By executing this Agreement the signatory warrants that the signatory is duly</w:t>
            </w:r>
          </w:p>
        </w:tc>
        <w:tc>
          <w:tcPr>
            <w:tcW w:w="0" w:type="dxa"/>
            <w:vAlign w:val="bottom"/>
          </w:tcPr>
          <w:p>
            <w:pPr>
              <w:spacing w:after="0"/>
              <w:rPr>
                <w:sz w:val="1"/>
                <w:szCs w:val="1"/>
                <w:color w:val="auto"/>
              </w:rPr>
            </w:pPr>
          </w:p>
        </w:tc>
      </w:tr>
      <w:tr>
        <w:trPr>
          <w:trHeight w:val="91"/>
        </w:trPr>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340" w:type="dxa"/>
            <w:vAlign w:val="bottom"/>
            <w:vMerge w:val="continue"/>
          </w:tcPr>
          <w:p>
            <w:pPr>
              <w:spacing w:after="0"/>
              <w:rPr>
                <w:sz w:val="10"/>
                <w:szCs w:val="10"/>
                <w:color w:val="auto"/>
              </w:rPr>
            </w:pPr>
          </w:p>
        </w:tc>
        <w:tc>
          <w:tcPr>
            <w:tcW w:w="5600" w:type="dxa"/>
            <w:vAlign w:val="bottom"/>
            <w:vMerge w:val="restart"/>
          </w:tcPr>
          <w:p>
            <w:pPr>
              <w:spacing w:after="0"/>
              <w:rPr>
                <w:sz w:val="20"/>
                <w:szCs w:val="20"/>
                <w:color w:val="auto"/>
              </w:rPr>
            </w:pPr>
            <w:r>
              <w:rPr>
                <w:rFonts w:ascii="Arial" w:cs="Arial" w:eastAsia="Arial" w:hAnsi="Arial"/>
                <w:sz w:val="18"/>
                <w:szCs w:val="18"/>
                <w:color w:val="auto"/>
              </w:rPr>
              <w:t xml:space="preserve">authorized to execute this Agreement on behalf of </w:t>
            </w:r>
            <w:r>
              <w:rPr>
                <w:rFonts w:ascii="Arial" w:cs="Arial" w:eastAsia="Arial" w:hAnsi="Arial"/>
                <w:sz w:val="18"/>
                <w:szCs w:val="18"/>
                <w:b w:val="1"/>
                <w:bCs w:val="1"/>
                <w:color w:val="auto"/>
              </w:rPr>
              <w:t>THE NORTHERN</w:t>
            </w:r>
          </w:p>
        </w:tc>
        <w:tc>
          <w:tcPr>
            <w:tcW w:w="0" w:type="dxa"/>
            <w:vAlign w:val="bottom"/>
          </w:tcPr>
          <w:p>
            <w:pPr>
              <w:spacing w:after="0"/>
              <w:rPr>
                <w:sz w:val="1"/>
                <w:szCs w:val="1"/>
                <w:color w:val="auto"/>
              </w:rPr>
            </w:pPr>
          </w:p>
        </w:tc>
      </w:tr>
      <w:tr>
        <w:trPr>
          <w:trHeight w:val="91"/>
        </w:trPr>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340" w:type="dxa"/>
            <w:vAlign w:val="bottom"/>
            <w:vMerge w:val="continue"/>
          </w:tcPr>
          <w:p>
            <w:pPr>
              <w:spacing w:after="0"/>
              <w:rPr>
                <w:sz w:val="12"/>
                <w:szCs w:val="12"/>
                <w:color w:val="auto"/>
              </w:rPr>
            </w:pPr>
          </w:p>
        </w:tc>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TRUST COMPANY</w:t>
            </w:r>
          </w:p>
        </w:tc>
        <w:tc>
          <w:tcPr>
            <w:tcW w:w="0" w:type="dxa"/>
            <w:vAlign w:val="bottom"/>
          </w:tcPr>
          <w:p>
            <w:pPr>
              <w:spacing w:after="0"/>
              <w:rPr>
                <w:sz w:val="1"/>
                <w:szCs w:val="1"/>
                <w:color w:val="auto"/>
              </w:rPr>
            </w:pPr>
          </w:p>
        </w:tc>
      </w:tr>
      <w:tr>
        <w:trPr>
          <w:trHeight w:val="95"/>
        </w:trPr>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340" w:type="dxa"/>
            <w:vAlign w:val="bottom"/>
            <w:vMerge w:val="continue"/>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5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203835</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156"/>
            <w:col w:w="6024"/>
          </w:cols>
          <w:pgMar w:left="240" w:top="585"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executed this Fifth Amended and Restated Investor Rights’ Agreement as of December I4, 2014.</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Executed by </w:t>
      </w:r>
      <w:r>
        <w:rPr>
          <w:rFonts w:ascii="Arial" w:cs="Arial" w:eastAsia="Arial" w:hAnsi="Arial"/>
          <w:sz w:val="18"/>
          <w:szCs w:val="18"/>
          <w:b w:val="1"/>
          <w:bCs w:val="1"/>
          <w:color w:val="auto"/>
        </w:rPr>
        <w:t>Future Fund Investment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Company No.4 Pty Ltd </w:t>
      </w:r>
      <w:r>
        <w:rPr>
          <w:rFonts w:ascii="Arial" w:cs="Arial" w:eastAsia="Arial" w:hAnsi="Arial"/>
          <w:sz w:val="18"/>
          <w:szCs w:val="18"/>
          <w:color w:val="auto"/>
        </w:rPr>
        <w:t>in accordance with</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127(1) of the </w:t>
      </w:r>
      <w:r>
        <w:rPr>
          <w:rFonts w:ascii="Arial" w:cs="Arial" w:eastAsia="Arial" w:hAnsi="Arial"/>
          <w:sz w:val="18"/>
          <w:szCs w:val="18"/>
          <w:i w:val="1"/>
          <w:iCs w:val="1"/>
          <w:color w:val="auto"/>
        </w:rPr>
        <w:t>Corporations Act 2001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(Cth) by:</w:t>
      </w:r>
    </w:p>
    <w:p>
      <w:pPr>
        <w:sectPr>
          <w:pgSz w:w="11900" w:h="16838" w:orient="portrait"/>
          <w:cols w:equalWidth="0" w:num="1">
            <w:col w:w="11340"/>
          </w:cols>
          <w:pgMar w:left="240" w:top="585" w:right="319" w:bottom="0" w:gutter="0" w:footer="0" w:header="0"/>
          <w:type w:val="continuous"/>
        </w:sect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/s/Paul Mann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Signature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-116205</wp:posOffset>
            </wp:positionV>
            <wp:extent cx="295846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Paul Mann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295846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10 December 2014</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295846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/s/Kylie Yong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of Company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36017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Kylie Yong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Director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36017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10 December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-130810</wp:posOffset>
            </wp:positionV>
            <wp:extent cx="36017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01720" cy="8890"/>
                    </a:xfrm>
                    <a:prstGeom prst="rect">
                      <a:avLst/>
                    </a:prstGeom>
                    <a:noFill/>
                  </pic:spPr>
                </pic:pic>
              </a:graphicData>
            </a:graphic>
          </wp:anchor>
        </w:drawing>
        <w:drawing>
          <wp:anchor simplePos="0" relativeHeight="251657728" behindDoc="1" locked="0" layoutInCell="0" allowOverlap="1">
            <wp:simplePos x="0" y="0"/>
            <wp:positionH relativeFrom="column">
              <wp:posOffset>-3539490</wp:posOffset>
            </wp:positionH>
            <wp:positionV relativeFrom="paragraph">
              <wp:posOffset>218440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720"/>
            <w:col w:w="5760"/>
          </w:cols>
          <w:pgMar w:left="240" w:top="585" w:right="31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undersigned hereby agrees to be a party to the Fifth Amended and Restated Investors’ Rights Agreement dated as of October 2, 2013, by and among MongoDB, Inc. and the persons and entities named therein, (as the same may be amended or amended and restated from time to time, the “</w:t>
      </w:r>
      <w:r>
        <w:rPr>
          <w:rFonts w:ascii="Arial" w:cs="Arial" w:eastAsia="Arial" w:hAnsi="Arial"/>
          <w:sz w:val="16"/>
          <w:szCs w:val="16"/>
          <w:b w:val="1"/>
          <w:bCs w:val="1"/>
          <w:color w:val="auto"/>
        </w:rPr>
        <w:t>Investors’</w:t>
      </w:r>
      <w:r>
        <w:rPr>
          <w:rFonts w:ascii="Arial" w:cs="Arial" w:eastAsia="Arial" w:hAnsi="Arial"/>
          <w:sz w:val="16"/>
          <w:szCs w:val="16"/>
          <w:color w:val="auto"/>
        </w:rPr>
        <w:t xml:space="preserve"> </w:t>
      </w:r>
      <w:r>
        <w:rPr>
          <w:rFonts w:ascii="Arial" w:cs="Arial" w:eastAsia="Arial" w:hAnsi="Arial"/>
          <w:sz w:val="16"/>
          <w:szCs w:val="16"/>
          <w:b w:val="1"/>
          <w:bCs w:val="1"/>
          <w:color w:val="auto"/>
        </w:rPr>
        <w:t>Rights Agreement</w:t>
      </w:r>
      <w:r>
        <w:rPr>
          <w:rFonts w:ascii="Arial" w:cs="Arial" w:eastAsia="Arial" w:hAnsi="Arial"/>
          <w:sz w:val="16"/>
          <w:szCs w:val="16"/>
          <w:color w:val="auto"/>
        </w:rPr>
        <w:t>”), as an Investor (as defined in the Investors’ Rights Agreement), and to be bound by the terms and subject to the conditions thereof.</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has executed this Adoption Agreement to the Investors’ Rights Agreement as of June 27</w:t>
      </w:r>
      <w:r>
        <w:rPr>
          <w:rFonts w:ascii="Arial" w:cs="Arial" w:eastAsia="Arial" w:hAnsi="Arial"/>
          <w:sz w:val="23"/>
          <w:szCs w:val="23"/>
          <w:color w:val="auto"/>
          <w:vertAlign w:val="superscript"/>
        </w:rPr>
        <w:t>th</w:t>
      </w:r>
      <w:r>
        <w:rPr>
          <w:rFonts w:ascii="Arial" w:cs="Arial" w:eastAsia="Arial" w:hAnsi="Arial"/>
          <w:sz w:val="18"/>
          <w:szCs w:val="18"/>
          <w:color w:val="auto"/>
        </w:rPr>
        <w:t>, 2017.</w:t>
      </w:r>
    </w:p>
    <w:p>
      <w:pPr>
        <w:spacing w:after="0" w:line="164"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 xml:space="preserve">(If Investor is a </w:t>
      </w:r>
      <w:r>
        <w:rPr>
          <w:rFonts w:ascii="Arial" w:cs="Arial" w:eastAsia="Arial" w:hAnsi="Arial"/>
          <w:sz w:val="17"/>
          <w:szCs w:val="17"/>
          <w:i w:val="1"/>
          <w:iCs w:val="1"/>
          <w:color w:val="auto"/>
        </w:rPr>
        <w:t>corporation, partnership or other entity</w:t>
      </w:r>
      <w:r>
        <w:rPr>
          <w:rFonts w:ascii="Arial" w:cs="Arial" w:eastAsia="Arial" w:hAnsi="Arial"/>
          <w:sz w:val="17"/>
          <w:szCs w:val="17"/>
          <w:color w:val="auto"/>
        </w:rPr>
        <w:t xml:space="preserve">, please </w:t>
      </w:r>
      <w:r>
        <w:rPr>
          <w:rFonts w:ascii="Arial" w:cs="Arial" w:eastAsia="Arial" w:hAnsi="Arial"/>
          <w:sz w:val="17"/>
          <w:szCs w:val="17"/>
          <w:b w:val="1"/>
          <w:bCs w:val="1"/>
          <w:u w:val="single" w:color="auto"/>
          <w:color w:val="auto"/>
        </w:rPr>
        <w:t>sign</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257" w:lineRule="exact"/>
        <w:rPr>
          <w:sz w:val="20"/>
          <w:szCs w:val="20"/>
          <w:color w:val="auto"/>
        </w:rPr>
      </w:pPr>
    </w:p>
    <w:p>
      <w:pPr>
        <w:ind w:left="5720"/>
        <w:spacing w:after="0"/>
        <w:tabs>
          <w:tab w:leader="none" w:pos="7300" w:val="left"/>
        </w:tabs>
        <w:rPr>
          <w:sz w:val="20"/>
          <w:szCs w:val="20"/>
          <w:color w:val="auto"/>
        </w:rPr>
      </w:pPr>
      <w:r>
        <w:rPr>
          <w:rFonts w:ascii="Arial" w:cs="Arial" w:eastAsia="Arial" w:hAnsi="Arial"/>
          <w:sz w:val="18"/>
          <w:szCs w:val="18"/>
          <w:color w:val="auto"/>
        </w:rPr>
        <w:t>Entity Name:</w:t>
      </w:r>
      <w:r>
        <w:rPr>
          <w:sz w:val="20"/>
          <w:szCs w:val="20"/>
          <w:color w:val="auto"/>
        </w:rPr>
        <w:tab/>
      </w:r>
      <w:r>
        <w:rPr>
          <w:rFonts w:ascii="Arial" w:cs="Arial" w:eastAsia="Arial" w:hAnsi="Arial"/>
          <w:sz w:val="17"/>
          <w:szCs w:val="17"/>
          <w:color w:val="auto"/>
        </w:rPr>
        <w:t>In-Q-Tel,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ectPr>
          <w:pgSz w:w="11900" w:h="16838" w:orient="portrait"/>
          <w:cols w:equalWidth="0" w:num="1">
            <w:col w:w="11340"/>
          </w:cols>
          <w:pgMar w:left="240" w:top="585" w:right="319" w:bottom="0" w:gutter="0" w:footer="0" w:header="0"/>
          <w:type w:val="continuous"/>
        </w:sectPr>
      </w:pPr>
    </w:p>
    <w:bookmarkStart w:id="253" w:name="page254"/>
    <w:bookmarkEnd w:id="253"/>
    <w:tbl>
      <w:tblPr>
        <w:tblLayout w:type="fixed"/>
        <w:tblInd w:w="5720" w:type="dxa"/>
        <w:tblCellMar>
          <w:top w:w="0" w:type="dxa"/>
          <w:left w:w="0" w:type="dxa"/>
          <w:bottom w:w="0" w:type="dxa"/>
          <w:right w:w="0" w:type="dxa"/>
        </w:tblCellMar>
      </w:tblP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46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Strottman</w:t>
            </w:r>
          </w:p>
        </w:tc>
      </w:tr>
      <w:tr>
        <w:trPr>
          <w:trHeight w:val="426"/>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4"/>
                <w:szCs w:val="24"/>
                <w:color w:val="auto"/>
              </w:rPr>
            </w:pPr>
          </w:p>
        </w:tc>
        <w:tc>
          <w:tcPr>
            <w:tcW w:w="4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Matthew Strottman</w:t>
            </w:r>
          </w:p>
        </w:tc>
      </w:tr>
      <w:tr>
        <w:trPr>
          <w:trHeight w:val="41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EVP and COO</w:t>
            </w:r>
          </w:p>
        </w:tc>
      </w:tr>
    </w:tbl>
    <w:p>
      <w:pPr>
        <w:spacing w:after="0" w:line="198"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 xml:space="preserve">(If Investor is an </w:t>
      </w:r>
      <w:r>
        <w:rPr>
          <w:rFonts w:ascii="Arial" w:cs="Arial" w:eastAsia="Arial" w:hAnsi="Arial"/>
          <w:sz w:val="18"/>
          <w:szCs w:val="18"/>
          <w:b w:val="1"/>
          <w:bCs w:val="1"/>
          <w:i w:val="1"/>
          <w:iCs w:val="1"/>
          <w:color w:val="auto"/>
        </w:rPr>
        <w:t>individual</w:t>
      </w:r>
      <w:r>
        <w:rPr>
          <w:rFonts w:ascii="Arial" w:cs="Arial" w:eastAsia="Arial" w:hAnsi="Arial"/>
          <w:sz w:val="18"/>
          <w:szCs w:val="18"/>
          <w:color w:val="auto"/>
        </w:rPr>
        <w:t xml:space="preserve">, please </w:t>
      </w:r>
      <w:r>
        <w:rPr>
          <w:rFonts w:ascii="Arial" w:cs="Arial" w:eastAsia="Arial" w:hAnsi="Arial"/>
          <w:sz w:val="18"/>
          <w:szCs w:val="18"/>
          <w:b w:val="1"/>
          <w:bCs w:val="1"/>
          <w:u w:val="single" w:color="auto"/>
          <w:color w:val="auto"/>
        </w:rPr>
        <w:t>sign</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 of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14605</wp:posOffset>
            </wp:positionV>
            <wp:extent cx="319024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1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ACKNOWLEDGED AND AGREED TO:</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MONGODB, INC.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Stephens</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50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Andrew Stephens</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General Counsel</w:t>
            </w:r>
          </w:p>
        </w:tc>
      </w:tr>
      <w:tr>
        <w:trPr>
          <w:trHeight w:val="224"/>
        </w:trPr>
        <w:tc>
          <w:tcPr>
            <w:tcW w:w="640" w:type="dxa"/>
            <w:vAlign w:val="bottom"/>
          </w:tcPr>
          <w:p>
            <w:pPr>
              <w:spacing w:after="0"/>
              <w:rPr>
                <w:sz w:val="19"/>
                <w:szCs w:val="19"/>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June 27/17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Trust: Fidelity Growth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Fund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617-563-5144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Ball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Citibank N.A/Custody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IC&amp;D Lock Box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7247-7057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19170-7057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206681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Variable Insurance Products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Fund III: Growth Opportunities Portfolio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617-563-5144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BNY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Stacey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William Penn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 0400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Series I: Fidelity Advisor Growth Opportunities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ectPr>
          <w:pgSz w:w="11900" w:h="16838" w:orient="portrait"/>
          <w:cols w:equalWidth="0" w:num="1">
            <w:col w:w="11420"/>
          </w:cols>
          <w:pgMar w:left="240" w:top="341" w:right="239" w:bottom="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t>Tel: 617-563-5144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BNY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Stacey Wolfe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525 William Penn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Rm 0400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Pittsburgh, PA 15259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Variable Insurance Products Fund II: Contrafund Portfolio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617-563-5144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Brown Brothers Harriman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Series 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Advisor Balanced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617-563-5144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 Gardiner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35308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Newark, NJ 07101-8006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Fidelity Puritan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Balanced Fund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Boyd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Fidelity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82 Devonshire Street, V13H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617-563-5144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617-385-2818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andrew.boyd@fmr.com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Ball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Citibank N.A/Custody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IC&amp;D Lock Box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7247-7057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19170-7057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 203679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 Enterprise Associates 14,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1954 Greenspring Drive,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Timonium, MD 21093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Louis Citron,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NEA Ventures 2012,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1954 Greenspring Drive, Suite 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Timonium, MD 21093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Louis Citron, Esq.</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SCHF (M) PV,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Sequoia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ectPr>
          <w:pgSz w:w="11900" w:h="16838" w:orient="portrait"/>
          <w:cols w:equalWidth="0" w:num="1">
            <w:col w:w="10219"/>
          </w:cols>
          <w:pgMar w:left="240" w:top="125" w:right="1440" w:bottom="85"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t>Sequoia Capital U.S. Growth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Sequoia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USGF Principals Fund IV,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Sequoia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2010 Fund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 Sequoia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Sequoia Capital U.S. Venture 2010 Partners Fund (Q)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Sequoia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SCGE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 4-250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Union Square Ventures 2008, L.P.</w:t>
      </w:r>
    </w:p>
    <w:p>
      <w:pPr>
        <w:spacing w:after="0" w:line="23" w:lineRule="exact"/>
        <w:rPr>
          <w:sz w:val="20"/>
          <w:szCs w:val="20"/>
          <w:color w:val="auto"/>
        </w:rPr>
      </w:pPr>
    </w:p>
    <w:p>
      <w:pPr>
        <w:ind w:left="320" w:hanging="312"/>
        <w:spacing w:after="0"/>
        <w:tabs>
          <w:tab w:leader="none" w:pos="3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Broadway</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Suite 1408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New York, NY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Flybridge Capital Partners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Boylston Street,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Flybridge Network Fund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Boylston Street, 18th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Kevin Ryan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East 81st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NY 10028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Dwight Merriman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737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Intel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Intel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Intel Capital Portfolio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2200 Mission College Blvd., M/S RN6-46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 Hat,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Davie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Raleigh, NC 27601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CFO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Andrew Baek, Vice President and Senior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224155</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 Rowe Price New Horizons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Attn: Andrew Baek, Vice President and Senior Legal Counsel</w:t>
      </w:r>
    </w:p>
    <w:p>
      <w:pPr>
        <w:sectPr>
          <w:pgSz w:w="11900" w:h="16838" w:orient="portrait"/>
          <w:cols w:equalWidth="0" w:num="1">
            <w:col w:w="10219"/>
          </w:cols>
          <w:pgMar w:left="240" w:top="125" w:right="1440" w:bottom="41"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t>T. Rowe Price U.S. Equities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Small-Cap Stock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Institutional Small-Cap Stock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PERSONAL STRATEGY INCOME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PERSONAL STRATEGY BALANCED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PERSONAL STRATEGY GROWTH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ind w:right="4959"/>
        <w:spacing w:after="0" w:line="258" w:lineRule="auto"/>
        <w:rPr>
          <w:sz w:val="20"/>
          <w:szCs w:val="20"/>
          <w:color w:val="auto"/>
        </w:rPr>
      </w:pPr>
      <w:r>
        <w:rPr>
          <w:rFonts w:ascii="Arial" w:cs="Arial" w:eastAsia="Arial" w:hAnsi="Arial"/>
          <w:sz w:val="18"/>
          <w:szCs w:val="18"/>
          <w:color w:val="auto"/>
        </w:rPr>
        <w:t>T. ROWE PRICE PERSONAL STRATEGY BALANCED PORTFOLIO T. Rowe Price Associates,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U.S. Small-Cap Stock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VALIC Company I - Small Cap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TD Mutual Funds - TD U.S. Small-Cap Equity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 Rowe Price U.S. Small-Cap Core Equity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Advantus Capital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Minnesota Life Insurance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Andrew Baek, Vice President and Senior Legal Counsel</w:t>
      </w:r>
    </w:p>
    <w:p>
      <w:pPr>
        <w:sectPr>
          <w:pgSz w:w="11900" w:h="16838" w:orient="portrait"/>
          <w:cols w:equalWidth="0" w:num="1">
            <w:col w:w="10219"/>
          </w:cols>
          <w:pgMar w:left="240" w:top="125" w:right="1440" w:bottom="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t>T. Rowe Price Global Technology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TD Mutual Funds - TD Science &amp; Technology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T. Rowe Price Media &amp; Telecommunications Fund,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TD Mutual Funds - TD Entertainment &amp; Communications Fund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 Rowe Price Associates,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MD 21202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Attn: Andrew Baek, Vice President and Senior Legal Counsel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Altimeter Partners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J. Kiernan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Altimeter Capital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 Suite 2400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Altimeter Private Partners Fund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J. Wang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Altimeter Capital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 Suite 2400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kevin@altimetercapital.com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Altimeter Private SPV 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J. Wang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Altimeter Capital Management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International Place, Suite 2400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kevin@altimetercapital.com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Sales force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Landmark @ 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Market Street,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Sohaib Abbasi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Kelsey W. Ellis Associate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Seven Post, Private Investment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Montgomery Street, 31st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94104-4505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EMC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EMC Ventures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430 Cowper Street,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Daniel Docter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Daniel.Docter@emc.com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Broad Street Principal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ectPr>
          <w:pgSz w:w="11900" w:h="16838" w:orient="portrait"/>
          <w:cols w:equalWidth="0" w:num="1">
            <w:col w:w="10219"/>
          </w:cols>
          <w:pgMar w:left="240" w:top="125" w:right="1440" w:bottom="18"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t>The Northern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its capacity as custodian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Future Fund Investment Company No.4 Pty Ltd.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In-Q-Tel,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220"/>
        <w:spacing w:after="0"/>
        <w:rPr>
          <w:sz w:val="20"/>
          <w:szCs w:val="20"/>
          <w:color w:val="auto"/>
        </w:rPr>
      </w:pPr>
      <w:r>
        <w:rPr>
          <w:rFonts w:ascii="Arial" w:cs="Arial" w:eastAsia="Arial" w:hAnsi="Arial"/>
          <w:sz w:val="17"/>
          <w:szCs w:val="17"/>
          <w:b w:val="1"/>
          <w:bCs w:val="1"/>
          <w:color w:val="auto"/>
        </w:rPr>
        <w:t>SCHEDULE B</w:t>
      </w:r>
    </w:p>
    <w:p>
      <w:pPr>
        <w:spacing w:after="0" w:line="23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Key 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Eliot Horowitz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 West 20th Street — 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eliot@mongodb.com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ERH Family 2012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2373 Broadway, Apt. 821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Kevin Ryan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57 W. 69th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kevin@gilt.com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Kevin P. Ryan 2012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 Grant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Old Greenwich, C7 0687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kevin@gilt.com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Dwight Merriman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737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dwight@mongodb.com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Dwight A. Merriman 2012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737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NY, NY 10014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dwight@mongodb.com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26" w:right="1440" w:bottom="1440" w:gutter="0" w:footer="0" w:header="0"/>
        </w:sectPr>
      </w:pPr>
    </w:p>
    <w:bookmarkStart w:id="259" w:name="page260"/>
    <w:bookmarkEnd w:id="259"/>
    <w:p>
      <w:pPr>
        <w:ind w:left="10480"/>
        <w:spacing w:after="0"/>
        <w:rPr>
          <w:sz w:val="20"/>
          <w:szCs w:val="20"/>
          <w:color w:val="auto"/>
        </w:rPr>
      </w:pPr>
      <w:r>
        <w:rPr>
          <w:rFonts w:ascii="Arial" w:cs="Arial" w:eastAsia="Arial" w:hAnsi="Arial"/>
          <w:sz w:val="17"/>
          <w:szCs w:val="17"/>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2466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Adopted by the Board on March 1, 2008</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Approved by the Stockholders on March 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90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00" w:type="dxa"/>
            <w:vAlign w:val="bottom"/>
            <w:vMerge w:val="restart"/>
          </w:tcPr>
          <w:p>
            <w:pPr>
              <w:spacing w:after="0"/>
              <w:rPr>
                <w:sz w:val="20"/>
                <w:szCs w:val="20"/>
                <w:color w:val="auto"/>
              </w:rPr>
            </w:pPr>
            <w:r>
              <w:rPr>
                <w:rFonts w:ascii="Arial" w:cs="Arial" w:eastAsia="Arial" w:hAnsi="Arial"/>
                <w:sz w:val="18"/>
                <w:szCs w:val="18"/>
                <w:color w:val="auto"/>
              </w:rPr>
              <w:t>SECTION 1.</w:t>
            </w:r>
          </w:p>
        </w:tc>
        <w:tc>
          <w:tcPr>
            <w:tcW w:w="9080" w:type="dxa"/>
            <w:vAlign w:val="bottom"/>
            <w:vMerge w:val="restart"/>
          </w:tcPr>
          <w:p>
            <w:pPr>
              <w:ind w:left="240"/>
              <w:spacing w:after="0"/>
              <w:rPr>
                <w:sz w:val="20"/>
                <w:szCs w:val="20"/>
                <w:color w:val="auto"/>
              </w:rPr>
            </w:pPr>
            <w:r>
              <w:rPr>
                <w:rFonts w:ascii="Arial" w:cs="Arial" w:eastAsia="Arial" w:hAnsi="Arial"/>
                <w:sz w:val="18"/>
                <w:szCs w:val="18"/>
                <w:color w:val="auto"/>
              </w:rPr>
              <w:t>PURPOSE</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200" w:type="dxa"/>
            <w:vAlign w:val="bottom"/>
            <w:vMerge w:val="continue"/>
          </w:tcPr>
          <w:p>
            <w:pPr>
              <w:spacing w:after="0"/>
              <w:rPr>
                <w:sz w:val="19"/>
                <w:szCs w:val="19"/>
                <w:color w:val="auto"/>
              </w:rPr>
            </w:pPr>
          </w:p>
        </w:tc>
        <w:tc>
          <w:tcPr>
            <w:tcW w:w="908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200" w:type="dxa"/>
            <w:vAlign w:val="bottom"/>
          </w:tcPr>
          <w:p>
            <w:pPr>
              <w:spacing w:after="0"/>
              <w:rPr>
                <w:sz w:val="20"/>
                <w:szCs w:val="20"/>
                <w:color w:val="auto"/>
              </w:rPr>
            </w:pPr>
            <w:r>
              <w:rPr>
                <w:rFonts w:ascii="Arial" w:cs="Arial" w:eastAsia="Arial" w:hAnsi="Arial"/>
                <w:sz w:val="18"/>
                <w:szCs w:val="18"/>
                <w:color w:val="auto"/>
              </w:rPr>
              <w:t>SECTION 2.</w:t>
            </w:r>
          </w:p>
        </w:tc>
        <w:tc>
          <w:tcPr>
            <w:tcW w:w="908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3.</w:t>
            </w:r>
          </w:p>
        </w:tc>
        <w:tc>
          <w:tcPr>
            <w:tcW w:w="9080" w:type="dxa"/>
            <w:vAlign w:val="bottom"/>
          </w:tcPr>
          <w:p>
            <w:pPr>
              <w:ind w:left="240"/>
              <w:spacing w:after="0"/>
              <w:rPr>
                <w:sz w:val="20"/>
                <w:szCs w:val="20"/>
                <w:color w:val="auto"/>
              </w:rPr>
            </w:pPr>
            <w:r>
              <w:rPr>
                <w:rFonts w:ascii="Arial" w:cs="Arial" w:eastAsia="Arial" w:hAnsi="Arial"/>
                <w:sz w:val="18"/>
                <w:szCs w:val="18"/>
                <w:color w:val="auto"/>
              </w:rPr>
              <w:t>ADMINISTRATION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3.1</w:t>
            </w:r>
          </w:p>
        </w:tc>
        <w:tc>
          <w:tcPr>
            <w:tcW w:w="9080" w:type="dxa"/>
            <w:vAlign w:val="bottom"/>
          </w:tcPr>
          <w:p>
            <w:pPr>
              <w:ind w:left="240"/>
              <w:spacing w:after="0"/>
              <w:rPr>
                <w:sz w:val="20"/>
                <w:szCs w:val="20"/>
                <w:color w:val="auto"/>
              </w:rPr>
            </w:pPr>
            <w:r>
              <w:rPr>
                <w:rFonts w:ascii="Arial" w:cs="Arial" w:eastAsia="Arial" w:hAnsi="Arial"/>
                <w:sz w:val="18"/>
                <w:szCs w:val="18"/>
                <w:color w:val="auto"/>
              </w:rPr>
              <w:t>General Rule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3.2</w:t>
            </w:r>
          </w:p>
        </w:tc>
        <w:tc>
          <w:tcPr>
            <w:tcW w:w="9080" w:type="dxa"/>
            <w:vAlign w:val="bottom"/>
          </w:tcPr>
          <w:p>
            <w:pPr>
              <w:ind w:left="240"/>
              <w:spacing w:after="0"/>
              <w:rPr>
                <w:sz w:val="20"/>
                <w:szCs w:val="20"/>
                <w:color w:val="auto"/>
              </w:rPr>
            </w:pPr>
            <w:r>
              <w:rPr>
                <w:rFonts w:ascii="Arial" w:cs="Arial" w:eastAsia="Arial" w:hAnsi="Arial"/>
                <w:sz w:val="18"/>
                <w:szCs w:val="18"/>
                <w:color w:val="auto"/>
              </w:rPr>
              <w:t>Board Authority and Responsibility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4.</w:t>
            </w:r>
          </w:p>
        </w:tc>
        <w:tc>
          <w:tcPr>
            <w:tcW w:w="9080" w:type="dxa"/>
            <w:vAlign w:val="bottom"/>
          </w:tcPr>
          <w:p>
            <w:pPr>
              <w:ind w:left="240"/>
              <w:spacing w:after="0"/>
              <w:rPr>
                <w:sz w:val="20"/>
                <w:szCs w:val="20"/>
                <w:color w:val="auto"/>
              </w:rPr>
            </w:pPr>
            <w:r>
              <w:rPr>
                <w:rFonts w:ascii="Arial" w:cs="Arial" w:eastAsia="Arial" w:hAnsi="Arial"/>
                <w:sz w:val="18"/>
                <w:szCs w:val="18"/>
                <w:color w:val="auto"/>
              </w:rPr>
              <w:t>ELIGIBILITY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4.1</w:t>
            </w:r>
          </w:p>
        </w:tc>
        <w:tc>
          <w:tcPr>
            <w:tcW w:w="9080" w:type="dxa"/>
            <w:vAlign w:val="bottom"/>
          </w:tcPr>
          <w:p>
            <w:pPr>
              <w:ind w:left="240"/>
              <w:spacing w:after="0"/>
              <w:rPr>
                <w:sz w:val="20"/>
                <w:szCs w:val="20"/>
                <w:color w:val="auto"/>
              </w:rPr>
            </w:pPr>
            <w:r>
              <w:rPr>
                <w:rFonts w:ascii="Arial" w:cs="Arial" w:eastAsia="Arial" w:hAnsi="Arial"/>
                <w:sz w:val="18"/>
                <w:szCs w:val="18"/>
                <w:color w:val="auto"/>
              </w:rPr>
              <w:t>General Rule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5.</w:t>
            </w:r>
          </w:p>
        </w:tc>
        <w:tc>
          <w:tcPr>
            <w:tcW w:w="9080" w:type="dxa"/>
            <w:vAlign w:val="bottom"/>
          </w:tcPr>
          <w:p>
            <w:pPr>
              <w:ind w:left="240"/>
              <w:spacing w:after="0"/>
              <w:rPr>
                <w:sz w:val="20"/>
                <w:szCs w:val="20"/>
                <w:color w:val="auto"/>
              </w:rPr>
            </w:pPr>
            <w:r>
              <w:rPr>
                <w:rFonts w:ascii="Arial" w:cs="Arial" w:eastAsia="Arial" w:hAnsi="Arial"/>
                <w:sz w:val="18"/>
                <w:szCs w:val="18"/>
                <w:color w:val="auto"/>
              </w:rPr>
              <w:t>STOCK SUBJECT TO PLAN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5.1</w:t>
            </w:r>
          </w:p>
        </w:tc>
        <w:tc>
          <w:tcPr>
            <w:tcW w:w="9080" w:type="dxa"/>
            <w:vAlign w:val="bottom"/>
          </w:tcPr>
          <w:p>
            <w:pPr>
              <w:ind w:left="240"/>
              <w:spacing w:after="0"/>
              <w:rPr>
                <w:sz w:val="20"/>
                <w:szCs w:val="20"/>
                <w:color w:val="auto"/>
              </w:rPr>
            </w:pPr>
            <w:r>
              <w:rPr>
                <w:rFonts w:ascii="Arial" w:cs="Arial" w:eastAsia="Arial" w:hAnsi="Arial"/>
                <w:sz w:val="18"/>
                <w:szCs w:val="18"/>
                <w:color w:val="auto"/>
              </w:rPr>
              <w:t>Share Limit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5.2</w:t>
            </w:r>
          </w:p>
        </w:tc>
        <w:tc>
          <w:tcPr>
            <w:tcW w:w="9080" w:type="dxa"/>
            <w:vAlign w:val="bottom"/>
          </w:tcPr>
          <w:p>
            <w:pPr>
              <w:ind w:left="240"/>
              <w:spacing w:after="0"/>
              <w:rPr>
                <w:sz w:val="20"/>
                <w:szCs w:val="20"/>
                <w:color w:val="auto"/>
              </w:rPr>
            </w:pPr>
            <w:r>
              <w:rPr>
                <w:rFonts w:ascii="Arial" w:cs="Arial" w:eastAsia="Arial" w:hAnsi="Arial"/>
                <w:sz w:val="18"/>
                <w:szCs w:val="18"/>
                <w:color w:val="auto"/>
              </w:rPr>
              <w:t>Additional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6.</w:t>
            </w:r>
          </w:p>
        </w:tc>
        <w:tc>
          <w:tcPr>
            <w:tcW w:w="9080" w:type="dxa"/>
            <w:vAlign w:val="bottom"/>
          </w:tcPr>
          <w:p>
            <w:pPr>
              <w:ind w:left="240"/>
              <w:spacing w:after="0"/>
              <w:rPr>
                <w:sz w:val="20"/>
                <w:szCs w:val="20"/>
                <w:color w:val="auto"/>
              </w:rPr>
            </w:pPr>
            <w:r>
              <w:rPr>
                <w:rFonts w:ascii="Arial" w:cs="Arial" w:eastAsia="Arial" w:hAnsi="Arial"/>
                <w:sz w:val="18"/>
                <w:szCs w:val="18"/>
                <w:color w:val="auto"/>
              </w:rPr>
              <w:t>RESTRICTED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6.1</w:t>
            </w:r>
          </w:p>
        </w:tc>
        <w:tc>
          <w:tcPr>
            <w:tcW w:w="9080" w:type="dxa"/>
            <w:vAlign w:val="bottom"/>
          </w:tcPr>
          <w:p>
            <w:pPr>
              <w:ind w:left="240"/>
              <w:spacing w:after="0"/>
              <w:rPr>
                <w:sz w:val="20"/>
                <w:szCs w:val="20"/>
                <w:color w:val="auto"/>
              </w:rPr>
            </w:pPr>
            <w:r>
              <w:rPr>
                <w:rFonts w:ascii="Arial" w:cs="Arial" w:eastAsia="Arial" w:hAnsi="Arial"/>
                <w:sz w:val="18"/>
                <w:szCs w:val="18"/>
                <w:color w:val="auto"/>
              </w:rPr>
              <w:t>Restricted Share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6.2</w:t>
            </w:r>
          </w:p>
        </w:tc>
        <w:tc>
          <w:tcPr>
            <w:tcW w:w="9080" w:type="dxa"/>
            <w:vAlign w:val="bottom"/>
          </w:tcPr>
          <w:p>
            <w:pPr>
              <w:ind w:left="240"/>
              <w:spacing w:after="0"/>
              <w:rPr>
                <w:sz w:val="20"/>
                <w:szCs w:val="20"/>
                <w:color w:val="auto"/>
              </w:rPr>
            </w:pPr>
            <w:r>
              <w:rPr>
                <w:rFonts w:ascii="Arial" w:cs="Arial" w:eastAsia="Arial" w:hAnsi="Arial"/>
                <w:sz w:val="18"/>
                <w:szCs w:val="18"/>
                <w:color w:val="auto"/>
              </w:rPr>
              <w:t>Duration of Offers and Noniransferability of Purchase Rights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6.3</w:t>
            </w:r>
          </w:p>
        </w:tc>
        <w:tc>
          <w:tcPr>
            <w:tcW w:w="9080" w:type="dxa"/>
            <w:vAlign w:val="bottom"/>
          </w:tcPr>
          <w:p>
            <w:pPr>
              <w:ind w:left="240"/>
              <w:spacing w:after="0"/>
              <w:rPr>
                <w:sz w:val="20"/>
                <w:szCs w:val="20"/>
                <w:color w:val="auto"/>
              </w:rPr>
            </w:pPr>
            <w:r>
              <w:rPr>
                <w:rFonts w:ascii="Arial" w:cs="Arial" w:eastAsia="Arial" w:hAnsi="Arial"/>
                <w:sz w:val="18"/>
                <w:szCs w:val="18"/>
                <w:color w:val="auto"/>
              </w:rPr>
              <w:t>Purchase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6.4</w:t>
            </w:r>
          </w:p>
        </w:tc>
        <w:tc>
          <w:tcPr>
            <w:tcW w:w="9080" w:type="dxa"/>
            <w:vAlign w:val="bottom"/>
          </w:tcPr>
          <w:p>
            <w:pPr>
              <w:ind w:left="240"/>
              <w:spacing w:after="0"/>
              <w:rPr>
                <w:sz w:val="20"/>
                <w:szCs w:val="20"/>
                <w:color w:val="auto"/>
              </w:rPr>
            </w:pPr>
            <w:r>
              <w:rPr>
                <w:rFonts w:ascii="Arial" w:cs="Arial" w:eastAsia="Arial" w:hAnsi="Arial"/>
                <w:sz w:val="18"/>
                <w:szCs w:val="18"/>
                <w:color w:val="auto"/>
              </w:rPr>
              <w:t>Repurchase Rights and Transfer Restrictions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7.</w:t>
            </w:r>
          </w:p>
        </w:tc>
        <w:tc>
          <w:tcPr>
            <w:tcW w:w="908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8"/>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7.1</w:t>
            </w:r>
          </w:p>
        </w:tc>
        <w:tc>
          <w:tcPr>
            <w:tcW w:w="9080" w:type="dxa"/>
            <w:vAlign w:val="bottom"/>
          </w:tcPr>
          <w:p>
            <w:pPr>
              <w:ind w:left="240"/>
              <w:spacing w:after="0"/>
              <w:rPr>
                <w:sz w:val="20"/>
                <w:szCs w:val="20"/>
                <w:color w:val="auto"/>
              </w:rPr>
            </w:pPr>
            <w:r>
              <w:rPr>
                <w:rFonts w:ascii="Arial" w:cs="Arial" w:eastAsia="Arial" w:hAnsi="Arial"/>
                <w:sz w:val="18"/>
                <w:szCs w:val="18"/>
                <w:color w:val="auto"/>
              </w:rPr>
              <w:t>Stock Option Agreement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7.2</w:t>
            </w:r>
          </w:p>
        </w:tc>
        <w:tc>
          <w:tcPr>
            <w:tcW w:w="9080" w:type="dxa"/>
            <w:vAlign w:val="bottom"/>
          </w:tcPr>
          <w:p>
            <w:pPr>
              <w:ind w:left="240"/>
              <w:spacing w:after="0"/>
              <w:rPr>
                <w:sz w:val="20"/>
                <w:szCs w:val="20"/>
                <w:color w:val="auto"/>
              </w:rPr>
            </w:pPr>
            <w:r>
              <w:rPr>
                <w:rFonts w:ascii="Arial" w:cs="Arial" w:eastAsia="Arial" w:hAnsi="Arial"/>
                <w:sz w:val="18"/>
                <w:szCs w:val="18"/>
                <w:color w:val="auto"/>
              </w:rPr>
              <w:t>Number of Shares; Kind of Option</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7.3</w:t>
            </w:r>
          </w:p>
        </w:tc>
        <w:tc>
          <w:tcPr>
            <w:tcW w:w="9080" w:type="dxa"/>
            <w:vAlign w:val="bottom"/>
          </w:tcPr>
          <w:p>
            <w:pPr>
              <w:ind w:left="240"/>
              <w:spacing w:after="0"/>
              <w:rPr>
                <w:sz w:val="20"/>
                <w:szCs w:val="20"/>
                <w:color w:val="auto"/>
              </w:rPr>
            </w:pPr>
            <w:r>
              <w:rPr>
                <w:rFonts w:ascii="Arial" w:cs="Arial" w:eastAsia="Arial" w:hAnsi="Arial"/>
                <w:sz w:val="18"/>
                <w:szCs w:val="18"/>
                <w:color w:val="auto"/>
              </w:rPr>
              <w:t>Exercise Price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7.4</w:t>
            </w:r>
          </w:p>
        </w:tc>
        <w:tc>
          <w:tcPr>
            <w:tcW w:w="9080" w:type="dxa"/>
            <w:vAlign w:val="bottom"/>
          </w:tcPr>
          <w:p>
            <w:pPr>
              <w:ind w:left="240"/>
              <w:spacing w:after="0"/>
              <w:rPr>
                <w:sz w:val="20"/>
                <w:szCs w:val="20"/>
                <w:color w:val="auto"/>
              </w:rPr>
            </w:pPr>
            <w:r>
              <w:rPr>
                <w:rFonts w:ascii="Arial" w:cs="Arial" w:eastAsia="Arial" w:hAnsi="Arial"/>
                <w:sz w:val="18"/>
                <w:szCs w:val="18"/>
                <w:color w:val="auto"/>
              </w:rPr>
              <w:t>Term</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7.5</w:t>
            </w:r>
          </w:p>
        </w:tc>
        <w:tc>
          <w:tcPr>
            <w:tcW w:w="9080" w:type="dxa"/>
            <w:vAlign w:val="bottom"/>
          </w:tcPr>
          <w:p>
            <w:pPr>
              <w:ind w:left="240"/>
              <w:spacing w:after="0"/>
              <w:rPr>
                <w:sz w:val="20"/>
                <w:szCs w:val="20"/>
                <w:color w:val="auto"/>
              </w:rPr>
            </w:pPr>
            <w:r>
              <w:rPr>
                <w:rFonts w:ascii="Arial" w:cs="Arial" w:eastAsia="Arial" w:hAnsi="Arial"/>
                <w:sz w:val="18"/>
                <w:szCs w:val="18"/>
                <w:color w:val="auto"/>
              </w:rPr>
              <w:t>Exercisability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7.6</w:t>
            </w:r>
          </w:p>
        </w:tc>
        <w:tc>
          <w:tcPr>
            <w:tcW w:w="9080" w:type="dxa"/>
            <w:vAlign w:val="bottom"/>
          </w:tcPr>
          <w:p>
            <w:pPr>
              <w:ind w:left="240"/>
              <w:spacing w:after="0"/>
              <w:rPr>
                <w:sz w:val="20"/>
                <w:szCs w:val="20"/>
                <w:color w:val="auto"/>
              </w:rPr>
            </w:pPr>
            <w:r>
              <w:rPr>
                <w:rFonts w:ascii="Arial" w:cs="Arial" w:eastAsia="Arial" w:hAnsi="Arial"/>
                <w:sz w:val="18"/>
                <w:szCs w:val="18"/>
                <w:color w:val="auto"/>
              </w:rPr>
              <w:t>Repurchase Rights and Transfer Restrictions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7.7</w:t>
            </w:r>
          </w:p>
        </w:tc>
        <w:tc>
          <w:tcPr>
            <w:tcW w:w="9080" w:type="dxa"/>
            <w:vAlign w:val="bottom"/>
          </w:tcPr>
          <w:p>
            <w:pPr>
              <w:ind w:left="240"/>
              <w:spacing w:after="0"/>
              <w:rPr>
                <w:sz w:val="20"/>
                <w:szCs w:val="20"/>
                <w:color w:val="auto"/>
              </w:rPr>
            </w:pPr>
            <w:r>
              <w:rPr>
                <w:rFonts w:ascii="Arial" w:cs="Arial" w:eastAsia="Arial" w:hAnsi="Arial"/>
                <w:sz w:val="18"/>
                <w:szCs w:val="18"/>
                <w:color w:val="auto"/>
              </w:rPr>
              <w:t>Transferability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7.8</w:t>
            </w:r>
          </w:p>
        </w:tc>
        <w:tc>
          <w:tcPr>
            <w:tcW w:w="9080" w:type="dxa"/>
            <w:vAlign w:val="bottom"/>
          </w:tcPr>
          <w:p>
            <w:pPr>
              <w:ind w:left="240"/>
              <w:spacing w:after="0"/>
              <w:rPr>
                <w:sz w:val="20"/>
                <w:szCs w:val="20"/>
                <w:color w:val="auto"/>
              </w:rPr>
            </w:pPr>
            <w:r>
              <w:rPr>
                <w:rFonts w:ascii="Arial" w:cs="Arial" w:eastAsia="Arial" w:hAnsi="Arial"/>
                <w:sz w:val="18"/>
                <w:szCs w:val="18"/>
                <w:color w:val="auto"/>
              </w:rPr>
              <w:t>Exercise of Options on Termination of Service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7.9</w:t>
            </w:r>
          </w:p>
        </w:tc>
        <w:tc>
          <w:tcPr>
            <w:tcW w:w="9080" w:type="dxa"/>
            <w:vAlign w:val="bottom"/>
          </w:tcPr>
          <w:p>
            <w:pPr>
              <w:ind w:left="240"/>
              <w:spacing w:after="0"/>
              <w:rPr>
                <w:sz w:val="20"/>
                <w:szCs w:val="20"/>
                <w:color w:val="auto"/>
              </w:rPr>
            </w:pPr>
            <w:r>
              <w:rPr>
                <w:rFonts w:ascii="Arial" w:cs="Arial" w:eastAsia="Arial" w:hAnsi="Arial"/>
                <w:sz w:val="18"/>
                <w:szCs w:val="18"/>
                <w:color w:val="auto"/>
              </w:rPr>
              <w:t>No Rights as a Stockholder</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200" w:type="dxa"/>
            <w:vAlign w:val="bottom"/>
          </w:tcPr>
          <w:p>
            <w:pPr>
              <w:jc w:val="center"/>
              <w:ind w:left="150"/>
              <w:spacing w:after="0"/>
              <w:rPr>
                <w:sz w:val="20"/>
                <w:szCs w:val="20"/>
                <w:color w:val="auto"/>
              </w:rPr>
            </w:pPr>
            <w:r>
              <w:rPr>
                <w:rFonts w:ascii="Arial" w:cs="Arial" w:eastAsia="Arial" w:hAnsi="Arial"/>
                <w:sz w:val="18"/>
                <w:szCs w:val="18"/>
                <w:color w:val="auto"/>
                <w:w w:val="91"/>
              </w:rPr>
              <w:t>7.10</w:t>
            </w:r>
          </w:p>
        </w:tc>
        <w:tc>
          <w:tcPr>
            <w:tcW w:w="9080" w:type="dxa"/>
            <w:vAlign w:val="bottom"/>
          </w:tcPr>
          <w:p>
            <w:pPr>
              <w:ind w:left="240"/>
              <w:spacing w:after="0"/>
              <w:rPr>
                <w:sz w:val="20"/>
                <w:szCs w:val="20"/>
                <w:color w:val="auto"/>
              </w:rPr>
            </w:pPr>
            <w:r>
              <w:rPr>
                <w:rFonts w:ascii="Arial" w:cs="Arial" w:eastAsia="Arial" w:hAnsi="Arial"/>
                <w:sz w:val="18"/>
                <w:szCs w:val="18"/>
                <w:color w:val="auto"/>
              </w:rPr>
              <w:t>Modification, Extension and Renewal of Options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SECTION 8.</w:t>
            </w:r>
          </w:p>
        </w:tc>
        <w:tc>
          <w:tcPr>
            <w:tcW w:w="9080" w:type="dxa"/>
            <w:vAlign w:val="bottom"/>
          </w:tcPr>
          <w:p>
            <w:pPr>
              <w:ind w:left="240"/>
              <w:spacing w:after="0"/>
              <w:rPr>
                <w:sz w:val="20"/>
                <w:szCs w:val="20"/>
                <w:color w:val="auto"/>
              </w:rPr>
            </w:pPr>
            <w:r>
              <w:rPr>
                <w:rFonts w:ascii="Arial" w:cs="Arial" w:eastAsia="Arial" w:hAnsi="Arial"/>
                <w:sz w:val="18"/>
                <w:szCs w:val="18"/>
                <w:color w:val="auto"/>
              </w:rPr>
              <w:t>PAYMENT FOR SHARES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8.1</w:t>
            </w:r>
          </w:p>
        </w:tc>
        <w:tc>
          <w:tcPr>
            <w:tcW w:w="9080" w:type="dxa"/>
            <w:vAlign w:val="bottom"/>
          </w:tcPr>
          <w:p>
            <w:pPr>
              <w:ind w:left="240"/>
              <w:spacing w:after="0"/>
              <w:rPr>
                <w:sz w:val="20"/>
                <w:szCs w:val="20"/>
                <w:color w:val="auto"/>
              </w:rPr>
            </w:pPr>
            <w:r>
              <w:rPr>
                <w:rFonts w:ascii="Arial" w:cs="Arial" w:eastAsia="Arial" w:hAnsi="Arial"/>
                <w:sz w:val="18"/>
                <w:szCs w:val="18"/>
                <w:color w:val="auto"/>
              </w:rPr>
              <w:t>General</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8.2</w:t>
            </w:r>
          </w:p>
        </w:tc>
        <w:tc>
          <w:tcPr>
            <w:tcW w:w="9080" w:type="dxa"/>
            <w:vAlign w:val="bottom"/>
          </w:tcPr>
          <w:p>
            <w:pPr>
              <w:ind w:left="240"/>
              <w:spacing w:after="0"/>
              <w:rPr>
                <w:sz w:val="20"/>
                <w:szCs w:val="20"/>
                <w:color w:val="auto"/>
              </w:rPr>
            </w:pPr>
            <w:r>
              <w:rPr>
                <w:rFonts w:ascii="Arial" w:cs="Arial" w:eastAsia="Arial" w:hAnsi="Arial"/>
                <w:sz w:val="18"/>
                <w:szCs w:val="18"/>
                <w:color w:val="auto"/>
              </w:rPr>
              <w:t>Surrender of Stock</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8.3</w:t>
            </w:r>
          </w:p>
        </w:tc>
        <w:tc>
          <w:tcPr>
            <w:tcW w:w="9080" w:type="dxa"/>
            <w:vAlign w:val="bottom"/>
          </w:tcPr>
          <w:p>
            <w:pPr>
              <w:ind w:left="240"/>
              <w:spacing w:after="0"/>
              <w:rPr>
                <w:sz w:val="20"/>
                <w:szCs w:val="20"/>
                <w:color w:val="auto"/>
              </w:rPr>
            </w:pPr>
            <w:r>
              <w:rPr>
                <w:rFonts w:ascii="Arial" w:cs="Arial" w:eastAsia="Arial" w:hAnsi="Arial"/>
                <w:sz w:val="18"/>
                <w:szCs w:val="18"/>
                <w:color w:val="auto"/>
              </w:rPr>
              <w:t>Services Rendered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8.4</w:t>
            </w:r>
          </w:p>
        </w:tc>
        <w:tc>
          <w:tcPr>
            <w:tcW w:w="9080" w:type="dxa"/>
            <w:vAlign w:val="bottom"/>
          </w:tcPr>
          <w:p>
            <w:pPr>
              <w:ind w:left="240"/>
              <w:spacing w:after="0"/>
              <w:rPr>
                <w:sz w:val="20"/>
                <w:szCs w:val="20"/>
                <w:color w:val="auto"/>
              </w:rPr>
            </w:pPr>
            <w:r>
              <w:rPr>
                <w:rFonts w:ascii="Arial" w:cs="Arial" w:eastAsia="Arial" w:hAnsi="Arial"/>
                <w:sz w:val="18"/>
                <w:szCs w:val="18"/>
                <w:color w:val="auto"/>
              </w:rPr>
              <w:t>Promissory Notes</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8.5</w:t>
            </w:r>
          </w:p>
        </w:tc>
        <w:tc>
          <w:tcPr>
            <w:tcW w:w="9080" w:type="dxa"/>
            <w:vAlign w:val="bottom"/>
          </w:tcPr>
          <w:p>
            <w:pPr>
              <w:ind w:left="240"/>
              <w:spacing w:after="0"/>
              <w:rPr>
                <w:sz w:val="20"/>
                <w:szCs w:val="20"/>
                <w:color w:val="auto"/>
              </w:rPr>
            </w:pPr>
            <w:r>
              <w:rPr>
                <w:rFonts w:ascii="Arial" w:cs="Arial" w:eastAsia="Arial" w:hAnsi="Arial"/>
                <w:sz w:val="18"/>
                <w:szCs w:val="18"/>
                <w:color w:val="auto"/>
              </w:rPr>
              <w:t>Exercise/Sale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200" w:type="dxa"/>
            <w:vAlign w:val="bottom"/>
          </w:tcPr>
          <w:p>
            <w:pPr>
              <w:jc w:val="center"/>
              <w:ind w:left="170"/>
              <w:spacing w:after="0"/>
              <w:rPr>
                <w:sz w:val="20"/>
                <w:szCs w:val="20"/>
                <w:color w:val="auto"/>
              </w:rPr>
            </w:pPr>
            <w:r>
              <w:rPr>
                <w:rFonts w:ascii="Arial" w:cs="Arial" w:eastAsia="Arial" w:hAnsi="Arial"/>
                <w:sz w:val="18"/>
                <w:szCs w:val="18"/>
                <w:color w:val="auto"/>
                <w:w w:val="87"/>
              </w:rPr>
              <w:t>8.6</w:t>
            </w:r>
          </w:p>
        </w:tc>
        <w:tc>
          <w:tcPr>
            <w:tcW w:w="9080" w:type="dxa"/>
            <w:vAlign w:val="bottom"/>
          </w:tcPr>
          <w:p>
            <w:pPr>
              <w:ind w:left="240"/>
              <w:spacing w:after="0"/>
              <w:rPr>
                <w:sz w:val="20"/>
                <w:szCs w:val="20"/>
                <w:color w:val="auto"/>
              </w:rPr>
            </w:pPr>
            <w:r>
              <w:rPr>
                <w:rFonts w:ascii="Arial" w:cs="Arial" w:eastAsia="Arial" w:hAnsi="Arial"/>
                <w:sz w:val="18"/>
                <w:szCs w:val="18"/>
                <w:color w:val="auto"/>
              </w:rPr>
              <w:t>Exercise/Pledge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48"/>
        </w:trPr>
        <w:tc>
          <w:tcPr>
            <w:tcW w:w="1200" w:type="dxa"/>
            <w:vAlign w:val="bottom"/>
            <w:tcBorders>
              <w:bottom w:val="single" w:sz="8" w:color="808080"/>
            </w:tcBorders>
          </w:tcPr>
          <w:p>
            <w:pPr>
              <w:spacing w:after="0"/>
              <w:rPr>
                <w:sz w:val="24"/>
                <w:szCs w:val="24"/>
                <w:color w:val="auto"/>
              </w:rPr>
            </w:pPr>
          </w:p>
        </w:tc>
        <w:tc>
          <w:tcPr>
            <w:tcW w:w="90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270"/>
              <w:spacing w:after="0"/>
              <w:rPr>
                <w:sz w:val="20"/>
                <w:szCs w:val="20"/>
                <w:color w:val="auto"/>
              </w:rPr>
            </w:pPr>
            <w:r>
              <w:rPr>
                <w:rFonts w:ascii="Arial" w:cs="Arial" w:eastAsia="Arial" w:hAnsi="Arial"/>
                <w:sz w:val="18"/>
                <w:szCs w:val="18"/>
                <w:color w:val="auto"/>
              </w:rPr>
              <w:t>8.7</w:t>
            </w:r>
          </w:p>
        </w:tc>
        <w:tc>
          <w:tcPr>
            <w:tcW w:w="6280" w:type="dxa"/>
            <w:vAlign w:val="bottom"/>
          </w:tcPr>
          <w:p>
            <w:pPr>
              <w:ind w:left="240"/>
              <w:spacing w:after="0"/>
              <w:rPr>
                <w:sz w:val="20"/>
                <w:szCs w:val="20"/>
                <w:color w:val="auto"/>
              </w:rPr>
            </w:pPr>
            <w:r>
              <w:rPr>
                <w:rFonts w:ascii="Arial" w:cs="Arial" w:eastAsia="Arial" w:hAnsi="Arial"/>
                <w:sz w:val="18"/>
                <w:szCs w:val="18"/>
                <w:color w:val="auto"/>
              </w:rPr>
              <w:t>Other Forms of Payment</w:t>
            </w:r>
          </w:p>
        </w:tc>
        <w:tc>
          <w:tcPr>
            <w:tcW w:w="3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200" w:type="dxa"/>
            <w:vAlign w:val="bottom"/>
          </w:tcPr>
          <w:p>
            <w:pPr>
              <w:jc w:val="right"/>
              <w:ind w:right="170"/>
              <w:spacing w:after="0"/>
              <w:rPr>
                <w:sz w:val="20"/>
                <w:szCs w:val="20"/>
                <w:color w:val="auto"/>
              </w:rPr>
            </w:pPr>
            <w:r>
              <w:rPr>
                <w:rFonts w:ascii="Arial" w:cs="Arial" w:eastAsia="Arial" w:hAnsi="Arial"/>
                <w:sz w:val="18"/>
                <w:szCs w:val="18"/>
                <w:color w:val="auto"/>
                <w:w w:val="91"/>
              </w:rPr>
              <w:t>SECTION 9.</w:t>
            </w:r>
          </w:p>
        </w:tc>
        <w:tc>
          <w:tcPr>
            <w:tcW w:w="6280" w:type="dxa"/>
            <w:vAlign w:val="bottom"/>
          </w:tcPr>
          <w:p>
            <w:pPr>
              <w:ind w:left="240"/>
              <w:spacing w:after="0"/>
              <w:rPr>
                <w:sz w:val="20"/>
                <w:szCs w:val="20"/>
                <w:color w:val="auto"/>
              </w:rPr>
            </w:pPr>
            <w:r>
              <w:rPr>
                <w:rFonts w:ascii="Arial" w:cs="Arial" w:eastAsia="Arial" w:hAnsi="Arial"/>
                <w:sz w:val="18"/>
                <w:szCs w:val="18"/>
                <w:color w:val="auto"/>
              </w:rPr>
              <w:t>ADJUSTMENT OF SHARES</w:t>
            </w:r>
          </w:p>
        </w:tc>
        <w:tc>
          <w:tcPr>
            <w:tcW w:w="3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18"/>
        </w:trPr>
        <w:tc>
          <w:tcPr>
            <w:tcW w:w="1200" w:type="dxa"/>
            <w:vAlign w:val="bottom"/>
          </w:tcPr>
          <w:p>
            <w:pPr>
              <w:jc w:val="right"/>
              <w:ind w:right="270"/>
              <w:spacing w:after="0"/>
              <w:rPr>
                <w:sz w:val="20"/>
                <w:szCs w:val="20"/>
                <w:color w:val="auto"/>
              </w:rPr>
            </w:pPr>
            <w:r>
              <w:rPr>
                <w:rFonts w:ascii="Arial" w:cs="Arial" w:eastAsia="Arial" w:hAnsi="Arial"/>
                <w:sz w:val="18"/>
                <w:szCs w:val="18"/>
                <w:color w:val="auto"/>
              </w:rPr>
              <w:t>9.1</w:t>
            </w:r>
          </w:p>
        </w:tc>
        <w:tc>
          <w:tcPr>
            <w:tcW w:w="6280" w:type="dxa"/>
            <w:vAlign w:val="bottom"/>
          </w:tcPr>
          <w:p>
            <w:pPr>
              <w:ind w:left="240"/>
              <w:spacing w:after="0"/>
              <w:rPr>
                <w:sz w:val="20"/>
                <w:szCs w:val="20"/>
                <w:color w:val="auto"/>
              </w:rPr>
            </w:pPr>
            <w:r>
              <w:rPr>
                <w:rFonts w:ascii="Arial" w:cs="Arial" w:eastAsia="Arial" w:hAnsi="Arial"/>
                <w:sz w:val="18"/>
                <w:szCs w:val="18"/>
                <w:color w:val="auto"/>
              </w:rPr>
              <w:t>General</w:t>
            </w:r>
          </w:p>
        </w:tc>
        <w:tc>
          <w:tcPr>
            <w:tcW w:w="39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00" w:type="dxa"/>
            <w:vAlign w:val="bottom"/>
          </w:tcPr>
          <w:p>
            <w:pPr>
              <w:jc w:val="right"/>
              <w:ind w:right="270"/>
              <w:spacing w:after="0"/>
              <w:rPr>
                <w:sz w:val="20"/>
                <w:szCs w:val="20"/>
                <w:color w:val="auto"/>
              </w:rPr>
            </w:pPr>
            <w:r>
              <w:rPr>
                <w:rFonts w:ascii="Arial" w:cs="Arial" w:eastAsia="Arial" w:hAnsi="Arial"/>
                <w:sz w:val="18"/>
                <w:szCs w:val="18"/>
                <w:color w:val="auto"/>
              </w:rPr>
              <w:t>9.2</w:t>
            </w:r>
          </w:p>
        </w:tc>
        <w:tc>
          <w:tcPr>
            <w:tcW w:w="6280" w:type="dxa"/>
            <w:vAlign w:val="bottom"/>
          </w:tcPr>
          <w:p>
            <w:pPr>
              <w:ind w:left="240"/>
              <w:spacing w:after="0"/>
              <w:rPr>
                <w:sz w:val="20"/>
                <w:szCs w:val="20"/>
                <w:color w:val="auto"/>
              </w:rPr>
            </w:pPr>
            <w:r>
              <w:rPr>
                <w:rFonts w:ascii="Arial" w:cs="Arial" w:eastAsia="Arial" w:hAnsi="Arial"/>
                <w:sz w:val="18"/>
                <w:szCs w:val="18"/>
                <w:color w:val="auto"/>
              </w:rPr>
              <w:t>Dissolution or Liquidation</w:t>
            </w:r>
          </w:p>
        </w:tc>
        <w:tc>
          <w:tcPr>
            <w:tcW w:w="3940" w:type="dxa"/>
            <w:vAlign w:val="bottom"/>
          </w:tcPr>
          <w:p>
            <w:pPr>
              <w:jc w:val="right"/>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60"/>
          </w:cols>
          <w:pgMar w:left="240" w:top="364" w:right="199" w:bottom="0" w:gutter="0" w:footer="0" w:header="0"/>
        </w:sectPr>
      </w:pPr>
    </w:p>
    <w:bookmarkStart w:id="260" w:name="page261"/>
    <w:bookmarkEnd w:id="2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jc w:val="center"/>
              <w:ind w:left="130"/>
              <w:spacing w:after="0"/>
              <w:rPr>
                <w:sz w:val="20"/>
                <w:szCs w:val="20"/>
                <w:color w:val="auto"/>
              </w:rPr>
            </w:pPr>
            <w:r>
              <w:rPr>
                <w:rFonts w:ascii="Arial" w:cs="Arial" w:eastAsia="Arial" w:hAnsi="Arial"/>
                <w:sz w:val="18"/>
                <w:szCs w:val="18"/>
                <w:color w:val="auto"/>
                <w:w w:val="87"/>
              </w:rPr>
              <w:t>9.3</w:t>
            </w:r>
          </w:p>
        </w:tc>
        <w:tc>
          <w:tcPr>
            <w:tcW w:w="3760" w:type="dxa"/>
            <w:vAlign w:val="bottom"/>
          </w:tcPr>
          <w:p>
            <w:pPr>
              <w:ind w:left="200"/>
              <w:spacing w:after="0"/>
              <w:rPr>
                <w:sz w:val="20"/>
                <w:szCs w:val="20"/>
                <w:color w:val="auto"/>
              </w:rPr>
            </w:pPr>
            <w:r>
              <w:rPr>
                <w:rFonts w:ascii="Arial" w:cs="Arial" w:eastAsia="Arial" w:hAnsi="Arial"/>
                <w:sz w:val="18"/>
                <w:szCs w:val="18"/>
                <w:color w:val="auto"/>
              </w:rPr>
              <w:t>Mergers and Consolidations</w:t>
            </w:r>
          </w:p>
        </w:tc>
        <w:tc>
          <w:tcPr>
            <w:tcW w:w="6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240" w:type="dxa"/>
            <w:vAlign w:val="bottom"/>
          </w:tcPr>
          <w:p>
            <w:pPr>
              <w:jc w:val="center"/>
              <w:ind w:left="130"/>
              <w:spacing w:after="0"/>
              <w:rPr>
                <w:sz w:val="20"/>
                <w:szCs w:val="20"/>
                <w:color w:val="auto"/>
              </w:rPr>
            </w:pPr>
            <w:r>
              <w:rPr>
                <w:rFonts w:ascii="Arial" w:cs="Arial" w:eastAsia="Arial" w:hAnsi="Arial"/>
                <w:sz w:val="18"/>
                <w:szCs w:val="18"/>
                <w:color w:val="auto"/>
                <w:w w:val="87"/>
              </w:rPr>
              <w:t>9.4</w:t>
            </w:r>
          </w:p>
        </w:tc>
        <w:tc>
          <w:tcPr>
            <w:tcW w:w="3760" w:type="dxa"/>
            <w:vAlign w:val="bottom"/>
          </w:tcPr>
          <w:p>
            <w:pPr>
              <w:ind w:left="200"/>
              <w:spacing w:after="0"/>
              <w:rPr>
                <w:sz w:val="20"/>
                <w:szCs w:val="20"/>
                <w:color w:val="auto"/>
              </w:rPr>
            </w:pPr>
            <w:r>
              <w:rPr>
                <w:rFonts w:ascii="Arial" w:cs="Arial" w:eastAsia="Arial" w:hAnsi="Arial"/>
                <w:sz w:val="18"/>
                <w:szCs w:val="18"/>
                <w:color w:val="auto"/>
              </w:rPr>
              <w:t>Reservation of Rights</w:t>
            </w:r>
          </w:p>
        </w:tc>
        <w:tc>
          <w:tcPr>
            <w:tcW w:w="6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10.</w:t>
            </w:r>
          </w:p>
        </w:tc>
        <w:tc>
          <w:tcPr>
            <w:tcW w:w="3760" w:type="dxa"/>
            <w:vAlign w:val="bottom"/>
          </w:tcPr>
          <w:p>
            <w:pPr>
              <w:ind w:left="200"/>
              <w:spacing w:after="0"/>
              <w:rPr>
                <w:sz w:val="20"/>
                <w:szCs w:val="20"/>
                <w:color w:val="auto"/>
              </w:rPr>
            </w:pPr>
            <w:r>
              <w:rPr>
                <w:rFonts w:ascii="Arial" w:cs="Arial" w:eastAsia="Arial" w:hAnsi="Arial"/>
                <w:sz w:val="18"/>
                <w:szCs w:val="18"/>
                <w:color w:val="auto"/>
              </w:rPr>
              <w:t>REPURCHASE RIGHTS</w:t>
            </w:r>
          </w:p>
        </w:tc>
        <w:tc>
          <w:tcPr>
            <w:tcW w:w="6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10.1</w:t>
            </w:r>
          </w:p>
        </w:tc>
        <w:tc>
          <w:tcPr>
            <w:tcW w:w="3760" w:type="dxa"/>
            <w:vAlign w:val="bottom"/>
          </w:tcPr>
          <w:p>
            <w:pPr>
              <w:ind w:left="200"/>
              <w:spacing w:after="0"/>
              <w:rPr>
                <w:sz w:val="20"/>
                <w:szCs w:val="20"/>
                <w:color w:val="auto"/>
              </w:rPr>
            </w:pPr>
            <w:r>
              <w:rPr>
                <w:rFonts w:ascii="Arial" w:cs="Arial" w:eastAsia="Arial" w:hAnsi="Arial"/>
                <w:sz w:val="18"/>
                <w:szCs w:val="18"/>
                <w:color w:val="auto"/>
              </w:rPr>
              <w:t>Company’s Right To Repurchase Shares</w:t>
            </w:r>
          </w:p>
        </w:tc>
        <w:tc>
          <w:tcPr>
            <w:tcW w:w="64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11.</w:t>
            </w:r>
          </w:p>
        </w:tc>
        <w:tc>
          <w:tcPr>
            <w:tcW w:w="3760" w:type="dxa"/>
            <w:vAlign w:val="bottom"/>
          </w:tcPr>
          <w:p>
            <w:pPr>
              <w:ind w:left="200"/>
              <w:spacing w:after="0"/>
              <w:rPr>
                <w:sz w:val="20"/>
                <w:szCs w:val="20"/>
                <w:color w:val="auto"/>
              </w:rPr>
            </w:pPr>
            <w:r>
              <w:rPr>
                <w:rFonts w:ascii="Arial" w:cs="Arial" w:eastAsia="Arial" w:hAnsi="Arial"/>
                <w:sz w:val="18"/>
                <w:szCs w:val="18"/>
                <w:color w:val="auto"/>
              </w:rPr>
              <w:t>WITHHOLDING TAXES</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11.1</w:t>
            </w:r>
          </w:p>
        </w:tc>
        <w:tc>
          <w:tcPr>
            <w:tcW w:w="3760" w:type="dxa"/>
            <w:vAlign w:val="bottom"/>
          </w:tcPr>
          <w:p>
            <w:pPr>
              <w:ind w:left="200"/>
              <w:spacing w:after="0"/>
              <w:rPr>
                <w:sz w:val="20"/>
                <w:szCs w:val="20"/>
                <w:color w:val="auto"/>
              </w:rPr>
            </w:pPr>
            <w:r>
              <w:rPr>
                <w:rFonts w:ascii="Arial" w:cs="Arial" w:eastAsia="Arial" w:hAnsi="Arial"/>
                <w:sz w:val="18"/>
                <w:szCs w:val="18"/>
                <w:color w:val="auto"/>
              </w:rPr>
              <w:t>General</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11.2</w:t>
            </w:r>
          </w:p>
        </w:tc>
        <w:tc>
          <w:tcPr>
            <w:tcW w:w="3760" w:type="dxa"/>
            <w:vAlign w:val="bottom"/>
          </w:tcPr>
          <w:p>
            <w:pPr>
              <w:ind w:left="200"/>
              <w:spacing w:after="0"/>
              <w:rPr>
                <w:sz w:val="20"/>
                <w:szCs w:val="20"/>
                <w:color w:val="auto"/>
              </w:rPr>
            </w:pPr>
            <w:r>
              <w:rPr>
                <w:rFonts w:ascii="Arial" w:cs="Arial" w:eastAsia="Arial" w:hAnsi="Arial"/>
                <w:sz w:val="18"/>
                <w:szCs w:val="18"/>
                <w:color w:val="auto"/>
              </w:rPr>
              <w:t>Share Withholding</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11.3</w:t>
            </w:r>
          </w:p>
        </w:tc>
        <w:tc>
          <w:tcPr>
            <w:tcW w:w="3760" w:type="dxa"/>
            <w:vAlign w:val="bottom"/>
          </w:tcPr>
          <w:p>
            <w:pPr>
              <w:ind w:left="200"/>
              <w:spacing w:after="0"/>
              <w:rPr>
                <w:sz w:val="20"/>
                <w:szCs w:val="20"/>
                <w:color w:val="auto"/>
              </w:rPr>
            </w:pPr>
            <w:r>
              <w:rPr>
                <w:rFonts w:ascii="Arial" w:cs="Arial" w:eastAsia="Arial" w:hAnsi="Arial"/>
                <w:sz w:val="18"/>
                <w:szCs w:val="18"/>
                <w:color w:val="auto"/>
              </w:rPr>
              <w:t>Cashless Exercise/Pledge</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12.</w:t>
            </w:r>
          </w:p>
        </w:tc>
        <w:tc>
          <w:tcPr>
            <w:tcW w:w="3760" w:type="dxa"/>
            <w:vAlign w:val="bottom"/>
          </w:tcPr>
          <w:p>
            <w:pPr>
              <w:ind w:left="200"/>
              <w:spacing w:after="0"/>
              <w:rPr>
                <w:sz w:val="20"/>
                <w:szCs w:val="20"/>
                <w:color w:val="auto"/>
              </w:rPr>
            </w:pPr>
            <w:r>
              <w:rPr>
                <w:rFonts w:ascii="Arial" w:cs="Arial" w:eastAsia="Arial" w:hAnsi="Arial"/>
                <w:sz w:val="18"/>
                <w:szCs w:val="18"/>
                <w:color w:val="auto"/>
              </w:rPr>
              <w:t>SECURITIES LAW REQUIREMENTS</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8"/>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12.1</w:t>
            </w:r>
          </w:p>
        </w:tc>
        <w:tc>
          <w:tcPr>
            <w:tcW w:w="3760" w:type="dxa"/>
            <w:vAlign w:val="bottom"/>
          </w:tcPr>
          <w:p>
            <w:pPr>
              <w:ind w:left="200"/>
              <w:spacing w:after="0"/>
              <w:rPr>
                <w:sz w:val="20"/>
                <w:szCs w:val="20"/>
                <w:color w:val="auto"/>
              </w:rPr>
            </w:pPr>
            <w:r>
              <w:rPr>
                <w:rFonts w:ascii="Arial" w:cs="Arial" w:eastAsia="Arial" w:hAnsi="Arial"/>
                <w:sz w:val="18"/>
                <w:szCs w:val="18"/>
                <w:color w:val="auto"/>
              </w:rPr>
              <w:t>General</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12.2</w:t>
            </w:r>
          </w:p>
        </w:tc>
        <w:tc>
          <w:tcPr>
            <w:tcW w:w="3760" w:type="dxa"/>
            <w:vAlign w:val="bottom"/>
          </w:tcPr>
          <w:p>
            <w:pPr>
              <w:ind w:left="200"/>
              <w:spacing w:after="0"/>
              <w:rPr>
                <w:sz w:val="20"/>
                <w:szCs w:val="20"/>
                <w:color w:val="auto"/>
              </w:rPr>
            </w:pPr>
            <w:r>
              <w:rPr>
                <w:rFonts w:ascii="Arial" w:cs="Arial" w:eastAsia="Arial" w:hAnsi="Arial"/>
                <w:sz w:val="18"/>
                <w:szCs w:val="18"/>
                <w:color w:val="auto"/>
              </w:rPr>
              <w:t>Voting and Dividend Rights</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13.</w:t>
            </w:r>
          </w:p>
        </w:tc>
        <w:tc>
          <w:tcPr>
            <w:tcW w:w="3760" w:type="dxa"/>
            <w:vAlign w:val="bottom"/>
          </w:tcPr>
          <w:p>
            <w:pPr>
              <w:ind w:left="200"/>
              <w:spacing w:after="0"/>
              <w:rPr>
                <w:sz w:val="20"/>
                <w:szCs w:val="20"/>
                <w:color w:val="auto"/>
              </w:rPr>
            </w:pPr>
            <w:r>
              <w:rPr>
                <w:rFonts w:ascii="Arial" w:cs="Arial" w:eastAsia="Arial" w:hAnsi="Arial"/>
                <w:sz w:val="18"/>
                <w:szCs w:val="18"/>
                <w:color w:val="auto"/>
              </w:rPr>
              <w:t>NO RETENTION RIGHTS</w:t>
            </w:r>
          </w:p>
        </w:tc>
        <w:tc>
          <w:tcPr>
            <w:tcW w:w="6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14.</w:t>
            </w:r>
          </w:p>
        </w:tc>
        <w:tc>
          <w:tcPr>
            <w:tcW w:w="3760" w:type="dxa"/>
            <w:vAlign w:val="bottom"/>
          </w:tcPr>
          <w:p>
            <w:pPr>
              <w:ind w:left="200"/>
              <w:spacing w:after="0"/>
              <w:rPr>
                <w:sz w:val="20"/>
                <w:szCs w:val="20"/>
                <w:color w:val="auto"/>
              </w:rPr>
            </w:pPr>
            <w:r>
              <w:rPr>
                <w:rFonts w:ascii="Arial" w:cs="Arial" w:eastAsia="Arial" w:hAnsi="Arial"/>
                <w:sz w:val="18"/>
                <w:szCs w:val="18"/>
                <w:color w:val="auto"/>
              </w:rPr>
              <w:t>DURATION AND AMENDMENTS</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8"/>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14.1</w:t>
            </w:r>
          </w:p>
        </w:tc>
        <w:tc>
          <w:tcPr>
            <w:tcW w:w="3760" w:type="dxa"/>
            <w:vAlign w:val="bottom"/>
          </w:tcPr>
          <w:p>
            <w:pPr>
              <w:ind w:left="200"/>
              <w:spacing w:after="0"/>
              <w:rPr>
                <w:sz w:val="20"/>
                <w:szCs w:val="20"/>
                <w:color w:val="auto"/>
              </w:rPr>
            </w:pPr>
            <w:r>
              <w:rPr>
                <w:rFonts w:ascii="Arial" w:cs="Arial" w:eastAsia="Arial" w:hAnsi="Arial"/>
                <w:sz w:val="18"/>
                <w:szCs w:val="18"/>
                <w:color w:val="auto"/>
              </w:rPr>
              <w:t>Term of the Plan</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14.2</w:t>
            </w:r>
          </w:p>
        </w:tc>
        <w:tc>
          <w:tcPr>
            <w:tcW w:w="3760" w:type="dxa"/>
            <w:vAlign w:val="bottom"/>
          </w:tcPr>
          <w:p>
            <w:pPr>
              <w:ind w:left="200"/>
              <w:spacing w:after="0"/>
              <w:rPr>
                <w:sz w:val="20"/>
                <w:szCs w:val="20"/>
                <w:color w:val="auto"/>
              </w:rPr>
            </w:pPr>
            <w:r>
              <w:rPr>
                <w:rFonts w:ascii="Arial" w:cs="Arial" w:eastAsia="Arial" w:hAnsi="Arial"/>
                <w:sz w:val="18"/>
                <w:szCs w:val="18"/>
                <w:color w:val="auto"/>
              </w:rPr>
              <w:t>Right to Amend or Terminate the Plan</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240" w:type="dxa"/>
            <w:vAlign w:val="bottom"/>
          </w:tcPr>
          <w:p>
            <w:pPr>
              <w:jc w:val="center"/>
              <w:ind w:left="110"/>
              <w:spacing w:after="0"/>
              <w:rPr>
                <w:sz w:val="20"/>
                <w:szCs w:val="20"/>
                <w:color w:val="auto"/>
              </w:rPr>
            </w:pPr>
            <w:r>
              <w:rPr>
                <w:rFonts w:ascii="Arial" w:cs="Arial" w:eastAsia="Arial" w:hAnsi="Arial"/>
                <w:sz w:val="18"/>
                <w:szCs w:val="18"/>
                <w:color w:val="auto"/>
                <w:w w:val="91"/>
              </w:rPr>
              <w:t>14.3</w:t>
            </w:r>
          </w:p>
        </w:tc>
        <w:tc>
          <w:tcPr>
            <w:tcW w:w="3760" w:type="dxa"/>
            <w:vAlign w:val="bottom"/>
          </w:tcPr>
          <w:p>
            <w:pPr>
              <w:ind w:left="200"/>
              <w:spacing w:after="0"/>
              <w:rPr>
                <w:sz w:val="20"/>
                <w:szCs w:val="20"/>
                <w:color w:val="auto"/>
              </w:rPr>
            </w:pPr>
            <w:r>
              <w:rPr>
                <w:rFonts w:ascii="Arial" w:cs="Arial" w:eastAsia="Arial" w:hAnsi="Arial"/>
                <w:sz w:val="18"/>
                <w:szCs w:val="18"/>
                <w:color w:val="auto"/>
              </w:rPr>
              <w:t>Effect of Amendment or Termination</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SECTION 15.</w:t>
            </w:r>
          </w:p>
        </w:tc>
        <w:tc>
          <w:tcPr>
            <w:tcW w:w="3760" w:type="dxa"/>
            <w:vAlign w:val="bottom"/>
          </w:tcPr>
          <w:p>
            <w:pPr>
              <w:ind w:left="200"/>
              <w:spacing w:after="0"/>
              <w:rPr>
                <w:sz w:val="20"/>
                <w:szCs w:val="20"/>
                <w:color w:val="auto"/>
              </w:rPr>
            </w:pPr>
            <w:r>
              <w:rPr>
                <w:rFonts w:ascii="Arial" w:cs="Arial" w:eastAsia="Arial" w:hAnsi="Arial"/>
                <w:sz w:val="18"/>
                <w:szCs w:val="18"/>
                <w:color w:val="auto"/>
              </w:rPr>
              <w:t>EXECUTION</w:t>
            </w:r>
          </w:p>
        </w:tc>
        <w:tc>
          <w:tcPr>
            <w:tcW w:w="64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2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460" w:type="dxa"/>
            <w:vAlign w:val="bottom"/>
          </w:tcPr>
          <w:p>
            <w:pPr>
              <w:jc w:val="right"/>
              <w:ind w:right="5610"/>
              <w:spacing w:after="0"/>
              <w:rPr>
                <w:sz w:val="20"/>
                <w:szCs w:val="20"/>
                <w:color w:val="auto"/>
              </w:rPr>
            </w:pPr>
            <w:r>
              <w:rPr>
                <w:rFonts w:ascii="Arial" w:cs="Arial" w:eastAsia="Arial" w:hAnsi="Arial"/>
                <w:sz w:val="18"/>
                <w:szCs w:val="18"/>
                <w:color w:val="auto"/>
              </w:rPr>
              <w:t>2</w:t>
            </w:r>
          </w:p>
        </w:tc>
      </w:tr>
      <w:tr>
        <w:trPr>
          <w:trHeight w:val="132"/>
        </w:trPr>
        <w:tc>
          <w:tcPr>
            <w:tcW w:w="124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64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229"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PURPOSE</w:t>
      </w:r>
      <w:r>
        <w:rPr>
          <w:rFonts w:ascii="Arial" w:cs="Arial" w:eastAsia="Arial" w:hAnsi="Arial"/>
          <w:sz w:val="15"/>
          <w:szCs w:val="15"/>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Plan was adopted by the Board of Directors effective March 1, 2008. The purpose of the Plan is to offer selected service providers the opportunity to acquire equity in the Company through awards of Options (which may constitute incentive stock options or nonstatutory stock options) and the award or sale of Shares.</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award of Options and the award or sale of Shares under the Plan is intended to be exempt from the securities qualification requirements of the California Corporations Code by satisfying the exemption under section 25102(o) of the California Corporations Code. However, awards of Options and the award or sale of Shares may be made in reliance upon other state securities law exemptions. To the extent that such other exemptions are relied upon, the terms of this Plan which are included only to comply with section 25102(o) shall be disregarded to the extent provided in the Stock Option Agreement or Restricted Share Agreement.</w:t>
      </w:r>
    </w:p>
    <w:p>
      <w:pPr>
        <w:spacing w:after="0" w:line="188"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Board</w:t>
      </w:r>
      <w:r>
        <w:rPr>
          <w:rFonts w:ascii="Arial" w:cs="Arial" w:eastAsia="Arial" w:hAnsi="Arial"/>
          <w:sz w:val="16"/>
          <w:szCs w:val="16"/>
          <w:color w:val="auto"/>
        </w:rPr>
        <w:t>” shall mean the Board of Directors of the Company, as constituted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Change in Control</w:t>
      </w:r>
      <w:r>
        <w:rPr>
          <w:rFonts w:ascii="Arial" w:cs="Arial" w:eastAsia="Arial" w:hAnsi="Arial"/>
          <w:sz w:val="16"/>
          <w:szCs w:val="16"/>
          <w:color w:val="auto"/>
        </w:rPr>
        <w:t>” shall mean the occurrence of any of the following events:</w:t>
      </w:r>
    </w:p>
    <w:p>
      <w:pPr>
        <w:spacing w:after="0" w:line="225" w:lineRule="exact"/>
        <w:rPr>
          <w:sz w:val="20"/>
          <w:szCs w:val="20"/>
          <w:color w:val="auto"/>
        </w:rPr>
      </w:pPr>
    </w:p>
    <w:p>
      <w:pPr>
        <w:ind w:left="1300" w:right="40" w:hanging="644"/>
        <w:spacing w:after="0" w:line="288" w:lineRule="auto"/>
        <w:tabs>
          <w:tab w:leader="none" w:pos="129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consummation of a merger or consolidation of the Company with or into another entity or any other corporate reorganization, if persons who were not stockholders of the Company immediately prior to such merger, consolidation or other reorganization own immediately after such merger, consolidation or other reorganization fifty percent (50%) or more of the voting power of the outstanding securities of either</w:t>
      </w:r>
    </w:p>
    <w:p>
      <w:pPr>
        <w:ind w:left="1300"/>
        <w:spacing w:after="0"/>
        <w:rPr>
          <w:rFonts w:ascii="Arial" w:cs="Arial" w:eastAsia="Arial" w:hAnsi="Arial"/>
          <w:sz w:val="16"/>
          <w:szCs w:val="16"/>
          <w:color w:val="auto"/>
        </w:rPr>
      </w:pPr>
      <w:r>
        <w:rPr>
          <w:rFonts w:ascii="Arial" w:cs="Arial" w:eastAsia="Arial" w:hAnsi="Arial"/>
          <w:sz w:val="18"/>
          <w:szCs w:val="18"/>
          <w:color w:val="auto"/>
        </w:rPr>
        <w:t>(A) the continuing or surviving entity and (B) any direct or indirect parent corporation of such continuing or surviving entity;</w:t>
      </w:r>
    </w:p>
    <w:p>
      <w:pPr>
        <w:spacing w:after="0" w:line="210" w:lineRule="exact"/>
        <w:rPr>
          <w:rFonts w:ascii="Arial" w:cs="Arial" w:eastAsia="Arial" w:hAnsi="Arial"/>
          <w:sz w:val="16"/>
          <w:szCs w:val="16"/>
          <w:color w:val="auto"/>
        </w:rPr>
      </w:pPr>
    </w:p>
    <w:p>
      <w:pPr>
        <w:ind w:left="1300" w:right="440" w:hanging="644"/>
        <w:spacing w:after="0" w:line="277" w:lineRule="auto"/>
        <w:tabs>
          <w:tab w:leader="none" w:pos="130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consummation of the sale, transfer or other disposition of all or substantially all of the Company’s assets or the stockholders of the Company approve a plan of complete liquidation of the Company; or</w:t>
      </w:r>
    </w:p>
    <w:p>
      <w:pPr>
        <w:spacing w:after="0" w:line="170" w:lineRule="exact"/>
        <w:rPr>
          <w:rFonts w:ascii="Arial" w:cs="Arial" w:eastAsia="Arial" w:hAnsi="Arial"/>
          <w:sz w:val="18"/>
          <w:szCs w:val="18"/>
          <w:color w:val="auto"/>
        </w:rPr>
      </w:pPr>
    </w:p>
    <w:p>
      <w:pPr>
        <w:ind w:left="1300" w:right="220" w:hanging="644"/>
        <w:spacing w:after="0" w:line="276" w:lineRule="auto"/>
        <w:tabs>
          <w:tab w:leader="none" w:pos="131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Any “person” (as defined below) (other than Kevin Ryan, Eliot Horowitz or Dwight Merriman) who, by the acquisition or aggregation of securities, becomes the “beneficial owner” (as defined in Rule 13d-3 under the Exchange Act), directly or indirectly, of securities of the Company representing fifty percent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360"/>
        <w:spacing w:after="0" w:line="264" w:lineRule="auto"/>
        <w:rPr>
          <w:sz w:val="20"/>
          <w:szCs w:val="20"/>
          <w:color w:val="auto"/>
        </w:rPr>
      </w:pPr>
      <w:r>
        <w:rPr>
          <w:rFonts w:ascii="Arial" w:cs="Arial" w:eastAsia="Arial" w:hAnsi="Arial"/>
          <w:sz w:val="18"/>
          <w:szCs w:val="18"/>
          <w:color w:val="auto"/>
        </w:rPr>
        <w:t>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w:t>
      </w:r>
    </w:p>
    <w:p>
      <w:pPr>
        <w:sectPr>
          <w:pgSz w:w="11900" w:h="16838" w:orient="portrait"/>
          <w:cols w:equalWidth="0" w:num="1">
            <w:col w:w="11460"/>
          </w:cols>
          <w:pgMar w:left="240" w:top="125" w:right="199" w:bottom="0" w:gutter="0" w:footer="0" w:header="0"/>
        </w:sectPr>
      </w:pPr>
    </w:p>
    <w:bookmarkStart w:id="261" w:name="page262"/>
    <w:bookmarkEnd w:id="261"/>
    <w:p>
      <w:pPr>
        <w:spacing w:after="0" w:line="36"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For purposes of Section 2.2(c),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4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Notwithstanding the foregoing, the term “Change in Control” shall not include a transaction the sole purpose of which is (a) to change the state of the Company’s incorporation, (b) to form a holding company that will be owned in substantially the same proportions by the persons who held the Company’s securities immediately before such transaction; or (c) to make an initial public offering of the Company’s Stock.</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Code</w:t>
      </w:r>
      <w:r>
        <w:rPr>
          <w:rFonts w:ascii="Arial" w:cs="Arial" w:eastAsia="Arial" w:hAnsi="Arial"/>
          <w:sz w:val="16"/>
          <w:szCs w:val="16"/>
          <w:color w:val="auto"/>
        </w:rPr>
        <w:t>” shall mean the Internal Revenue Code of 1986, as amended.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Committee</w:t>
      </w:r>
      <w:r>
        <w:rPr>
          <w:rFonts w:ascii="Arial" w:cs="Arial" w:eastAsia="Arial" w:hAnsi="Arial"/>
          <w:sz w:val="16"/>
          <w:szCs w:val="16"/>
          <w:color w:val="auto"/>
        </w:rPr>
        <w:t>” shall mean the committee designated by the Board, which is authorized to administer the Plan, as described in Section 3 hereof.</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Company</w:t>
      </w:r>
      <w:r>
        <w:rPr>
          <w:rFonts w:ascii="Arial" w:cs="Arial" w:eastAsia="Arial" w:hAnsi="Arial"/>
          <w:sz w:val="16"/>
          <w:szCs w:val="16"/>
          <w:color w:val="auto"/>
        </w:rPr>
        <w:t>” shall mean 10Gen, Inc., a Delaware corporation.</w:t>
      </w:r>
    </w:p>
    <w:p>
      <w:pPr>
        <w:spacing w:after="0" w:line="225"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Consultant</w:t>
      </w:r>
      <w:r>
        <w:rPr>
          <w:rFonts w:ascii="Arial" w:cs="Arial" w:eastAsia="Arial" w:hAnsi="Arial"/>
          <w:sz w:val="18"/>
          <w:szCs w:val="18"/>
          <w:color w:val="auto"/>
        </w:rPr>
        <w:t>” shall mean a consultant or advisor who is not an Employee or Outside Director and who performs bona fide services for the Company, a Parent or Subsidiary.</w:t>
      </w:r>
    </w:p>
    <w:p>
      <w:pPr>
        <w:spacing w:after="0" w:line="170" w:lineRule="exact"/>
        <w:rPr>
          <w:sz w:val="20"/>
          <w:szCs w:val="20"/>
          <w:color w:val="auto"/>
        </w:rPr>
      </w:pPr>
    </w:p>
    <w:p>
      <w:pPr>
        <w:ind w:left="660" w:right="940" w:hanging="647"/>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Disability</w:t>
      </w:r>
      <w:r>
        <w:rPr>
          <w:rFonts w:ascii="Arial" w:cs="Arial" w:eastAsia="Arial" w:hAnsi="Arial"/>
          <w:sz w:val="18"/>
          <w:szCs w:val="18"/>
          <w:color w:val="auto"/>
        </w:rPr>
        <w:t>” shall mean a condition that renders an individual unable to engage in substantial gainful activity by reason of any medically determinable physical or mental impairment.</w:t>
      </w:r>
    </w:p>
    <w:p>
      <w:pPr>
        <w:spacing w:after="0" w:line="170"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Employee</w:t>
      </w:r>
      <w:r>
        <w:rPr>
          <w:rFonts w:ascii="Arial" w:cs="Arial" w:eastAsia="Arial" w:hAnsi="Arial"/>
          <w:sz w:val="18"/>
          <w:szCs w:val="18"/>
          <w:color w:val="auto"/>
        </w:rPr>
        <w:t>” shall mean any individual who is a common-law employee of the Company, a Parent or a Subsidiary and who is an “employee” within the meaning of section 3401(c) of the Code and regulations issued thereunder.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 shall mean the U.S. Securities and Exchange Act of 1934, as amended.</w:t>
      </w:r>
    </w:p>
    <w:p>
      <w:pPr>
        <w:spacing w:after="0" w:line="225" w:lineRule="exact"/>
        <w:rPr>
          <w:sz w:val="20"/>
          <w:szCs w:val="20"/>
          <w:color w:val="auto"/>
        </w:rPr>
      </w:pPr>
    </w:p>
    <w:p>
      <w:pPr>
        <w:ind w:left="640" w:right="520" w:hanging="647"/>
        <w:spacing w:after="0" w:line="277" w:lineRule="auto"/>
        <w:tabs>
          <w:tab w:leader="none" w:pos="6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Exercise Price</w:t>
      </w:r>
      <w:r>
        <w:rPr>
          <w:rFonts w:ascii="Arial" w:cs="Arial" w:eastAsia="Arial" w:hAnsi="Arial"/>
          <w:sz w:val="18"/>
          <w:szCs w:val="18"/>
          <w:color w:val="auto"/>
        </w:rPr>
        <w:t>” shall mean the amount for which one Share may be purchased upon the exercise of an Option, as specified in a Stock Option Agreement.</w:t>
      </w:r>
    </w:p>
    <w:p>
      <w:pPr>
        <w:spacing w:after="0" w:line="170" w:lineRule="exact"/>
        <w:rPr>
          <w:sz w:val="20"/>
          <w:szCs w:val="20"/>
          <w:color w:val="auto"/>
        </w:rPr>
      </w:pPr>
    </w:p>
    <w:p>
      <w:pPr>
        <w:ind w:left="640" w:right="840" w:hanging="647"/>
        <w:spacing w:after="0" w:line="277" w:lineRule="auto"/>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Fair Market Value</w:t>
      </w:r>
      <w:r>
        <w:rPr>
          <w:rFonts w:ascii="Arial" w:cs="Arial" w:eastAsia="Arial" w:hAnsi="Arial"/>
          <w:sz w:val="18"/>
          <w:szCs w:val="18"/>
          <w:color w:val="auto"/>
        </w:rPr>
        <w:t>” means, with respect to a Share, the market price of one Share of Stock, determined by the Board in good faith. Such determination shall be conclusive and binding on all persons.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ISO</w:t>
      </w:r>
      <w:r>
        <w:rPr>
          <w:rFonts w:ascii="Arial" w:cs="Arial" w:eastAsia="Arial" w:hAnsi="Arial"/>
          <w:sz w:val="16"/>
          <w:szCs w:val="16"/>
          <w:color w:val="auto"/>
        </w:rPr>
        <w:t>” shall mean an incentive stock option described in section 422(b) of the Code.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NSO</w:t>
      </w:r>
      <w:r>
        <w:rPr>
          <w:rFonts w:ascii="Arial" w:cs="Arial" w:eastAsia="Arial" w:hAnsi="Arial"/>
          <w:sz w:val="16"/>
          <w:szCs w:val="16"/>
          <w:color w:val="auto"/>
        </w:rPr>
        <w:t>” shall mean a stock option that is not an ISO.</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Option</w:t>
      </w:r>
      <w:r>
        <w:rPr>
          <w:rFonts w:ascii="Arial" w:cs="Arial" w:eastAsia="Arial" w:hAnsi="Arial"/>
          <w:sz w:val="16"/>
          <w:szCs w:val="16"/>
          <w:color w:val="auto"/>
        </w:rPr>
        <w:t>” shall mean an ISO or NSO granted under the Plan and entitling the holder to purchase Shares.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Optionee</w:t>
      </w:r>
      <w:r>
        <w:rPr>
          <w:rFonts w:ascii="Arial" w:cs="Arial" w:eastAsia="Arial" w:hAnsi="Arial"/>
          <w:sz w:val="16"/>
          <w:szCs w:val="16"/>
          <w:color w:val="auto"/>
        </w:rPr>
        <w:t>” shall mean an individual or estate that holds an Option.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Outside Director</w:t>
      </w:r>
      <w:r>
        <w:rPr>
          <w:rFonts w:ascii="Arial" w:cs="Arial" w:eastAsia="Arial" w:hAnsi="Arial"/>
          <w:sz w:val="16"/>
          <w:szCs w:val="16"/>
          <w:color w:val="auto"/>
        </w:rPr>
        <w:t>” shall mean a member of the Board of the Company, a Parent or a Subsidiary who is not an Employee.</w:t>
      </w:r>
    </w:p>
    <w:p>
      <w:pPr>
        <w:spacing w:after="0" w:line="225"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Parent</w:t>
      </w:r>
      <w:r>
        <w:rPr>
          <w:rFonts w:ascii="Arial" w:cs="Arial" w:eastAsia="Arial" w:hAnsi="Arial"/>
          <w:sz w:val="18"/>
          <w:szCs w:val="18"/>
          <w:color w:val="auto"/>
        </w:rPr>
        <w:t>” shall mean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shall mean the 10Gen, Inc. 2008 Stock Incentive Plan.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 Price</w:t>
      </w:r>
      <w:r>
        <w:rPr>
          <w:rFonts w:ascii="Arial" w:cs="Arial" w:eastAsia="Arial" w:hAnsi="Arial"/>
          <w:sz w:val="16"/>
          <w:szCs w:val="16"/>
          <w:color w:val="auto"/>
        </w:rPr>
        <w:t>” shall mean the consideration for which one Share may be acquired under the Plan (other than upon exercise of an Option).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Purchaser</w:t>
      </w:r>
      <w:r>
        <w:rPr>
          <w:rFonts w:ascii="Arial" w:cs="Arial" w:eastAsia="Arial" w:hAnsi="Arial"/>
          <w:sz w:val="16"/>
          <w:szCs w:val="16"/>
          <w:color w:val="auto"/>
        </w:rPr>
        <w:t>” shall mean a person to whom the Board has offered the right to acquire Shares under the Plan (other than upon exercise of an Option).</w:t>
      </w:r>
    </w:p>
    <w:p>
      <w:pPr>
        <w:spacing w:after="0" w:line="22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Restricted Share Agreement</w:t>
      </w:r>
      <w:r>
        <w:rPr>
          <w:rFonts w:ascii="Arial" w:cs="Arial" w:eastAsia="Arial" w:hAnsi="Arial"/>
          <w:sz w:val="18"/>
          <w:szCs w:val="18"/>
          <w:color w:val="auto"/>
        </w:rPr>
        <w:t>” shall mean the agreement between the Company and a Purchaser who acquires Shares under the Plan that contains the terms, conditions and restrictions pertaining to the acquisition of such Shares.</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 shall mean the U.S. Securities Act of 1933, as amended.</w:t>
      </w:r>
    </w:p>
    <w:p>
      <w:pPr>
        <w:spacing w:after="0" w:line="225" w:lineRule="exact"/>
        <w:rPr>
          <w:sz w:val="20"/>
          <w:szCs w:val="20"/>
          <w:color w:val="auto"/>
        </w:rPr>
      </w:pPr>
    </w:p>
    <w:p>
      <w:pPr>
        <w:ind w:left="640" w:hanging="647"/>
        <w:spacing w:after="0" w:line="291"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Service</w:t>
      </w:r>
      <w:r>
        <w:rPr>
          <w:rFonts w:ascii="Arial" w:cs="Arial" w:eastAsia="Arial" w:hAnsi="Arial"/>
          <w:sz w:val="16"/>
          <w:szCs w:val="16"/>
          <w:color w:val="auto"/>
        </w:rPr>
        <w:t>” shall mean service as an Employee, a Consultant or an Outside Director, subject to such further limitations as may be set forth in the applicable Stock Option Agreement or Restricted Share Agreement. Service shall be deemed to continue during a bona fide leave of absence approved by the Company in writing if and to the extent that continued crediting of Service for purposes of the Plan is expressly required by the terms of such leave or by applicable law, as determined by the Company. However, for purposes of determining whether an Option is entitled to ISO status, and to the extent required under the Code, an Employee’s employment will be treated as terminating ninety (90) days after such Employee went on leave, unless such Employee’s right to return to active work is guaranteed by law or by a contract or such Employee immediately returns to active work. The Company determines which leaves count toward Service, and when Service terminates for all purposes under the Plan.</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Share</w:t>
      </w:r>
      <w:r>
        <w:rPr>
          <w:rFonts w:ascii="Arial" w:cs="Arial" w:eastAsia="Arial" w:hAnsi="Arial"/>
          <w:sz w:val="16"/>
          <w:szCs w:val="16"/>
          <w:color w:val="auto"/>
        </w:rPr>
        <w:t>” shall mean one share of Stock, as adjusted in accordance with Section 9 (if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74"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Stock</w:t>
      </w:r>
      <w:r>
        <w:rPr>
          <w:rFonts w:ascii="Arial" w:cs="Arial" w:eastAsia="Arial" w:hAnsi="Arial"/>
          <w:sz w:val="16"/>
          <w:szCs w:val="16"/>
          <w:color w:val="auto"/>
        </w:rPr>
        <w:t>” shall mean the Class A Common Stock of the Company.</w:t>
      </w:r>
    </w:p>
    <w:p>
      <w:pPr>
        <w:sectPr>
          <w:pgSz w:w="11900" w:h="16874" w:orient="portrait"/>
          <w:cols w:equalWidth="0" w:num="1">
            <w:col w:w="11400"/>
          </w:cols>
          <w:pgMar w:left="240" w:top="125" w:right="259" w:bottom="0" w:gutter="0" w:footer="0" w:header="0"/>
          <w:type w:val="continuous"/>
        </w:sectPr>
      </w:pPr>
    </w:p>
    <w:bookmarkStart w:id="262" w:name="page263"/>
    <w:bookmarkEnd w:id="262"/>
    <w:p>
      <w:pPr>
        <w:spacing w:after="0" w:line="47" w:lineRule="exact"/>
        <w:rPr>
          <w:sz w:val="20"/>
          <w:szCs w:val="20"/>
          <w:color w:val="auto"/>
        </w:rPr>
      </w:pPr>
    </w:p>
    <w:p>
      <w:pPr>
        <w:ind w:left="640" w:right="260" w:hanging="647"/>
        <w:spacing w:after="0" w:line="277" w:lineRule="auto"/>
        <w:tabs>
          <w:tab w:leader="none" w:pos="6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Stock Option Agreement</w:t>
      </w:r>
      <w:r>
        <w:rPr>
          <w:rFonts w:ascii="Arial" w:cs="Arial" w:eastAsia="Arial" w:hAnsi="Arial"/>
          <w:sz w:val="18"/>
          <w:szCs w:val="18"/>
          <w:color w:val="auto"/>
        </w:rPr>
        <w:t>” shall mean the agreement between the Company and an Optionee which contains the terms, conditions and restrictions pertaining to the Optionee’s Option.</w:t>
      </w:r>
    </w:p>
    <w:p>
      <w:pPr>
        <w:spacing w:after="0" w:line="170" w:lineRule="exact"/>
        <w:rPr>
          <w:sz w:val="20"/>
          <w:szCs w:val="20"/>
          <w:color w:val="auto"/>
        </w:rPr>
      </w:pPr>
    </w:p>
    <w:p>
      <w:pPr>
        <w:ind w:left="640" w:right="240" w:hanging="647"/>
        <w:spacing w:after="0" w:line="259" w:lineRule="auto"/>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87" w:lineRule="exact"/>
        <w:rPr>
          <w:sz w:val="20"/>
          <w:szCs w:val="20"/>
          <w:color w:val="auto"/>
        </w:rPr>
      </w:pPr>
    </w:p>
    <w:p>
      <w:pPr>
        <w:ind w:left="640" w:right="580" w:hanging="647"/>
        <w:spacing w:after="0" w:line="264" w:lineRule="auto"/>
        <w:tabs>
          <w:tab w:leader="none" w:pos="6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Ten-Percent Stockholder</w:t>
      </w:r>
      <w:r>
        <w:rPr>
          <w:rFonts w:ascii="Arial" w:cs="Arial" w:eastAsia="Arial" w:hAnsi="Arial"/>
          <w:sz w:val="18"/>
          <w:szCs w:val="18"/>
          <w:color w:val="auto"/>
        </w:rPr>
        <w:t>” means an individual who owns more than ten percent (10%) of the total combined voting power of all classes of outstanding stock of the Company, its Parent or any of its Subsidiaries. In determining stock ownership for purposes of this Section 2.28, the attribution rules of section 424(d) of the Code shall be applied.</w:t>
      </w:r>
    </w:p>
    <w:p>
      <w:pPr>
        <w:spacing w:after="0" w:line="181"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ADMINISTRATION</w:t>
      </w:r>
      <w:r>
        <w:rPr>
          <w:rFonts w:ascii="Arial" w:cs="Arial" w:eastAsia="Arial" w:hAnsi="Arial"/>
          <w:sz w:val="17"/>
          <w:szCs w:val="17"/>
          <w:color w:val="auto"/>
        </w:rPr>
        <w:t>.</w:t>
      </w:r>
    </w:p>
    <w:p>
      <w:pPr>
        <w:spacing w:after="0" w:line="225" w:lineRule="exact"/>
        <w:rPr>
          <w:sz w:val="20"/>
          <w:szCs w:val="20"/>
          <w:color w:val="auto"/>
        </w:rPr>
      </w:pPr>
    </w:p>
    <w:p>
      <w:pPr>
        <w:ind w:left="660" w:right="80" w:hanging="647"/>
        <w:spacing w:after="0" w:line="272"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i w:val="1"/>
          <w:iCs w:val="1"/>
          <w:color w:val="auto"/>
        </w:rPr>
        <w:t>General Rule</w:t>
      </w:r>
      <w:r>
        <w:rPr>
          <w:rFonts w:ascii="Arial" w:cs="Arial" w:eastAsia="Arial" w:hAnsi="Arial"/>
          <w:sz w:val="17"/>
          <w:szCs w:val="17"/>
          <w:color w:val="auto"/>
        </w:rPr>
        <w:t>. The Plan shall be administered by the Board. However, the Board may delegate any or all administrative functions under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exercisable by the Board to one or more Committees. Each Committee shall consist of at least one member of the Board who has been appointed by the Board. Each Committee shall have the authority and be responsible for such functions as the Board has assigned to it. If a Committee has been appointed, any reference to the Board in the Plan shall be construed as a reference to the Committee to whom the Board has assigned a particular function. The Board may also authorize one or more officers of the Company to designate Employees, other than such authorized officer or officers, to receive Awards and/or to determine the number of such Awards to be received by such persons; provided, however, that the Board shall specify the total number of Awards that such officer or officers may so award.</w:t>
      </w:r>
    </w:p>
    <w:p>
      <w:pPr>
        <w:spacing w:after="0" w:line="178" w:lineRule="exact"/>
        <w:rPr>
          <w:sz w:val="20"/>
          <w:szCs w:val="20"/>
          <w:color w:val="auto"/>
        </w:rPr>
      </w:pPr>
    </w:p>
    <w:p>
      <w:pPr>
        <w:ind w:left="660" w:right="80" w:hanging="647"/>
        <w:spacing w:after="0" w:line="26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i w:val="1"/>
          <w:iCs w:val="1"/>
          <w:color w:val="auto"/>
        </w:rPr>
        <w:t>Board Authority and Responsibility</w:t>
      </w:r>
      <w:r>
        <w:rPr>
          <w:rFonts w:ascii="Arial" w:cs="Arial" w:eastAsia="Arial" w:hAnsi="Arial"/>
          <w:sz w:val="18"/>
          <w:szCs w:val="18"/>
          <w:color w:val="auto"/>
        </w:rPr>
        <w:t>. Subject to the provisions of the Plan, the Board shall have full authority and discretion to take any actions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necessary or advisable for the administration of the Plan. All decisions, interpretations and any other actions of the Board with respect to the Plan shall be final and binding on all persons deriving rights under the Plan.</w:t>
      </w:r>
    </w:p>
    <w:p>
      <w:pPr>
        <w:spacing w:after="0" w:line="181" w:lineRule="exact"/>
        <w:rPr>
          <w:sz w:val="20"/>
          <w:szCs w:val="20"/>
          <w:color w:val="auto"/>
        </w:rPr>
      </w:pPr>
    </w:p>
    <w:p>
      <w:pPr>
        <w:ind w:left="80"/>
        <w:spacing w:after="0"/>
        <w:tabs>
          <w:tab w:leader="none" w:pos="13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i w:val="1"/>
          <w:iCs w:val="1"/>
          <w:color w:val="auto"/>
        </w:rPr>
        <w:t>General Rule</w:t>
      </w:r>
      <w:r>
        <w:rPr>
          <w:rFonts w:ascii="Arial" w:cs="Arial" w:eastAsia="Arial" w:hAnsi="Arial"/>
          <w:sz w:val="18"/>
          <w:szCs w:val="18"/>
          <w:color w:val="auto"/>
        </w:rPr>
        <w:t>. Only Employees shall be eligible for the grant of ISOs. Only Employees, Consultants and Outside Directors shall be eligible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NSOs or the award or sale of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STOCK SUBJECT TO PLAN</w:t>
      </w:r>
      <w:r>
        <w:rPr>
          <w:rFonts w:ascii="Arial" w:cs="Arial" w:eastAsia="Arial" w:hAnsi="Arial"/>
          <w:sz w:val="17"/>
          <w:szCs w:val="17"/>
          <w:color w:val="auto"/>
        </w:rPr>
        <w:t>.</w:t>
      </w:r>
    </w:p>
    <w:p>
      <w:pPr>
        <w:spacing w:after="0" w:line="225" w:lineRule="exact"/>
        <w:rPr>
          <w:sz w:val="20"/>
          <w:szCs w:val="20"/>
          <w:color w:val="auto"/>
        </w:rPr>
      </w:pPr>
    </w:p>
    <w:p>
      <w:pPr>
        <w:ind w:left="660" w:right="60" w:hanging="647"/>
        <w:spacing w:after="0" w:line="302"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i w:val="1"/>
          <w:iCs w:val="1"/>
          <w:color w:val="auto"/>
        </w:rPr>
        <w:t>Share Limit</w:t>
      </w:r>
      <w:r>
        <w:rPr>
          <w:rFonts w:ascii="Arial" w:cs="Arial" w:eastAsia="Arial" w:hAnsi="Arial"/>
          <w:sz w:val="16"/>
          <w:szCs w:val="16"/>
          <w:color w:val="auto"/>
        </w:rPr>
        <w:t>. Subject to Sections 5.2 and 9, the aggregate number of Shares which may be issued under the Plan shall not exceed 10,000,000 Shares.</w:t>
      </w:r>
      <w:r>
        <w:rPr>
          <w:rFonts w:ascii="Arial" w:cs="Arial" w:eastAsia="Arial" w:hAnsi="Arial"/>
          <w:sz w:val="16"/>
          <w:szCs w:val="16"/>
          <w:i w:val="1"/>
          <w:iCs w:val="1"/>
          <w:color w:val="auto"/>
        </w:rPr>
        <w:t xml:space="preserve"> </w:t>
      </w:r>
      <w:r>
        <w:rPr>
          <w:rFonts w:ascii="Arial" w:cs="Arial" w:eastAsia="Arial" w:hAnsi="Arial"/>
          <w:sz w:val="16"/>
          <w:szCs w:val="16"/>
          <w:color w:val="auto"/>
        </w:rPr>
        <w:t>The number of Shares which are subject to Options or other rights outstanding at any time shall not exceed the number of Shares which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154"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i w:val="1"/>
          <w:iCs w:val="1"/>
          <w:color w:val="auto"/>
        </w:rPr>
        <w:t>Additional Shares</w:t>
      </w:r>
      <w:r>
        <w:rPr>
          <w:rFonts w:ascii="Arial" w:cs="Arial" w:eastAsia="Arial" w:hAnsi="Arial"/>
          <w:sz w:val="18"/>
          <w:szCs w:val="18"/>
          <w:color w:val="auto"/>
        </w:rPr>
        <w:t>. In the event that any outstanding Option or other right expires or is canceled for any reason, the Shares allocable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unexercised portion of such Option or other right shall remain available for issuance pursuant to the Plan. If a Share previously issued under the Plan is reacquired by the Company pursuant to a forfeiture provision, right of repurchase or right of first refusal, then such Share shall again become available for issuance under the Plan.</w:t>
      </w:r>
    </w:p>
    <w:p>
      <w:pPr>
        <w:spacing w:after="0" w:line="18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RESTRICTED SHARES</w:t>
      </w:r>
      <w:r>
        <w:rPr>
          <w:rFonts w:ascii="Arial" w:cs="Arial" w:eastAsia="Arial" w:hAnsi="Arial"/>
          <w:sz w:val="16"/>
          <w:szCs w:val="16"/>
          <w:color w:val="auto"/>
        </w:rPr>
        <w:t>.</w:t>
      </w:r>
    </w:p>
    <w:p>
      <w:pPr>
        <w:spacing w:after="0" w:line="225"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Restricted Share Agreement</w:t>
      </w:r>
      <w:r>
        <w:rPr>
          <w:rFonts w:ascii="Arial" w:cs="Arial" w:eastAsia="Arial" w:hAnsi="Arial"/>
          <w:sz w:val="16"/>
          <w:szCs w:val="16"/>
          <w:color w:val="auto"/>
        </w:rPr>
        <w:t>. Each award or sale of Shares under the Plan (other than upon exercise of an Option) shall be evidenced by a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Share Agreement between the Purchaser and the Company. Such award or sale shall be subject to all applicable terms and conditions of the Plan and may be subject to any other terms and conditions imposed by the Board, as set forth in the Restricted Share Agreement, that are not inconsistent with the Plan. The provisions of the various Restricted Share Agreements entered into under the Plan need not be identical.</w:t>
      </w:r>
    </w:p>
    <w:p>
      <w:pPr>
        <w:spacing w:after="0" w:line="154" w:lineRule="exact"/>
        <w:rPr>
          <w:sz w:val="20"/>
          <w:szCs w:val="20"/>
          <w:color w:val="auto"/>
        </w:rPr>
      </w:pPr>
    </w:p>
    <w:p>
      <w:pPr>
        <w:ind w:left="660" w:right="220" w:hanging="647"/>
        <w:spacing w:after="0" w:line="264"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i w:val="1"/>
          <w:iCs w:val="1"/>
          <w:color w:val="auto"/>
        </w:rPr>
        <w:t>Duration of Offers and Nontransferability of Purchase Rights</w:t>
      </w:r>
      <w:r>
        <w:rPr>
          <w:rFonts w:ascii="Arial" w:cs="Arial" w:eastAsia="Arial" w:hAnsi="Arial"/>
          <w:sz w:val="18"/>
          <w:szCs w:val="18"/>
          <w:color w:val="auto"/>
        </w:rPr>
        <w:t>. Any right to acquire Shares (other than an Option) shall automatically expire if not</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by the Purchaser within thirty (30) days after the Company communicates the grant of such right to the Purchaser. Such right shall be nontransferable and shall be exercisable only by the Purchaser to whom the right was granted.</w:t>
      </w:r>
    </w:p>
    <w:p>
      <w:pPr>
        <w:spacing w:after="0" w:line="181" w:lineRule="exact"/>
        <w:rPr>
          <w:sz w:val="20"/>
          <w:szCs w:val="20"/>
          <w:color w:val="auto"/>
        </w:rPr>
      </w:pPr>
    </w:p>
    <w:p>
      <w:pPr>
        <w:ind w:left="660" w:right="100" w:hanging="647"/>
        <w:spacing w:after="0" w:line="264"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i w:val="1"/>
          <w:iCs w:val="1"/>
          <w:color w:val="auto"/>
        </w:rPr>
        <w:t>Purchase Price</w:t>
      </w:r>
      <w:r>
        <w:rPr>
          <w:rFonts w:ascii="Arial" w:cs="Arial" w:eastAsia="Arial" w:hAnsi="Arial"/>
          <w:sz w:val="18"/>
          <w:szCs w:val="18"/>
          <w:color w:val="auto"/>
        </w:rPr>
        <w:t>. The Purchase Price of Shares offered under the Plan shall not be less than one hundred percent (100%) of the Fair Market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Shares. Subject to the foregoing in this Section 6.3, the Board shall determine the amount of the Purchase Price in its sole discretion. The Purchase Price shall be payable in a form described in Section 8.</w:t>
      </w:r>
    </w:p>
    <w:p>
      <w:pPr>
        <w:spacing w:after="0" w:line="181" w:lineRule="exact"/>
        <w:rPr>
          <w:sz w:val="20"/>
          <w:szCs w:val="20"/>
          <w:color w:val="auto"/>
        </w:rPr>
      </w:pPr>
    </w:p>
    <w:p>
      <w:pPr>
        <w:ind w:left="660" w:right="40" w:hanging="647"/>
        <w:spacing w:after="0" w:line="312"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i w:val="1"/>
          <w:iCs w:val="1"/>
          <w:color w:val="auto"/>
        </w:rPr>
        <w:t>Repurchase Rights and Transfer Restrictions</w:t>
      </w:r>
      <w:r>
        <w:rPr>
          <w:rFonts w:ascii="Arial" w:cs="Arial" w:eastAsia="Arial" w:hAnsi="Arial"/>
          <w:sz w:val="16"/>
          <w:szCs w:val="16"/>
          <w:color w:val="auto"/>
        </w:rPr>
        <w:t>. Each award or sale of Shares shall be subject to such forfeiture conditions, rights of repurchase,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of first refusal and other transfer restrictions as the Board may determine, subject to the requirements of Section 10. Such restrictions shall be set forth in the applicable Restricted Share Agreement and shall apply in addition to any restrictions otherwise applicable to holders of Shares generally.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STOCK OPTIONS</w:t>
      </w:r>
      <w:r>
        <w:rPr>
          <w:rFonts w:ascii="Arial" w:cs="Arial" w:eastAsia="Arial" w:hAnsi="Arial"/>
          <w:sz w:val="16"/>
          <w:szCs w:val="16"/>
          <w:color w:val="auto"/>
        </w:rPr>
        <w:t>.</w:t>
      </w:r>
    </w:p>
    <w:p>
      <w:pPr>
        <w:spacing w:after="0" w:line="225" w:lineRule="exact"/>
        <w:rPr>
          <w:sz w:val="20"/>
          <w:szCs w:val="20"/>
          <w:color w:val="auto"/>
        </w:rPr>
      </w:pPr>
    </w:p>
    <w:p>
      <w:pPr>
        <w:ind w:left="660" w:right="300" w:hanging="647"/>
        <w:spacing w:after="0" w:line="259"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i w:val="1"/>
          <w:iCs w:val="1"/>
          <w:color w:val="auto"/>
        </w:rPr>
        <w:t>Stock Option Agreement</w:t>
      </w:r>
      <w:r>
        <w:rPr>
          <w:rFonts w:ascii="Arial" w:cs="Arial" w:eastAsia="Arial" w:hAnsi="Arial"/>
          <w:sz w:val="18"/>
          <w:szCs w:val="18"/>
          <w:color w:val="auto"/>
        </w:rPr>
        <w:t>. Each grant of an Option under the Plan shall be evidenced by a Stock Option Agreement between the Optionee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The Option shall be subject to all applicable terms and conditions of the Plan and may be subject to any other terms and conditions imposed by the Board, as set forth in the Stock Option Agreement, which are not inconsistent with the Plan. The provisions of the various Stock Option Agreements entered into under the Plan need not be identical.</w:t>
      </w:r>
    </w:p>
    <w:p>
      <w:pPr>
        <w:sectPr>
          <w:pgSz w:w="11900" w:h="16885" w:orient="portrait"/>
          <w:cols w:equalWidth="0" w:num="1">
            <w:col w:w="11400"/>
          </w:cols>
          <w:pgMar w:left="240" w:top="341" w:right="259" w:bottom="0" w:gutter="0" w:footer="0" w:header="0"/>
        </w:sectPr>
      </w:pPr>
    </w:p>
    <w:bookmarkStart w:id="263" w:name="page264"/>
    <w:bookmarkEnd w:id="263"/>
    <w:p>
      <w:pPr>
        <w:spacing w:after="0" w:line="114" w:lineRule="exact"/>
        <w:rPr>
          <w:sz w:val="20"/>
          <w:szCs w:val="20"/>
          <w:color w:val="auto"/>
        </w:rPr>
      </w:pPr>
    </w:p>
    <w:p>
      <w:pPr>
        <w:ind w:left="640" w:hanging="647"/>
        <w:spacing w:after="0" w:line="264" w:lineRule="auto"/>
        <w:tabs>
          <w:tab w:leader="none" w:pos="62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i w:val="1"/>
          <w:iCs w:val="1"/>
          <w:color w:val="auto"/>
        </w:rPr>
        <w:t>Number of Shares; Kind of Option</w:t>
      </w:r>
      <w:r>
        <w:rPr>
          <w:rFonts w:ascii="Arial" w:cs="Arial" w:eastAsia="Arial" w:hAnsi="Arial"/>
          <w:sz w:val="18"/>
          <w:szCs w:val="18"/>
          <w:color w:val="auto"/>
        </w:rPr>
        <w:t>. Each Stock Option Agreement shall specify the number of Shares that are subject to the Option and shall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adjustment of such number in accordance with Section 9. The Stock Option Agreement shall also specify whether the Option is intended to be an ISO or an NSO.</w:t>
      </w:r>
    </w:p>
    <w:p>
      <w:pPr>
        <w:spacing w:after="0" w:line="181"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i w:val="1"/>
          <w:iCs w:val="1"/>
          <w:color w:val="auto"/>
        </w:rPr>
        <w:t>Exercise Price</w:t>
      </w:r>
      <w:r>
        <w:rPr>
          <w:rFonts w:ascii="Arial" w:cs="Arial" w:eastAsia="Arial" w:hAnsi="Arial"/>
          <w:sz w:val="18"/>
          <w:szCs w:val="18"/>
          <w:color w:val="auto"/>
        </w:rPr>
        <w:t>. Each Stock Option Agreement shall set forth the Exercise Price, which shall be payable in a form described in Section 8.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requirements, the Exercise Price under any Option shall be determined by the Board in its sole discretion:</w:t>
      </w:r>
    </w:p>
    <w:p>
      <w:pPr>
        <w:spacing w:after="0" w:line="170" w:lineRule="exact"/>
        <w:rPr>
          <w:sz w:val="20"/>
          <w:szCs w:val="20"/>
          <w:color w:val="auto"/>
        </w:rPr>
      </w:pPr>
    </w:p>
    <w:p>
      <w:pPr>
        <w:ind w:left="1280" w:right="260" w:hanging="644"/>
        <w:spacing w:after="0" w:line="312" w:lineRule="auto"/>
        <w:tabs>
          <w:tab w:leader="none" w:pos="1277"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Minimum Exercise Price for ISOs</w:t>
      </w:r>
      <w:r>
        <w:rPr>
          <w:rFonts w:ascii="Arial" w:cs="Arial" w:eastAsia="Arial" w:hAnsi="Arial"/>
          <w:sz w:val="16"/>
          <w:szCs w:val="16"/>
          <w:color w:val="auto"/>
        </w:rPr>
        <w:t>. The Exercise Price per Share of an ISO shall not be less than one hundred percent (100%) of the Fair Market Value of a Share on the date of grant; provided, however, that the Exercise Price per Share of an ISO granted to a Ten-Percent Stockholder shall not be less than one hundred ten percent (110%) of the Fair Market Value of a Share on the date of grant.</w:t>
      </w:r>
    </w:p>
    <w:p>
      <w:pPr>
        <w:spacing w:after="0" w:line="146" w:lineRule="exact"/>
        <w:rPr>
          <w:rFonts w:ascii="Arial" w:cs="Arial" w:eastAsia="Arial" w:hAnsi="Arial"/>
          <w:sz w:val="16"/>
          <w:szCs w:val="16"/>
          <w:color w:val="auto"/>
        </w:rPr>
      </w:pPr>
    </w:p>
    <w:p>
      <w:pPr>
        <w:ind w:left="1280" w:right="100" w:hanging="644"/>
        <w:spacing w:after="0" w:line="312" w:lineRule="auto"/>
        <w:tabs>
          <w:tab w:leader="none" w:pos="1287" w:val="left"/>
        </w:tabs>
        <w:numPr>
          <w:ilvl w:val="0"/>
          <w:numId w:val="229"/>
        </w:numPr>
        <w:rPr>
          <w:rFonts w:ascii="Arial" w:cs="Arial" w:eastAsia="Arial" w:hAnsi="Arial"/>
          <w:sz w:val="16"/>
          <w:szCs w:val="16"/>
          <w:color w:val="auto"/>
        </w:rPr>
      </w:pPr>
      <w:r>
        <w:rPr>
          <w:rFonts w:ascii="Arial" w:cs="Arial" w:eastAsia="Arial" w:hAnsi="Arial"/>
          <w:sz w:val="16"/>
          <w:szCs w:val="16"/>
          <w:u w:val="single" w:color="auto"/>
          <w:color w:val="auto"/>
        </w:rPr>
        <w:t>Minimum Exercise Price for NSOs</w:t>
      </w:r>
      <w:r>
        <w:rPr>
          <w:rFonts w:ascii="Arial" w:cs="Arial" w:eastAsia="Arial" w:hAnsi="Arial"/>
          <w:sz w:val="16"/>
          <w:szCs w:val="16"/>
          <w:color w:val="auto"/>
        </w:rPr>
        <w:t>. The Exercise Price per Share of an NSO shall not be less than one hundred percent (100%) of the Fair Market Value of a Share on the date of grant; provided, however, that the Exercise Price per Share of an NSO granted to a Ten-Percent Stockholder shall not be less than one hundred ten percent (110%) of the Fair Market Value of a Share on the date of grant.</w:t>
      </w:r>
    </w:p>
    <w:p>
      <w:pPr>
        <w:spacing w:after="0" w:line="147" w:lineRule="exact"/>
        <w:rPr>
          <w:sz w:val="20"/>
          <w:szCs w:val="20"/>
          <w:color w:val="auto"/>
        </w:rPr>
      </w:pPr>
    </w:p>
    <w:p>
      <w:pPr>
        <w:ind w:left="640" w:right="260" w:hanging="647"/>
        <w:spacing w:after="0" w:line="264" w:lineRule="auto"/>
        <w:tabs>
          <w:tab w:leader="none" w:pos="62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8"/>
          <w:szCs w:val="18"/>
          <w:i w:val="1"/>
          <w:iCs w:val="1"/>
          <w:color w:val="auto"/>
        </w:rPr>
        <w:t>Term</w:t>
      </w:r>
      <w:r>
        <w:rPr>
          <w:rFonts w:ascii="Arial" w:cs="Arial" w:eastAsia="Arial" w:hAnsi="Arial"/>
          <w:sz w:val="18"/>
          <w:szCs w:val="18"/>
          <w:color w:val="auto"/>
        </w:rPr>
        <w:t>. Each Stock Option Agreement shall specify the term of the Option. The term of an Option shall in no event exceed ten (10)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The term of an ISO granted to a Ten-Percent Stockholder shall not exceed five (5) years from the date of grant. Subject to the foregoing, the Board in its sole discretion shall determine when an Option shall expire.</w:t>
      </w:r>
    </w:p>
    <w:p>
      <w:pPr>
        <w:spacing w:after="0" w:line="181" w:lineRule="exact"/>
        <w:rPr>
          <w:sz w:val="20"/>
          <w:szCs w:val="20"/>
          <w:color w:val="auto"/>
        </w:rPr>
      </w:pPr>
    </w:p>
    <w:p>
      <w:pPr>
        <w:ind w:left="640" w:right="260" w:hanging="647"/>
        <w:spacing w:after="0" w:line="302" w:lineRule="auto"/>
        <w:tabs>
          <w:tab w:leader="none" w:pos="62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i w:val="1"/>
          <w:iCs w:val="1"/>
          <w:color w:val="auto"/>
        </w:rPr>
        <w:t>Exercisability</w:t>
      </w:r>
      <w:r>
        <w:rPr>
          <w:rFonts w:ascii="Arial" w:cs="Arial" w:eastAsia="Arial" w:hAnsi="Arial"/>
          <w:sz w:val="16"/>
          <w:szCs w:val="16"/>
          <w:color w:val="auto"/>
        </w:rPr>
        <w:t>. Each Stock Option Agreement shall specify the date when all or any installment of the Option is to become exercisable;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no Option shall be exercisable unless the Optionee has delivered to the Company an executed copy of the Stock Option Agreement. Subject to the following restrictions, the Board in its sole discretion shall determine when all or any installment of an Option is to become exercisable and may, in its discretion, provide for accelerated exercisability in the event of a Change in Control or other events: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80" w:right="120" w:hanging="644"/>
        <w:spacing w:after="0" w:line="264" w:lineRule="auto"/>
        <w:tabs>
          <w:tab w:leader="none" w:pos="1277"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Options Granted to Employees</w:t>
      </w:r>
      <w:r>
        <w:rPr>
          <w:rFonts w:ascii="Arial" w:cs="Arial" w:eastAsia="Arial" w:hAnsi="Arial"/>
          <w:sz w:val="18"/>
          <w:szCs w:val="18"/>
          <w:color w:val="auto"/>
        </w:rPr>
        <w:t>. An Option granted to an Optionee who is not a Consultant or an officer or director of the Company, a Parent or a Subsidiary shall be exercisable at the minimum rate of twenty percent (20%) per year for each of the first five (5) years starting from the date of grant, subject to reasonable conditions such as continued Service.</w:t>
      </w:r>
    </w:p>
    <w:p>
      <w:pPr>
        <w:spacing w:after="0" w:line="181" w:lineRule="exact"/>
        <w:rPr>
          <w:rFonts w:ascii="Arial" w:cs="Arial" w:eastAsia="Arial" w:hAnsi="Arial"/>
          <w:sz w:val="18"/>
          <w:szCs w:val="18"/>
          <w:color w:val="auto"/>
        </w:rPr>
      </w:pPr>
    </w:p>
    <w:p>
      <w:pPr>
        <w:ind w:left="1280" w:right="120" w:hanging="644"/>
        <w:spacing w:after="0" w:line="279" w:lineRule="auto"/>
        <w:tabs>
          <w:tab w:leader="none" w:pos="1287"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Options Granted to Outside Directors, Consultants or Officers</w:t>
      </w:r>
      <w:r>
        <w:rPr>
          <w:rFonts w:ascii="Arial" w:cs="Arial" w:eastAsia="Arial" w:hAnsi="Arial"/>
          <w:sz w:val="17"/>
          <w:szCs w:val="17"/>
          <w:color w:val="auto"/>
        </w:rPr>
        <w:t>. An Option granted to an Optionee who is a Consultant or an officer or director of the Company, a Parent or a Subsidiary shall be exercisable at any time or during any period established by the Board, subject to reasonable conditions such as continued Service; provided, however, that the exercisability of an Option granted to an Optionee for service as an Outside Director shall be automatically accelerated in full in the event of a Change in Control,</w:t>
      </w:r>
    </w:p>
    <w:p>
      <w:pPr>
        <w:spacing w:after="0" w:line="171" w:lineRule="exact"/>
        <w:rPr>
          <w:rFonts w:ascii="Arial" w:cs="Arial" w:eastAsia="Arial" w:hAnsi="Arial"/>
          <w:sz w:val="17"/>
          <w:szCs w:val="17"/>
          <w:color w:val="auto"/>
        </w:rPr>
      </w:pPr>
    </w:p>
    <w:p>
      <w:pPr>
        <w:ind w:left="1280" w:right="540" w:hanging="644"/>
        <w:spacing w:after="0" w:line="277" w:lineRule="auto"/>
        <w:tabs>
          <w:tab w:leader="none" w:pos="1290"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Early Exercise</w:t>
      </w:r>
      <w:r>
        <w:rPr>
          <w:rFonts w:ascii="Arial" w:cs="Arial" w:eastAsia="Arial" w:hAnsi="Arial"/>
          <w:sz w:val="18"/>
          <w:szCs w:val="18"/>
          <w:color w:val="auto"/>
        </w:rPr>
        <w:t>. A Stock Option Agreement may permit the Optionee to exercise the Option as to Shares that are subject to a right of repurchase by the Company in accordance with the requirements of Section 10.1.</w:t>
      </w:r>
    </w:p>
    <w:p>
      <w:pPr>
        <w:spacing w:after="0" w:line="170" w:lineRule="exact"/>
        <w:rPr>
          <w:sz w:val="20"/>
          <w:szCs w:val="20"/>
          <w:color w:val="auto"/>
        </w:rPr>
      </w:pPr>
    </w:p>
    <w:p>
      <w:pPr>
        <w:ind w:left="640" w:right="60" w:hanging="647"/>
        <w:spacing w:after="0" w:line="259" w:lineRule="auto"/>
        <w:tabs>
          <w:tab w:leader="none" w:pos="62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i w:val="1"/>
          <w:iCs w:val="1"/>
          <w:color w:val="auto"/>
        </w:rPr>
        <w:t>Repurchase Rights and Transfer Restrictions</w:t>
      </w:r>
      <w:r>
        <w:rPr>
          <w:rFonts w:ascii="Arial" w:cs="Arial" w:eastAsia="Arial" w:hAnsi="Arial"/>
          <w:sz w:val="18"/>
          <w:szCs w:val="18"/>
          <w:color w:val="auto"/>
        </w:rPr>
        <w:t>. Shares purchased on exercise of Options shall be subject to such forfeiture conditions, rights of</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 rights of first refusal and other transfer restrictions as the Board may determine, subject to the requirements of Section 10. Such restrictions shall be set forth in the applicable Stock Option Agreement and shall apply in addition to any restrictions otherwise applicable to holders of Shares generally.</w:t>
      </w:r>
    </w:p>
    <w:p>
      <w:pPr>
        <w:spacing w:after="0" w:line="187" w:lineRule="exact"/>
        <w:rPr>
          <w:sz w:val="20"/>
          <w:szCs w:val="20"/>
          <w:color w:val="auto"/>
        </w:rPr>
      </w:pPr>
    </w:p>
    <w:p>
      <w:pPr>
        <w:ind w:left="640" w:right="20" w:hanging="647"/>
        <w:spacing w:after="0" w:line="276" w:lineRule="auto"/>
        <w:tabs>
          <w:tab w:leader="none" w:pos="62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i w:val="1"/>
          <w:iCs w:val="1"/>
          <w:color w:val="auto"/>
        </w:rPr>
        <w:t>Transferability of Options</w:t>
      </w:r>
      <w:r>
        <w:rPr>
          <w:rFonts w:ascii="Arial" w:cs="Arial" w:eastAsia="Arial" w:hAnsi="Arial"/>
          <w:sz w:val="17"/>
          <w:szCs w:val="17"/>
          <w:color w:val="auto"/>
        </w:rPr>
        <w:t>. During an Optionee’s lifetime, his or her Options shall be exercisable only by the Optionee or by the Optionee’s guardian</w:t>
      </w:r>
      <w:r>
        <w:rPr>
          <w:rFonts w:ascii="Arial" w:cs="Arial" w:eastAsia="Arial" w:hAnsi="Arial"/>
          <w:sz w:val="17"/>
          <w:szCs w:val="17"/>
          <w:i w:val="1"/>
          <w:iCs w:val="1"/>
          <w:color w:val="auto"/>
        </w:rPr>
        <w:t xml:space="preserve"> </w:t>
      </w:r>
      <w:r>
        <w:rPr>
          <w:rFonts w:ascii="Arial" w:cs="Arial" w:eastAsia="Arial" w:hAnsi="Arial"/>
          <w:sz w:val="17"/>
          <w:szCs w:val="17"/>
          <w:color w:val="auto"/>
        </w:rPr>
        <w:t>or legal representatives, and shall not be transferable other than by beneficiary designation, will or the laws of descent and distribution. Notwithstanding the foregoing, however, to the extent permitted by the Board in its sole discretion, an NSO may be transferred by the Optionee to one or more family members or a trust established for the benefit of the Optionee and/or one or more family members to the extent permitted by section 260.140.41(d) of Title 10 of the California Code of Regulations and Rule 701 of the Securities Act.</w:t>
      </w:r>
    </w:p>
    <w:p>
      <w:pPr>
        <w:spacing w:after="0" w:line="173" w:lineRule="exact"/>
        <w:rPr>
          <w:sz w:val="20"/>
          <w:szCs w:val="20"/>
          <w:color w:val="auto"/>
        </w:rPr>
      </w:pPr>
    </w:p>
    <w:p>
      <w:pPr>
        <w:ind w:left="640" w:right="80" w:hanging="647"/>
        <w:spacing w:after="0" w:line="254" w:lineRule="auto"/>
        <w:tabs>
          <w:tab w:leader="none" w:pos="62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i w:val="1"/>
          <w:iCs w:val="1"/>
          <w:color w:val="auto"/>
        </w:rPr>
        <w:t>Exercise of Options on Termination of Service</w:t>
      </w:r>
      <w:r>
        <w:rPr>
          <w:rFonts w:ascii="Arial" w:cs="Arial" w:eastAsia="Arial" w:hAnsi="Arial"/>
          <w:sz w:val="18"/>
          <w:szCs w:val="18"/>
          <w:color w:val="auto"/>
        </w:rPr>
        <w:t>. Each Option shall set forth the extent to which the Optionee shall have the right to exercise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following termination of the Optionee’s Service. Each Stock Option Agreement shall provide the Optionee with the right to exercise the Option following the Optionee’s termination of Service during the Option term, to the extent the Option was exercisable for vested Shares upon termination of Service, for at least thirty (30) days if termination of Service is due to any reason other than cause, death or Disability, and for at least six (6) months after termination of Service if due to death or Disability (but in no event later than the expiration of the Option term). If the Optionee’s Service is terminated for cause, the Stock Option Agreement may provide that the Optionee’s right to exercise the Option terminates immediately on the effective date of the Optionee’s termination. To the extent the Option was not exercisable for vested Shares upon termination of Service, the Option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60"/>
        <w:spacing w:after="0" w:line="264" w:lineRule="auto"/>
        <w:rPr>
          <w:sz w:val="20"/>
          <w:szCs w:val="20"/>
          <w:color w:val="auto"/>
        </w:rPr>
      </w:pPr>
      <w:r>
        <w:rPr>
          <w:rFonts w:ascii="Arial" w:cs="Arial" w:eastAsia="Arial" w:hAnsi="Arial"/>
          <w:sz w:val="18"/>
          <w:szCs w:val="18"/>
          <w:color w:val="auto"/>
        </w:rPr>
        <w:t>shall terminate when the Optionee’s Service terminates. Subject to the foregoing, such provisions shall be determined in the sole discretion of the Board, need not be uniform among all Options issued pursuant to the Plan, and may reflect distinctions based on the reasons for termination of Service.</w:t>
      </w:r>
    </w:p>
    <w:p>
      <w:pPr>
        <w:spacing w:after="0" w:line="181" w:lineRule="exact"/>
        <w:rPr>
          <w:sz w:val="20"/>
          <w:szCs w:val="20"/>
          <w:color w:val="auto"/>
        </w:rPr>
      </w:pPr>
    </w:p>
    <w:p>
      <w:pPr>
        <w:ind w:left="640" w:right="40" w:hanging="647"/>
        <w:spacing w:after="0" w:line="264" w:lineRule="auto"/>
        <w:tabs>
          <w:tab w:leader="none" w:pos="62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i w:val="1"/>
          <w:iCs w:val="1"/>
          <w:color w:val="auto"/>
        </w:rPr>
        <w:t>No Rights as a Stockholder</w:t>
      </w:r>
      <w:r>
        <w:rPr>
          <w:rFonts w:ascii="Arial" w:cs="Arial" w:eastAsia="Arial" w:hAnsi="Arial"/>
          <w:sz w:val="18"/>
          <w:szCs w:val="18"/>
          <w:color w:val="auto"/>
        </w:rPr>
        <w:t>. An Optionee, or a transferee of an Optionee, shall have no rights as a stockholder with respect to any Shares covered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until such person becomes entitled to receive such Shares by filing a notice of exercise and paying the Exercise Price pursuant to the terms of the Option. No adjustments shall be made, except as provided in Section 9.</w:t>
      </w:r>
    </w:p>
    <w:p>
      <w:pPr>
        <w:spacing w:after="0" w:line="181" w:lineRule="exact"/>
        <w:rPr>
          <w:sz w:val="20"/>
          <w:szCs w:val="20"/>
          <w:color w:val="auto"/>
        </w:rPr>
      </w:pPr>
    </w:p>
    <w:p>
      <w:pPr>
        <w:jc w:val="both"/>
        <w:ind w:left="620" w:right="80" w:hanging="647"/>
        <w:spacing w:after="0" w:line="312" w:lineRule="auto"/>
        <w:tabs>
          <w:tab w:leader="none" w:pos="60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6"/>
          <w:szCs w:val="16"/>
          <w:i w:val="1"/>
          <w:iCs w:val="1"/>
          <w:color w:val="auto"/>
        </w:rPr>
        <w:t>Modification, Extension and Renewal of Options</w:t>
      </w:r>
      <w:r>
        <w:rPr>
          <w:rFonts w:ascii="Arial" w:cs="Arial" w:eastAsia="Arial" w:hAnsi="Arial"/>
          <w:sz w:val="16"/>
          <w:szCs w:val="16"/>
          <w:color w:val="auto"/>
        </w:rPr>
        <w:t>. Within the limitations of the Plan, the Board may modify, extend or renew outstanding Options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may accept the cancellation of outstanding Options (to the extent not previously exercised), whether or not granted hereunder, in return for the grant of new Options for the same or a different number of Shares and at the same or a different Exercise Price. The foregoing notwithstanding, no</w:t>
      </w:r>
    </w:p>
    <w:p>
      <w:pPr>
        <w:sectPr>
          <w:pgSz w:w="11900" w:h="16953" w:orient="portrait"/>
          <w:cols w:equalWidth="0" w:num="1">
            <w:col w:w="11400"/>
          </w:cols>
          <w:pgMar w:left="260" w:top="342" w:right="239" w:bottom="0" w:gutter="0" w:footer="0" w:header="0"/>
        </w:sectPr>
      </w:pPr>
    </w:p>
    <w:bookmarkStart w:id="264" w:name="page265"/>
    <w:bookmarkEnd w:id="264"/>
    <w:p>
      <w:pPr>
        <w:spacing w:after="0" w:line="36"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modification of an Option shall, without the consent of the Optionee, impair his or her rights or increase the Optionee’s obligations under such Option.</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PAYMENT FOR SHARES</w:t>
      </w:r>
      <w:r>
        <w:rPr>
          <w:rFonts w:ascii="Arial" w:cs="Arial" w:eastAsia="Arial" w:hAnsi="Arial"/>
          <w:sz w:val="16"/>
          <w:szCs w:val="16"/>
          <w:color w:val="auto"/>
        </w:rPr>
        <w:t>.</w:t>
      </w:r>
    </w:p>
    <w:p>
      <w:pPr>
        <w:spacing w:after="0" w:line="225" w:lineRule="exact"/>
        <w:rPr>
          <w:sz w:val="20"/>
          <w:szCs w:val="20"/>
          <w:color w:val="auto"/>
        </w:rPr>
      </w:pPr>
    </w:p>
    <w:p>
      <w:pPr>
        <w:ind w:left="660" w:right="22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i w:val="1"/>
          <w:iCs w:val="1"/>
          <w:color w:val="auto"/>
        </w:rPr>
        <w:t>General</w:t>
      </w:r>
      <w:r>
        <w:rPr>
          <w:rFonts w:ascii="Arial" w:cs="Arial" w:eastAsia="Arial" w:hAnsi="Arial"/>
          <w:sz w:val="18"/>
          <w:szCs w:val="18"/>
          <w:color w:val="auto"/>
        </w:rPr>
        <w:t>. The entire Purchase Price or Exercise Price of Shares issued under the Plan shall be payable in cash, cash equivalents or one of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forms provided in this Section 8.</w:t>
      </w:r>
    </w:p>
    <w:p>
      <w:pPr>
        <w:spacing w:after="0" w:line="170"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i w:val="1"/>
          <w:iCs w:val="1"/>
          <w:color w:val="auto"/>
        </w:rPr>
        <w:t>Surrender of Stock</w:t>
      </w:r>
      <w:r>
        <w:rPr>
          <w:rFonts w:ascii="Arial" w:cs="Arial" w:eastAsia="Arial" w:hAnsi="Arial"/>
          <w:sz w:val="18"/>
          <w:szCs w:val="18"/>
          <w:color w:val="auto"/>
        </w:rPr>
        <w:t>. To the extent permitted by the Board in its sole discretion, payment may be made in whole or in part by surrendering,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attesting to ownership of, Shares which have already been owned by the Optionee; provided, however, that payment may not be made in such form if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w:t>
      </w:r>
    </w:p>
    <w:p>
      <w:pPr>
        <w:spacing w:after="0" w:line="188"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i w:val="1"/>
          <w:iCs w:val="1"/>
          <w:color w:val="auto"/>
        </w:rPr>
        <w:t>Services Rendered</w:t>
      </w:r>
      <w:r>
        <w:rPr>
          <w:rFonts w:ascii="Arial" w:cs="Arial" w:eastAsia="Arial" w:hAnsi="Arial"/>
          <w:sz w:val="18"/>
          <w:szCs w:val="18"/>
          <w:color w:val="auto"/>
        </w:rPr>
        <w:t>. As determined by the Board in its discretion, Shares may be awarded under the Plan in consideration of past services rendered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 Parent or Subsidiary.</w:t>
      </w:r>
    </w:p>
    <w:p>
      <w:pPr>
        <w:spacing w:after="0" w:line="170" w:lineRule="exact"/>
        <w:rPr>
          <w:sz w:val="20"/>
          <w:szCs w:val="20"/>
          <w:color w:val="auto"/>
        </w:rPr>
      </w:pPr>
    </w:p>
    <w:p>
      <w:pPr>
        <w:ind w:left="660" w:right="40" w:hanging="647"/>
        <w:spacing w:after="0" w:line="255"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i w:val="1"/>
          <w:iCs w:val="1"/>
          <w:color w:val="auto"/>
        </w:rPr>
        <w:t>Promissory Notes</w:t>
      </w:r>
      <w:r>
        <w:rPr>
          <w:rFonts w:ascii="Arial" w:cs="Arial" w:eastAsia="Arial" w:hAnsi="Arial"/>
          <w:sz w:val="18"/>
          <w:szCs w:val="18"/>
          <w:color w:val="auto"/>
        </w:rPr>
        <w:t>. To the extent permitted by the Board in its sole discretion, payment may be made in whole or in part with a full-recourse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promissory note executed by the Optionee or Purchaser. The interest rate payable under the promissory note shall not be less than the minimum rate required to avoid the imputation of income for U.S. federal income tax purposes. Shares shall be pledged as security for payment of the principal amount of the promissory note, and interest thereon; provided that if the Optionee or Purchaser is a Consultant, such note must be collateralized with such additional security to the extent required by applicable laws. In no event shall the stock certificate(s) representing such Shares be released to the Optionee or Purchaser until such note is paid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full. Subject to the foregoing, the Board shall determine the term, interest rate and other provisions of the note.</w:t>
      </w:r>
    </w:p>
    <w:p>
      <w:pPr>
        <w:spacing w:after="0" w:line="225" w:lineRule="exact"/>
        <w:rPr>
          <w:sz w:val="20"/>
          <w:szCs w:val="20"/>
          <w:color w:val="auto"/>
        </w:rPr>
      </w:pPr>
    </w:p>
    <w:p>
      <w:pPr>
        <w:ind w:left="660" w:right="240" w:hanging="647"/>
        <w:spacing w:after="0" w:line="312"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i w:val="1"/>
          <w:iCs w:val="1"/>
          <w:color w:val="auto"/>
        </w:rPr>
        <w:t>Exercise/Sale</w:t>
      </w:r>
      <w:r>
        <w:rPr>
          <w:rFonts w:ascii="Arial" w:cs="Arial" w:eastAsia="Arial" w:hAnsi="Arial"/>
          <w:sz w:val="16"/>
          <w:szCs w:val="16"/>
          <w:color w:val="auto"/>
        </w:rPr>
        <w:t>. To the extent permitted by the Board in its sole discretion, and if a public market for the Shares exists, payment may be made in</w:t>
      </w:r>
      <w:r>
        <w:rPr>
          <w:rFonts w:ascii="Arial" w:cs="Arial" w:eastAsia="Arial" w:hAnsi="Arial"/>
          <w:sz w:val="16"/>
          <w:szCs w:val="16"/>
          <w:i w:val="1"/>
          <w:iCs w:val="1"/>
          <w:color w:val="auto"/>
        </w:rPr>
        <w:t xml:space="preserve"> </w:t>
      </w:r>
      <w:r>
        <w:rPr>
          <w:rFonts w:ascii="Arial" w:cs="Arial" w:eastAsia="Arial" w:hAnsi="Arial"/>
          <w:sz w:val="16"/>
          <w:szCs w:val="16"/>
          <w:color w:val="auto"/>
        </w:rPr>
        <w:t>whole or in part by delivery (on a form prescribed by the Company) of an irrevocable direction to a securities broker approved by the Company to sell Shares and to deliver all or part of the sale proceeds to the Company in payment of all or part of the Exercise Price and any withholding taxes.</w:t>
      </w:r>
    </w:p>
    <w:p>
      <w:pPr>
        <w:spacing w:after="0" w:line="147" w:lineRule="exact"/>
        <w:rPr>
          <w:sz w:val="20"/>
          <w:szCs w:val="20"/>
          <w:color w:val="auto"/>
        </w:rPr>
      </w:pPr>
    </w:p>
    <w:p>
      <w:pPr>
        <w:ind w:left="660" w:right="260" w:hanging="647"/>
        <w:spacing w:after="0" w:line="259" w:lineRule="auto"/>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i w:val="1"/>
          <w:iCs w:val="1"/>
          <w:color w:val="auto"/>
        </w:rPr>
        <w:t>Exercise/Pledge</w:t>
      </w:r>
      <w:r>
        <w:rPr>
          <w:rFonts w:ascii="Arial" w:cs="Arial" w:eastAsia="Arial" w:hAnsi="Arial"/>
          <w:sz w:val="18"/>
          <w:szCs w:val="18"/>
          <w:color w:val="auto"/>
        </w:rPr>
        <w:t>. To the extent permitted by the Board in its sole discretion, and if a public market for the Shares exists, payment may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whole or in part by delivery (on a form prescribed by the Company) of an irrevocable direction to a securities broker or lender approved by the Company to pledge Shares, as security for a loan, and to deliver all or part of the loan proceeds to the Company in payment of all or part of the Exercise Price and any withholding taxes.</w:t>
      </w:r>
    </w:p>
    <w:p>
      <w:pPr>
        <w:spacing w:after="0" w:line="187"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i w:val="1"/>
          <w:iCs w:val="1"/>
          <w:color w:val="auto"/>
        </w:rPr>
        <w:t>Other Forms of Payment</w:t>
      </w:r>
      <w:r>
        <w:rPr>
          <w:rFonts w:ascii="Arial" w:cs="Arial" w:eastAsia="Arial" w:hAnsi="Arial"/>
          <w:sz w:val="18"/>
          <w:szCs w:val="18"/>
          <w:color w:val="auto"/>
        </w:rPr>
        <w:t>. To the extent permitted by the Board in its sole discretion, payment may be made in any other form that is consistent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laws, regulations and rules.</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ADJUSTMENT OF SHARES</w:t>
      </w:r>
      <w:r>
        <w:rPr>
          <w:rFonts w:ascii="Arial" w:cs="Arial" w:eastAsia="Arial" w:hAnsi="Arial"/>
          <w:sz w:val="17"/>
          <w:szCs w:val="17"/>
          <w:color w:val="auto"/>
        </w:rPr>
        <w:t>.</w:t>
      </w:r>
    </w:p>
    <w:p>
      <w:pPr>
        <w:spacing w:after="0" w:line="225" w:lineRule="exact"/>
        <w:rPr>
          <w:sz w:val="20"/>
          <w:szCs w:val="20"/>
          <w:color w:val="auto"/>
        </w:rPr>
      </w:pPr>
    </w:p>
    <w:p>
      <w:pPr>
        <w:ind w:left="660" w:right="320" w:hanging="647"/>
        <w:spacing w:after="0" w:line="286"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 In the event of a subdivision of the outstanding Stock, a declaration of a dividend payable in Shares, a declaration of an extraordinary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payable in a form other than Shares in an amount that has a material effect on the Fair Market Value of the Stock, a combination or consolidation of the outstanding Stock into a lesser number of Shares, a recapitalization, a spin-off, a reclassification, or a similar occurrence, the Board shall make appropriate adjustments to one or more of the following: (i) the number of Shares available for future awards under Section 5;</w:t>
      </w:r>
    </w:p>
    <w:p>
      <w:pPr>
        <w:spacing w:after="0" w:line="2" w:lineRule="exact"/>
        <w:rPr>
          <w:sz w:val="20"/>
          <w:szCs w:val="20"/>
          <w:color w:val="auto"/>
        </w:rPr>
      </w:pPr>
    </w:p>
    <w:p>
      <w:pPr>
        <w:ind w:left="660" w:right="420" w:hanging="4"/>
        <w:spacing w:after="0" w:line="261" w:lineRule="auto"/>
        <w:tabs>
          <w:tab w:leader="none" w:pos="92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number of Shares covered by each outstanding Option; (iii) the Exercise Price under each outstanding Option; or (iv) the price of Shares subject to the Company’s right of repurchase.</w:t>
      </w:r>
    </w:p>
    <w:p>
      <w:pPr>
        <w:spacing w:after="0" w:line="184" w:lineRule="exact"/>
        <w:rPr>
          <w:sz w:val="20"/>
          <w:szCs w:val="20"/>
          <w:color w:val="auto"/>
        </w:rPr>
      </w:pPr>
    </w:p>
    <w:p>
      <w:pPr>
        <w:ind w:left="660" w:right="68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i w:val="1"/>
          <w:iCs w:val="1"/>
          <w:color w:val="auto"/>
        </w:rPr>
        <w:t>Dissolution or Liquidation</w:t>
      </w:r>
      <w:r>
        <w:rPr>
          <w:rFonts w:ascii="Arial" w:cs="Arial" w:eastAsia="Arial" w:hAnsi="Arial"/>
          <w:sz w:val="18"/>
          <w:szCs w:val="18"/>
          <w:color w:val="auto"/>
        </w:rPr>
        <w:t>. To the extent not previously exercised or settled, Options shall terminate immediately prior to the dissolution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the Company.</w:t>
      </w:r>
    </w:p>
    <w:p>
      <w:pPr>
        <w:spacing w:after="0" w:line="170" w:lineRule="exact"/>
        <w:rPr>
          <w:sz w:val="20"/>
          <w:szCs w:val="20"/>
          <w:color w:val="auto"/>
        </w:rPr>
      </w:pPr>
    </w:p>
    <w:p>
      <w:pPr>
        <w:ind w:left="660" w:right="20" w:hanging="647"/>
        <w:spacing w:after="0" w:line="293"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Mergers and Consolidations</w:t>
      </w:r>
      <w:r>
        <w:rPr>
          <w:rFonts w:ascii="Arial" w:cs="Arial" w:eastAsia="Arial" w:hAnsi="Arial"/>
          <w:sz w:val="16"/>
          <w:szCs w:val="16"/>
          <w:color w:val="auto"/>
        </w:rPr>
        <w:t>. In the event that the Company is a party to a merger or other consolidation, or in the event of a transaction providing</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sale of all or substantially all of the Company’s stock or assets, outstanding Options shall be subject to the agreement of merger, consolidation or sale. Such agreement may provide for one or more of the following: (i) the continuation of the outstanding Options by the Company, if the Company is a surviving corporation; (ii) the assumption of the Plan and outstanding Options by the surviving corporation or its parent; (iii) the substitution by the surviving corporation or its parent of options with substantially the same terms for such outstanding Options; (iv) immediate exercisability of such outstanding Options followed by the cancellation of such Options; or (v) settlement of the full value of the outstanding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Options (whether or not then exercisable) in cash or cash equivalents followed by the cancellation of such Options; in each case without the Optionee’s consent.</w:t>
      </w:r>
    </w:p>
    <w:p>
      <w:pPr>
        <w:spacing w:after="0" w:line="170" w:lineRule="exact"/>
        <w:rPr>
          <w:sz w:val="20"/>
          <w:szCs w:val="20"/>
          <w:color w:val="auto"/>
        </w:rPr>
      </w:pPr>
    </w:p>
    <w:p>
      <w:pPr>
        <w:ind w:left="660" w:hanging="647"/>
        <w:spacing w:after="0" w:line="293"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i w:val="1"/>
          <w:iCs w:val="1"/>
          <w:color w:val="auto"/>
        </w:rPr>
        <w:t>Reservation of Rights</w:t>
      </w:r>
      <w:r>
        <w:rPr>
          <w:rFonts w:ascii="Arial" w:cs="Arial" w:eastAsia="Arial" w:hAnsi="Arial"/>
          <w:sz w:val="16"/>
          <w:szCs w:val="16"/>
          <w:color w:val="auto"/>
        </w:rPr>
        <w:t>. Except as provided in this Section 9, an Optionee or offeree shall have no rights by reason of any subdivision or consolidation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shares of stock of any class, the payment of any dividend or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6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REPURCHASE RIGHTS</w:t>
      </w:r>
      <w:r>
        <w:rPr>
          <w:rFonts w:ascii="Arial" w:cs="Arial" w:eastAsia="Arial" w:hAnsi="Arial"/>
          <w:sz w:val="17"/>
          <w:szCs w:val="17"/>
          <w:color w:val="auto"/>
        </w:rPr>
        <w:t>.</w:t>
      </w:r>
    </w:p>
    <w:p>
      <w:pPr>
        <w:sectPr>
          <w:pgSz w:w="11900" w:h="16874" w:orient="portrait"/>
          <w:cols w:equalWidth="0" w:num="1">
            <w:col w:w="11420"/>
          </w:cols>
          <w:pgMar w:left="240" w:top="125" w:right="239" w:bottom="0" w:gutter="0" w:footer="0" w:header="0"/>
        </w:sectPr>
      </w:pPr>
    </w:p>
    <w:bookmarkStart w:id="265" w:name="page266"/>
    <w:bookmarkEnd w:id="265"/>
    <w:p>
      <w:pPr>
        <w:ind w:left="640" w:right="20" w:hanging="647"/>
        <w:spacing w:after="0" w:line="272"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i w:val="1"/>
          <w:iCs w:val="1"/>
          <w:color w:val="auto"/>
        </w:rPr>
        <w:t>Company’s Right To Repurchase Shares</w:t>
      </w:r>
      <w:r>
        <w:rPr>
          <w:rFonts w:ascii="Arial" w:cs="Arial" w:eastAsia="Arial" w:hAnsi="Arial"/>
          <w:sz w:val="17"/>
          <w:szCs w:val="17"/>
          <w:color w:val="auto"/>
        </w:rPr>
        <w:t>. The Company shall have the right to repurchase Shares that have been acquired through an award or sale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exercise of an Option upon termination of the Purchaser’s or Optionee’s Service if provided in the applicable Restricted Share Agreement or Stock Option Agreement. Subject to the following restrictions, the Board in its sole discretion shall determine when the right to repurchase shall lapse as to all or any portion of the Shares, and may, in its discretion, provide for accelerated vesting in the event of a Change in Control or other events; provided, however, that the right to repurchase shall lapse as to all of the Shares issued to an Outside Director for service as an Outside Director in the event of a Change in Control. The following restrictions shall apply in the case of a Purchaser or Optionee who is not a Consultant or an officer or director of the Company, a Parent or Subsidiary:</w:t>
      </w:r>
    </w:p>
    <w:p>
      <w:pPr>
        <w:spacing w:after="0" w:line="178" w:lineRule="exact"/>
        <w:rPr>
          <w:sz w:val="20"/>
          <w:szCs w:val="20"/>
          <w:color w:val="auto"/>
        </w:rPr>
      </w:pPr>
    </w:p>
    <w:p>
      <w:pPr>
        <w:ind w:left="1300" w:right="200" w:hanging="644"/>
        <w:spacing w:after="0" w:line="342" w:lineRule="auto"/>
        <w:tabs>
          <w:tab w:leader="none" w:pos="1297" w:val="left"/>
        </w:tabs>
        <w:numPr>
          <w:ilvl w:val="0"/>
          <w:numId w:val="232"/>
        </w:numPr>
        <w:rPr>
          <w:rFonts w:ascii="Arial" w:cs="Arial" w:eastAsia="Arial" w:hAnsi="Arial"/>
          <w:sz w:val="16"/>
          <w:szCs w:val="16"/>
          <w:color w:val="auto"/>
        </w:rPr>
      </w:pPr>
      <w:r>
        <w:rPr>
          <w:rFonts w:ascii="Arial" w:cs="Arial" w:eastAsia="Arial" w:hAnsi="Arial"/>
          <w:sz w:val="16"/>
          <w:szCs w:val="16"/>
          <w:u w:val="single" w:color="auto"/>
          <w:color w:val="auto"/>
        </w:rPr>
        <w:t>Repurchase Price</w:t>
      </w:r>
      <w:r>
        <w:rPr>
          <w:rFonts w:ascii="Arial" w:cs="Arial" w:eastAsia="Arial" w:hAnsi="Arial"/>
          <w:sz w:val="16"/>
          <w:szCs w:val="16"/>
          <w:color w:val="auto"/>
        </w:rPr>
        <w:t>. If the Company retains a right to repurchase the Shares at not less than the Fair Market Value of the Shares on the date that the Purchaser’s Service terminates, then such repurchase right shall terminate when the Company’s Stock becomes publicly traded.</w:t>
      </w:r>
    </w:p>
    <w:p>
      <w:pPr>
        <w:spacing w:after="0" w:line="123" w:lineRule="exact"/>
        <w:rPr>
          <w:rFonts w:ascii="Arial" w:cs="Arial" w:eastAsia="Arial" w:hAnsi="Arial"/>
          <w:sz w:val="16"/>
          <w:szCs w:val="16"/>
          <w:color w:val="auto"/>
        </w:rPr>
      </w:pPr>
    </w:p>
    <w:p>
      <w:pPr>
        <w:ind w:left="1300" w:hanging="644"/>
        <w:spacing w:after="0" w:line="264" w:lineRule="auto"/>
        <w:tabs>
          <w:tab w:leader="none" w:pos="1307"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Exercise of Repurchase Right</w:t>
      </w:r>
      <w:r>
        <w:rPr>
          <w:rFonts w:ascii="Arial" w:cs="Arial" w:eastAsia="Arial" w:hAnsi="Arial"/>
          <w:sz w:val="18"/>
          <w:szCs w:val="18"/>
          <w:color w:val="auto"/>
        </w:rPr>
        <w:t>. The Company’s right of repurchase under this Section 10.1 may be exercised only within ninety (90) days of the date on which the Purchaser’s or Optionee’s Service terminates or, if the Optionee acquired the Shares upon exercise of an Option after the date of termination, within ninety (90) days from the date of exercise.</w:t>
      </w:r>
    </w:p>
    <w:p>
      <w:pPr>
        <w:spacing w:after="0" w:line="181" w:lineRule="exact"/>
        <w:rPr>
          <w:rFonts w:ascii="Arial" w:cs="Arial" w:eastAsia="Arial" w:hAnsi="Arial"/>
          <w:sz w:val="18"/>
          <w:szCs w:val="18"/>
          <w:color w:val="auto"/>
        </w:rPr>
      </w:pPr>
    </w:p>
    <w:p>
      <w:pPr>
        <w:ind w:left="1300" w:right="280" w:hanging="644"/>
        <w:spacing w:after="0" w:line="277" w:lineRule="auto"/>
        <w:tabs>
          <w:tab w:leader="none" w:pos="131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Payment of Repurchase Price</w:t>
      </w:r>
      <w:r>
        <w:rPr>
          <w:rFonts w:ascii="Arial" w:cs="Arial" w:eastAsia="Arial" w:hAnsi="Arial"/>
          <w:sz w:val="18"/>
          <w:szCs w:val="18"/>
          <w:color w:val="auto"/>
        </w:rPr>
        <w:t>. The Company shall pay the repurchase price in cash, cash equivalents or for cancellation of indebtedness incurred in purchasing the Shares.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WITHHOLDING TAXES</w:t>
      </w:r>
      <w:r>
        <w:rPr>
          <w:rFonts w:ascii="Arial" w:cs="Arial" w:eastAsia="Arial" w:hAnsi="Arial"/>
          <w:sz w:val="17"/>
          <w:szCs w:val="17"/>
          <w:color w:val="auto"/>
        </w:rPr>
        <w:t>.</w:t>
      </w:r>
    </w:p>
    <w:p>
      <w:pPr>
        <w:spacing w:after="0" w:line="225" w:lineRule="exact"/>
        <w:rPr>
          <w:sz w:val="20"/>
          <w:szCs w:val="20"/>
          <w:color w:val="auto"/>
        </w:rPr>
      </w:pPr>
    </w:p>
    <w:p>
      <w:pPr>
        <w:ind w:left="640" w:right="280" w:hanging="647"/>
        <w:spacing w:after="0" w:line="264"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i w:val="1"/>
          <w:iCs w:val="1"/>
          <w:color w:val="auto"/>
        </w:rPr>
        <w:t>General</w:t>
      </w:r>
      <w:r>
        <w:rPr>
          <w:rFonts w:ascii="Arial" w:cs="Arial" w:eastAsia="Arial" w:hAnsi="Arial"/>
          <w:sz w:val="18"/>
          <w:szCs w:val="18"/>
          <w:color w:val="auto"/>
        </w:rPr>
        <w:t>. An Optionee or Purchaser or his or her successor shall pay, or make arrangements satisfactory to the Board for the satisfaction of, any</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local or foreign withholding tax obligations that may arise in connection with the Plan. The Company shall not be required to issue any Shares or make any cash payment under the Plan until such obligations are satisfied.</w:t>
      </w:r>
    </w:p>
    <w:p>
      <w:pPr>
        <w:spacing w:after="0" w:line="181" w:lineRule="exact"/>
        <w:rPr>
          <w:sz w:val="20"/>
          <w:szCs w:val="20"/>
          <w:color w:val="auto"/>
        </w:rPr>
      </w:pPr>
    </w:p>
    <w:p>
      <w:pPr>
        <w:ind w:left="640" w:right="40" w:hanging="647"/>
        <w:spacing w:after="0" w:line="273" w:lineRule="auto"/>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i w:val="1"/>
          <w:iCs w:val="1"/>
          <w:color w:val="auto"/>
        </w:rPr>
        <w:t>Share Withholding</w:t>
      </w:r>
      <w:r>
        <w:rPr>
          <w:rFonts w:ascii="Arial" w:cs="Arial" w:eastAsia="Arial" w:hAnsi="Arial"/>
          <w:sz w:val="17"/>
          <w:szCs w:val="17"/>
          <w:color w:val="auto"/>
        </w:rPr>
        <w:t>. The Board (in its sole discretion) may permit an Optionee or Purchaser to satisfy all or part of his or her withholding or income</w:t>
      </w:r>
      <w:r>
        <w:rPr>
          <w:rFonts w:ascii="Arial" w:cs="Arial" w:eastAsia="Arial" w:hAnsi="Arial"/>
          <w:sz w:val="17"/>
          <w:szCs w:val="17"/>
          <w:i w:val="1"/>
          <w:iCs w:val="1"/>
          <w:color w:val="auto"/>
        </w:rPr>
        <w:t xml:space="preserve"> </w:t>
      </w:r>
      <w:r>
        <w:rPr>
          <w:rFonts w:ascii="Arial" w:cs="Arial" w:eastAsia="Arial" w:hAnsi="Arial"/>
          <w:sz w:val="17"/>
          <w:szCs w:val="17"/>
          <w:color w:val="auto"/>
        </w:rPr>
        <w:t>tax obligations by having the Company withhold all or a portion of any Shares that otherwise would be issued to him or her or by surrendering all or a portion of any Shares that he or she previously acquired; provided, however, that in no event may an Optionee or Purchaser surrender Shares in excess of the legally required withholding amount. Such Shares shall be valued at their Fair Market Value on the date when taxes otherwise would be withheld in cash. Any payment of taxes by assigning Shares to the Company may be subject to restrictions, including any restrictions required by rules of any federal or state regulatory body or other authority.</w:t>
      </w:r>
    </w:p>
    <w:p>
      <w:pPr>
        <w:spacing w:after="0" w:line="178" w:lineRule="exact"/>
        <w:rPr>
          <w:sz w:val="20"/>
          <w:szCs w:val="20"/>
          <w:color w:val="auto"/>
        </w:rPr>
      </w:pPr>
    </w:p>
    <w:p>
      <w:pPr>
        <w:ind w:left="640" w:right="660" w:hanging="647"/>
        <w:spacing w:after="0" w:line="308"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i w:val="1"/>
          <w:iCs w:val="1"/>
          <w:color w:val="auto"/>
        </w:rPr>
        <w:t>Cashless Exercise/Pledge</w:t>
      </w:r>
      <w:r>
        <w:rPr>
          <w:rFonts w:ascii="Arial" w:cs="Arial" w:eastAsia="Arial" w:hAnsi="Arial"/>
          <w:sz w:val="17"/>
          <w:szCs w:val="17"/>
          <w:color w:val="auto"/>
        </w:rPr>
        <w:t>. The Board (in its sole discretion) may provide that if Company Shares are publicly traded at the time of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may be made to meet the Optionee’s or Purchaser’s withholding obligation by cashless exercise or pledge.</w:t>
      </w:r>
    </w:p>
    <w:p>
      <w:pPr>
        <w:spacing w:after="0" w:line="14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SECURITIES LAW REQUIREMENTS</w:t>
      </w:r>
      <w:r>
        <w:rPr>
          <w:rFonts w:ascii="Arial" w:cs="Arial" w:eastAsia="Arial" w:hAnsi="Arial"/>
          <w:sz w:val="17"/>
          <w:szCs w:val="17"/>
          <w:color w:val="auto"/>
        </w:rPr>
        <w:t>.</w:t>
      </w:r>
    </w:p>
    <w:p>
      <w:pPr>
        <w:spacing w:after="0" w:line="225" w:lineRule="exact"/>
        <w:rPr>
          <w:sz w:val="20"/>
          <w:szCs w:val="20"/>
          <w:color w:val="auto"/>
        </w:rPr>
      </w:pPr>
    </w:p>
    <w:p>
      <w:pPr>
        <w:ind w:left="640" w:right="140" w:hanging="647"/>
        <w:spacing w:after="0" w:line="312"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General</w:t>
      </w:r>
      <w:r>
        <w:rPr>
          <w:rFonts w:ascii="Arial" w:cs="Arial" w:eastAsia="Arial" w:hAnsi="Arial"/>
          <w:sz w:val="16"/>
          <w:szCs w:val="16"/>
          <w:color w:val="auto"/>
        </w:rPr>
        <w:t>. Shares shall not be issued under the Plan unless the issuance and delivery of such Shares complies with (or is exempt from) all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law, including (without limitation) the Securities Act, the rules and regulations promulgated thereunder, state securities laws and regulations, and the regulations of any stock exchange or other securities market on which the Company’s securities may then be listed.</w:t>
      </w:r>
    </w:p>
    <w:p>
      <w:pPr>
        <w:spacing w:after="0" w:line="147" w:lineRule="exact"/>
        <w:rPr>
          <w:sz w:val="20"/>
          <w:szCs w:val="20"/>
          <w:color w:val="auto"/>
        </w:rPr>
      </w:pPr>
    </w:p>
    <w:p>
      <w:pPr>
        <w:jc w:val="both"/>
        <w:ind w:left="640" w:right="80" w:hanging="647"/>
        <w:spacing w:after="0" w:line="31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i w:val="1"/>
          <w:iCs w:val="1"/>
          <w:color w:val="auto"/>
        </w:rPr>
        <w:t>Voting and Dividend Rights</w:t>
      </w:r>
      <w:r>
        <w:rPr>
          <w:rFonts w:ascii="Arial" w:cs="Arial" w:eastAsia="Arial" w:hAnsi="Arial"/>
          <w:sz w:val="16"/>
          <w:szCs w:val="16"/>
          <w:color w:val="auto"/>
        </w:rPr>
        <w:t>. The holders of Shares acquired under the Plan shall have the same voting, dividend and other rights as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other stockholders. A Restricted Share Agreement, however, may require that the holders of Shares invest any cash dividends received in additional Shares. Such additional Shares shall be subject to the same conditions and restrictions as the award with respect to which the dividends were paid.</w:t>
      </w:r>
    </w:p>
    <w:p>
      <w:pPr>
        <w:spacing w:after="0" w:line="14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NO RETENTION RIGHTS</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No provision of the Plan, or any right or Option granted under the Plan, shall be construed to give any Optionee or Purchaser any right to become an Employee, to be treated as an Employee, or to continue in Service for any period of time, or restrict in any way the rights of the Company (or Parent or subsidiary to whom the Optionee or Purchaser provides Service),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which rights are expressly reserved, to terminate the Service of such person at any time and for any reason, with or without cause, without thereby incurring any liability to him or her.</w:t>
      </w:r>
    </w:p>
    <w:p>
      <w:pPr>
        <w:spacing w:after="0" w:line="17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7"/>
          <w:szCs w:val="17"/>
          <w:u w:val="single" w:color="auto"/>
          <w:color w:val="auto"/>
        </w:rPr>
        <w:t>DURATION AND AMENDMENTS</w:t>
      </w:r>
      <w:r>
        <w:rPr>
          <w:rFonts w:ascii="Arial" w:cs="Arial" w:eastAsia="Arial" w:hAnsi="Arial"/>
          <w:sz w:val="17"/>
          <w:szCs w:val="17"/>
          <w:color w:val="auto"/>
        </w:rPr>
        <w:t>.</w:t>
      </w:r>
    </w:p>
    <w:p>
      <w:pPr>
        <w:spacing w:after="0" w:line="225" w:lineRule="exact"/>
        <w:rPr>
          <w:sz w:val="20"/>
          <w:szCs w:val="20"/>
          <w:color w:val="auto"/>
        </w:rPr>
      </w:pPr>
    </w:p>
    <w:p>
      <w:pPr>
        <w:ind w:left="640" w:right="60" w:hanging="647"/>
        <w:spacing w:after="0" w:line="257"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i w:val="1"/>
          <w:iCs w:val="1"/>
          <w:color w:val="auto"/>
        </w:rPr>
        <w:t>Term of the Plan</w:t>
      </w:r>
      <w:r>
        <w:rPr>
          <w:rFonts w:ascii="Arial" w:cs="Arial" w:eastAsia="Arial" w:hAnsi="Arial"/>
          <w:sz w:val="18"/>
          <w:szCs w:val="18"/>
          <w:color w:val="auto"/>
        </w:rPr>
        <w:t>. The Plan, as set forth herein, shall become effective on the date of its adoption by the Board, subject to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stockholders. In the event that the stockholders fail to approve the Plan within twelve (12) months after its adoption by the Board, any grants, exercises or sales that have already occurred under the Plan shall be rescinded, and no additional grants, exercises or sales shall be made under the Plan after such date. The Plan shall terminate automatically ten (10) years after its adoption by the Board. The Plan may be terminated on any earlier date pursuant to Section 14.2 below.</w:t>
      </w:r>
    </w:p>
    <w:p>
      <w:pPr>
        <w:spacing w:after="0" w:line="188" w:lineRule="exact"/>
        <w:rPr>
          <w:sz w:val="20"/>
          <w:szCs w:val="20"/>
          <w:color w:val="auto"/>
        </w:rPr>
      </w:pPr>
    </w:p>
    <w:p>
      <w:pPr>
        <w:jc w:val="both"/>
        <w:ind w:left="640" w:right="60" w:hanging="647"/>
        <w:spacing w:after="0" w:line="259"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i w:val="1"/>
          <w:iCs w:val="1"/>
          <w:color w:val="auto"/>
        </w:rPr>
        <w:t>Right to Amend or Terminate the Plan</w:t>
      </w:r>
      <w:r>
        <w:rPr>
          <w:rFonts w:ascii="Arial" w:cs="Arial" w:eastAsia="Arial" w:hAnsi="Arial"/>
          <w:sz w:val="18"/>
          <w:szCs w:val="18"/>
          <w:color w:val="auto"/>
        </w:rPr>
        <w:t>. The Board may amend, suspend, or terminate the Plan at any time and for any reason. An amendment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shall not be subject to the approval of the Company’s stockholders unless it (i) increases the number of Shares available for issuance under the Plan (except as provided in Section 9) or (ii) materially changes the class of persons who are eligible for the grant of Options or the award or sale of Shares.</w:t>
      </w:r>
    </w:p>
    <w:p>
      <w:pPr>
        <w:sectPr>
          <w:pgSz w:w="11900" w:h="16838" w:orient="portrait"/>
          <w:cols w:equalWidth="0" w:num="1">
            <w:col w:w="11420"/>
          </w:cols>
          <w:pgMar w:left="240" w:top="341" w:right="239" w:bottom="0" w:gutter="0" w:footer="0" w:header="0"/>
        </w:sectPr>
      </w:pPr>
    </w:p>
    <w:bookmarkStart w:id="266" w:name="page267"/>
    <w:bookmarkEnd w:id="266"/>
    <w:p>
      <w:pPr>
        <w:spacing w:after="0" w:line="36" w:lineRule="exact"/>
        <w:rPr>
          <w:sz w:val="20"/>
          <w:szCs w:val="20"/>
          <w:color w:val="auto"/>
        </w:rPr>
      </w:pPr>
    </w:p>
    <w:p>
      <w:pPr>
        <w:ind w:left="640" w:right="260" w:hanging="647"/>
        <w:spacing w:after="0" w:line="264"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i w:val="1"/>
          <w:iCs w:val="1"/>
          <w:color w:val="auto"/>
        </w:rPr>
        <w:t>Effect of Amendment or Termination</w:t>
      </w:r>
      <w:r>
        <w:rPr>
          <w:rFonts w:ascii="Arial" w:cs="Arial" w:eastAsia="Arial" w:hAnsi="Arial"/>
          <w:sz w:val="18"/>
          <w:szCs w:val="18"/>
          <w:color w:val="auto"/>
        </w:rPr>
        <w:t>. No Shares shall be issued or sold under the Plan after the termination thereof, except upon exercise of an</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prior to such termination. The termination of the Plan, or any amendment thereof, shall not adversely affect any Shares previously issued or any Option previously granted under the Plan without the holder’s consent.</w:t>
      </w:r>
    </w:p>
    <w:p>
      <w:pPr>
        <w:spacing w:after="0" w:line="18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7"/>
          <w:szCs w:val="17"/>
          <w:u w:val="single" w:color="auto"/>
          <w:color w:val="auto"/>
        </w:rPr>
        <w:t>EXECUTION</w:t>
      </w:r>
      <w:r>
        <w:rPr>
          <w:rFonts w:ascii="Arial" w:cs="Arial" w:eastAsia="Arial" w:hAnsi="Arial"/>
          <w:sz w:val="17"/>
          <w:szCs w:val="17"/>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To record the adoption of the Plan by the Board on March 1, 2008, effective on such date, the Company has caused its authorized officer to execute the same.</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10GEN, INC.</w:t>
      </w:r>
    </w:p>
    <w:p>
      <w:pPr>
        <w:spacing w:after="0" w:line="22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 Eliot Horowitz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Eliot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Chief Executive Officer</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OR QUALIFIED UNDER THE U.S. SECURITIES ACT OF 1933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GRANT</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MongoDB, Inc. (the “Company”) hereby grants you the following Option to purchase shares of its Class A common stock (“Shares”). The terms and conditions of this Option are set forth in the Stock Option Agreement and the 10Gen, Inc. 2008 Stock Incentive Plan (the “Plan”), both of which are incorporated by reference and made a part of this document.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8560" w:type="dxa"/>
            <w:vAlign w:val="bottom"/>
          </w:tcPr>
          <w:p>
            <w:pPr>
              <w:ind w:left="1000"/>
              <w:spacing w:after="0"/>
              <w:rPr>
                <w:sz w:val="20"/>
                <w:szCs w:val="20"/>
                <w:color w:val="auto"/>
              </w:rPr>
            </w:pPr>
            <w:r>
              <w:rPr>
                <w:rFonts w:ascii="Arial" w:cs="Arial" w:eastAsia="Arial" w:hAnsi="Arial"/>
                <w:sz w:val="18"/>
                <w:szCs w:val="18"/>
                <w:color w:val="auto"/>
              </w:rPr>
              <w:t>[Date of Grant]</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8560" w:type="dxa"/>
            <w:vAlign w:val="bottom"/>
          </w:tcPr>
          <w:p>
            <w:pPr>
              <w:ind w:left="1000"/>
              <w:spacing w:after="0"/>
              <w:rPr>
                <w:sz w:val="20"/>
                <w:szCs w:val="20"/>
                <w:color w:val="auto"/>
              </w:rPr>
            </w:pPr>
            <w:r>
              <w:rPr>
                <w:rFonts w:ascii="Arial" w:cs="Arial" w:eastAsia="Arial" w:hAnsi="Arial"/>
                <w:sz w:val="18"/>
                <w:szCs w:val="18"/>
                <w:color w:val="auto"/>
              </w:rPr>
              <w:t>[First Name Last Name]</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Number of Option Shares:</w:t>
            </w:r>
          </w:p>
        </w:tc>
        <w:tc>
          <w:tcPr>
            <w:tcW w:w="8560" w:type="dxa"/>
            <w:vAlign w:val="bottom"/>
          </w:tcPr>
          <w:p>
            <w:pPr>
              <w:ind w:left="1000"/>
              <w:spacing w:after="0"/>
              <w:rPr>
                <w:sz w:val="20"/>
                <w:szCs w:val="20"/>
                <w:color w:val="auto"/>
              </w:rPr>
            </w:pPr>
            <w:r>
              <w:rPr>
                <w:rFonts w:ascii="Arial" w:cs="Arial" w:eastAsia="Arial" w:hAnsi="Arial"/>
                <w:sz w:val="18"/>
                <w:szCs w:val="18"/>
                <w:color w:val="auto"/>
              </w:rPr>
              <w:t>[Options Granted]</w:t>
            </w:r>
          </w:p>
        </w:tc>
      </w:tr>
      <w:tr>
        <w:trPr>
          <w:trHeight w:val="418"/>
        </w:trPr>
        <w:tc>
          <w:tcPr>
            <w:tcW w:w="2900" w:type="dxa"/>
            <w:vAlign w:val="bottom"/>
          </w:tcPr>
          <w:p>
            <w:pPr>
              <w:spacing w:after="0"/>
              <w:rPr>
                <w:sz w:val="20"/>
                <w:szCs w:val="20"/>
                <w:color w:val="auto"/>
              </w:rPr>
            </w:pPr>
            <w:r>
              <w:rPr>
                <w:rFonts w:ascii="Arial" w:cs="Arial" w:eastAsia="Arial" w:hAnsi="Arial"/>
                <w:sz w:val="18"/>
                <w:szCs w:val="18"/>
                <w:i w:val="1"/>
                <w:iCs w:val="1"/>
                <w:color w:val="auto"/>
              </w:rPr>
              <w:t>Exercise Price per Share:</w:t>
            </w:r>
          </w:p>
        </w:tc>
        <w:tc>
          <w:tcPr>
            <w:tcW w:w="8560" w:type="dxa"/>
            <w:vAlign w:val="bottom"/>
          </w:tcPr>
          <w:p>
            <w:pPr>
              <w:ind w:left="1000"/>
              <w:spacing w:after="0"/>
              <w:rPr>
                <w:sz w:val="20"/>
                <w:szCs w:val="20"/>
                <w:color w:val="auto"/>
              </w:rPr>
            </w:pPr>
            <w:r>
              <w:rPr>
                <w:rFonts w:ascii="Arial" w:cs="Arial" w:eastAsia="Arial" w:hAnsi="Arial"/>
                <w:sz w:val="18"/>
                <w:szCs w:val="18"/>
                <w:color w:val="auto"/>
                <w:w w:val="92"/>
              </w:rPr>
              <w:t>[Exercise Price] (The Exercise Price per Share of an Option shall not be less than one hundred percent</w:t>
            </w:r>
          </w:p>
        </w:tc>
      </w:tr>
      <w:tr>
        <w:trPr>
          <w:trHeight w:val="216"/>
        </w:trPr>
        <w:tc>
          <w:tcPr>
            <w:tcW w:w="2900" w:type="dxa"/>
            <w:vAlign w:val="bottom"/>
          </w:tcPr>
          <w:p>
            <w:pPr>
              <w:spacing w:after="0"/>
              <w:rPr>
                <w:sz w:val="18"/>
                <w:szCs w:val="18"/>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rPr>
              <w:t>(100%) of the Fair Market Value of a Share on the date of grant. If Optionee is a Ten-Percent</w:t>
            </w:r>
          </w:p>
        </w:tc>
      </w:tr>
      <w:tr>
        <w:trPr>
          <w:trHeight w:val="216"/>
        </w:trPr>
        <w:tc>
          <w:tcPr>
            <w:tcW w:w="2900" w:type="dxa"/>
            <w:vAlign w:val="bottom"/>
          </w:tcPr>
          <w:p>
            <w:pPr>
              <w:spacing w:after="0"/>
              <w:rPr>
                <w:sz w:val="18"/>
                <w:szCs w:val="18"/>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w w:val="89"/>
              </w:rPr>
              <w:t>Stockholder, the Exercise Price per Share of an ISO or an NSO must be at least one hundred ten percent</w:t>
            </w:r>
          </w:p>
        </w:tc>
      </w:tr>
      <w:tr>
        <w:trPr>
          <w:trHeight w:val="230"/>
        </w:trPr>
        <w:tc>
          <w:tcPr>
            <w:tcW w:w="2900" w:type="dxa"/>
            <w:vAlign w:val="bottom"/>
          </w:tcPr>
          <w:p>
            <w:pPr>
              <w:spacing w:after="0"/>
              <w:rPr>
                <w:sz w:val="20"/>
                <w:szCs w:val="20"/>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rPr>
              <w:t>(110%) of Fair Market Value.)</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Vesting Start Date:</w:t>
            </w:r>
          </w:p>
        </w:tc>
        <w:tc>
          <w:tcPr>
            <w:tcW w:w="8560" w:type="dxa"/>
            <w:vAlign w:val="bottom"/>
          </w:tcPr>
          <w:p>
            <w:pPr>
              <w:ind w:left="1000"/>
              <w:spacing w:after="0"/>
              <w:rPr>
                <w:sz w:val="20"/>
                <w:szCs w:val="20"/>
                <w:color w:val="auto"/>
              </w:rPr>
            </w:pPr>
            <w:r>
              <w:rPr>
                <w:rFonts w:ascii="Arial" w:cs="Arial" w:eastAsia="Arial" w:hAnsi="Arial"/>
                <w:sz w:val="18"/>
                <w:szCs w:val="18"/>
                <w:color w:val="auto"/>
              </w:rPr>
              <w:t>[Vesting Start Date]</w:t>
            </w:r>
          </w:p>
        </w:tc>
      </w:tr>
      <w:tr>
        <w:trPr>
          <w:trHeight w:val="432"/>
        </w:trPr>
        <w:tc>
          <w:tcPr>
            <w:tcW w:w="2900" w:type="dxa"/>
            <w:vAlign w:val="bottom"/>
          </w:tcPr>
          <w:p>
            <w:pPr>
              <w:spacing w:after="0"/>
              <w:rPr>
                <w:sz w:val="20"/>
                <w:szCs w:val="20"/>
                <w:color w:val="auto"/>
              </w:rPr>
            </w:pPr>
            <w:r>
              <w:rPr>
                <w:rFonts w:ascii="Arial" w:cs="Arial" w:eastAsia="Arial" w:hAnsi="Arial"/>
                <w:sz w:val="18"/>
                <w:szCs w:val="18"/>
                <w:i w:val="1"/>
                <w:iCs w:val="1"/>
                <w:color w:val="auto"/>
              </w:rPr>
              <w:t>Type of Option:</w:t>
            </w:r>
          </w:p>
        </w:tc>
        <w:tc>
          <w:tcPr>
            <w:tcW w:w="8560" w:type="dxa"/>
            <w:vAlign w:val="bottom"/>
          </w:tcPr>
          <w:p>
            <w:pPr>
              <w:ind w:left="1000"/>
              <w:spacing w:after="0"/>
              <w:rPr>
                <w:sz w:val="20"/>
                <w:szCs w:val="20"/>
                <w:color w:val="auto"/>
              </w:rPr>
            </w:pPr>
            <w:r>
              <w:rPr>
                <w:rFonts w:ascii="Arial" w:cs="Arial" w:eastAsia="Arial" w:hAnsi="Arial"/>
                <w:sz w:val="18"/>
                <w:szCs w:val="18"/>
                <w:color w:val="auto"/>
              </w:rPr>
              <w:t>Type of Grant: NSO</w:t>
            </w:r>
          </w:p>
        </w:tc>
      </w:tr>
      <w:tr>
        <w:trPr>
          <w:trHeight w:val="418"/>
        </w:trPr>
        <w:tc>
          <w:tcPr>
            <w:tcW w:w="2900" w:type="dxa"/>
            <w:vAlign w:val="bottom"/>
          </w:tcPr>
          <w:p>
            <w:pPr>
              <w:spacing w:after="0"/>
              <w:rPr>
                <w:sz w:val="20"/>
                <w:szCs w:val="20"/>
                <w:color w:val="auto"/>
              </w:rPr>
            </w:pPr>
            <w:r>
              <w:rPr>
                <w:rFonts w:ascii="Arial" w:cs="Arial" w:eastAsia="Arial" w:hAnsi="Arial"/>
                <w:sz w:val="18"/>
                <w:szCs w:val="18"/>
                <w:i w:val="1"/>
                <w:iCs w:val="1"/>
                <w:color w:val="auto"/>
              </w:rPr>
              <w:t>Vesting Schedule:</w:t>
            </w:r>
          </w:p>
        </w:tc>
        <w:tc>
          <w:tcPr>
            <w:tcW w:w="8560" w:type="dxa"/>
            <w:vAlign w:val="bottom"/>
          </w:tcPr>
          <w:p>
            <w:pPr>
              <w:ind w:left="1000"/>
              <w:spacing w:after="0"/>
              <w:rPr>
                <w:sz w:val="20"/>
                <w:szCs w:val="20"/>
                <w:color w:val="auto"/>
              </w:rPr>
            </w:pPr>
            <w:r>
              <w:rPr>
                <w:rFonts w:ascii="Arial" w:cs="Arial" w:eastAsia="Arial" w:hAnsi="Arial"/>
                <w:sz w:val="18"/>
                <w:szCs w:val="18"/>
                <w:color w:val="auto"/>
                <w:w w:val="91"/>
              </w:rPr>
              <w:t>The Option vests with respect to the first 25% of the Shares when the Optionee completes 12 months of</w:t>
            </w:r>
          </w:p>
        </w:tc>
      </w:tr>
      <w:tr>
        <w:trPr>
          <w:trHeight w:val="216"/>
        </w:trPr>
        <w:tc>
          <w:tcPr>
            <w:tcW w:w="2900" w:type="dxa"/>
            <w:vAlign w:val="bottom"/>
          </w:tcPr>
          <w:p>
            <w:pPr>
              <w:spacing w:after="0"/>
              <w:rPr>
                <w:sz w:val="18"/>
                <w:szCs w:val="18"/>
                <w:color w:val="auto"/>
              </w:rPr>
            </w:pPr>
          </w:p>
        </w:tc>
        <w:tc>
          <w:tcPr>
            <w:tcW w:w="8560" w:type="dxa"/>
            <w:vAlign w:val="bottom"/>
          </w:tcPr>
          <w:p>
            <w:pPr>
              <w:ind w:left="1000"/>
              <w:spacing w:after="0" w:line="216" w:lineRule="exact"/>
              <w:rPr>
                <w:sz w:val="20"/>
                <w:szCs w:val="20"/>
                <w:color w:val="auto"/>
              </w:rPr>
            </w:pPr>
            <w:r>
              <w:rPr>
                <w:rFonts w:ascii="Arial" w:cs="Arial" w:eastAsia="Arial" w:hAnsi="Arial"/>
                <w:sz w:val="18"/>
                <w:szCs w:val="18"/>
                <w:color w:val="auto"/>
                <w:w w:val="93"/>
              </w:rPr>
              <w:t>continuous Service after the Vesting Start Date, and with respect to an additional 1/48</w:t>
            </w:r>
            <w:r>
              <w:rPr>
                <w:rFonts w:ascii="Arial" w:cs="Arial" w:eastAsia="Arial" w:hAnsi="Arial"/>
                <w:sz w:val="23"/>
                <w:szCs w:val="23"/>
                <w:color w:val="auto"/>
                <w:w w:val="93"/>
                <w:vertAlign w:val="superscript"/>
              </w:rPr>
              <w:t>th</w:t>
            </w:r>
            <w:r>
              <w:rPr>
                <w:rFonts w:ascii="Arial" w:cs="Arial" w:eastAsia="Arial" w:hAnsi="Arial"/>
                <w:sz w:val="18"/>
                <w:szCs w:val="18"/>
                <w:color w:val="auto"/>
                <w:w w:val="93"/>
              </w:rPr>
              <w:t xml:space="preserve"> of the Shares</w:t>
            </w:r>
          </w:p>
        </w:tc>
      </w:tr>
      <w:tr>
        <w:trPr>
          <w:trHeight w:val="230"/>
        </w:trPr>
        <w:tc>
          <w:tcPr>
            <w:tcW w:w="2900" w:type="dxa"/>
            <w:vAlign w:val="bottom"/>
          </w:tcPr>
          <w:p>
            <w:pPr>
              <w:spacing w:after="0"/>
              <w:rPr>
                <w:sz w:val="20"/>
                <w:szCs w:val="20"/>
                <w:color w:val="auto"/>
              </w:rPr>
            </w:pPr>
          </w:p>
        </w:tc>
        <w:tc>
          <w:tcPr>
            <w:tcW w:w="8560" w:type="dxa"/>
            <w:vAlign w:val="bottom"/>
          </w:tcPr>
          <w:p>
            <w:pPr>
              <w:ind w:left="1000"/>
              <w:spacing w:after="0"/>
              <w:rPr>
                <w:sz w:val="20"/>
                <w:szCs w:val="20"/>
                <w:color w:val="auto"/>
              </w:rPr>
            </w:pPr>
            <w:r>
              <w:rPr>
                <w:rFonts w:ascii="Arial" w:cs="Arial" w:eastAsia="Arial" w:hAnsi="Arial"/>
                <w:sz w:val="18"/>
                <w:szCs w:val="18"/>
                <w:color w:val="auto"/>
              </w:rPr>
              <w:t>when the Optionee completes each full month of continuous Service thereafter.</w:t>
            </w:r>
          </w:p>
        </w:tc>
      </w:tr>
      <w:tr>
        <w:trPr>
          <w:trHeight w:val="418"/>
        </w:trPr>
        <w:tc>
          <w:tcPr>
            <w:tcW w:w="2900" w:type="dxa"/>
            <w:vAlign w:val="bottom"/>
          </w:tcPr>
          <w:p>
            <w:pPr>
              <w:spacing w:after="0"/>
              <w:rPr>
                <w:sz w:val="24"/>
                <w:szCs w:val="24"/>
                <w:color w:val="auto"/>
              </w:rPr>
            </w:pPr>
          </w:p>
        </w:tc>
        <w:tc>
          <w:tcPr>
            <w:tcW w:w="8560" w:type="dxa"/>
            <w:vAlign w:val="bottom"/>
          </w:tcPr>
          <w:p>
            <w:pPr>
              <w:jc w:val="center"/>
              <w:ind w:right="2850"/>
              <w:spacing w:after="0"/>
              <w:rPr>
                <w:sz w:val="20"/>
                <w:szCs w:val="20"/>
                <w:color w:val="auto"/>
              </w:rPr>
            </w:pPr>
            <w:r>
              <w:rPr>
                <w:rFonts w:ascii="Arial" w:cs="Arial" w:eastAsia="Arial" w:hAnsi="Arial"/>
                <w:sz w:val="18"/>
                <w:szCs w:val="18"/>
                <w:color w:val="auto"/>
                <w:w w:val="97"/>
              </w:rPr>
              <w:t>MONGODB, INC.</w:t>
            </w:r>
          </w:p>
        </w:tc>
      </w:tr>
      <w:tr>
        <w:trPr>
          <w:trHeight w:val="230"/>
        </w:trPr>
        <w:tc>
          <w:tcPr>
            <w:tcW w:w="2900" w:type="dxa"/>
            <w:vAlign w:val="bottom"/>
          </w:tcPr>
          <w:p>
            <w:pPr>
              <w:spacing w:after="0"/>
              <w:rPr>
                <w:sz w:val="20"/>
                <w:szCs w:val="20"/>
                <w:color w:val="auto"/>
              </w:rPr>
            </w:pPr>
          </w:p>
        </w:tc>
        <w:tc>
          <w:tcPr>
            <w:tcW w:w="8560" w:type="dxa"/>
            <w:vAlign w:val="bottom"/>
          </w:tcPr>
          <w:p>
            <w:pPr>
              <w:jc w:val="center"/>
              <w:ind w:right="2850"/>
              <w:spacing w:after="0"/>
              <w:rPr>
                <w:sz w:val="20"/>
                <w:szCs w:val="20"/>
                <w:color w:val="auto"/>
              </w:rPr>
            </w:pPr>
            <w:r>
              <w:rPr>
                <w:rFonts w:ascii="Arial" w:cs="Arial" w:eastAsia="Arial" w:hAnsi="Arial"/>
                <w:sz w:val="18"/>
                <w:szCs w:val="18"/>
                <w:color w:val="auto"/>
                <w:w w:val="95"/>
              </w:rPr>
              <w:t>NOTICE OF STOCK OPTION GRANT</w:t>
            </w:r>
          </w:p>
        </w:tc>
      </w:tr>
      <w:tr>
        <w:trPr>
          <w:trHeight w:val="432"/>
        </w:trPr>
        <w:tc>
          <w:tcPr>
            <w:tcW w:w="2900" w:type="dxa"/>
            <w:vAlign w:val="bottom"/>
          </w:tcPr>
          <w:p>
            <w:pPr>
              <w:spacing w:after="0"/>
              <w:rPr>
                <w:sz w:val="24"/>
                <w:szCs w:val="24"/>
                <w:color w:val="auto"/>
              </w:rPr>
            </w:pPr>
          </w:p>
        </w:tc>
        <w:tc>
          <w:tcPr>
            <w:tcW w:w="8560" w:type="dxa"/>
            <w:vAlign w:val="bottom"/>
          </w:tcPr>
          <w:p>
            <w:pPr>
              <w:jc w:val="center"/>
              <w:ind w:right="2850"/>
              <w:spacing w:after="0"/>
              <w:rPr>
                <w:sz w:val="20"/>
                <w:szCs w:val="20"/>
                <w:color w:val="auto"/>
              </w:rPr>
            </w:pPr>
            <w:r>
              <w:rPr>
                <w:rFonts w:ascii="Arial" w:cs="Arial" w:eastAsia="Arial" w:hAnsi="Arial"/>
                <w:sz w:val="18"/>
                <w:szCs w:val="18"/>
                <w:color w:val="auto"/>
                <w:w w:val="99"/>
              </w:rPr>
              <w:t>1</w:t>
            </w:r>
          </w:p>
        </w:tc>
      </w:tr>
      <w:tr>
        <w:trPr>
          <w:trHeight w:val="132"/>
        </w:trPr>
        <w:tc>
          <w:tcPr>
            <w:tcW w:w="2900" w:type="dxa"/>
            <w:vAlign w:val="bottom"/>
            <w:tcBorders>
              <w:bottom w:val="single" w:sz="8" w:color="808080"/>
            </w:tcBorders>
          </w:tcPr>
          <w:p>
            <w:pPr>
              <w:spacing w:after="0"/>
              <w:rPr>
                <w:sz w:val="11"/>
                <w:szCs w:val="11"/>
                <w:color w:val="auto"/>
              </w:rPr>
            </w:pPr>
          </w:p>
        </w:tc>
        <w:tc>
          <w:tcPr>
            <w:tcW w:w="85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By signing this document, you acknowledge receipt of a copy of the Plan, and agree that (a) you have carefully read, fully understand and agree to all of the terms and conditions described in the attached Stock Option Agreement, the Plan document and “Notice of Exercise and Common Stock Purchase Agreement” (the “Exercise Notice”); (b) you hereby make the purchaser’s investment representations contained in the Exercise Notice with respect to the grant of this Option; (c) you understand and agree that the Stock Option Agreement, including its cover sheet and attachments, constitutes the entire understanding between you and the Company regarding this Option, and that any prior agreements, commitments or negotiations concerning this Option are replaced and superseded; and (d) you have been given an opportunity to consult your own legal and tax counsel with respect to all matters relating to this Option prior to signing this cover sheet and that you have either consulted such counsel or voluntarily declined to consult such counsel.</w:t>
      </w:r>
    </w:p>
    <w:p>
      <w:pPr>
        <w:spacing w:after="0" w:line="172" w:lineRule="exact"/>
        <w:rPr>
          <w:sz w:val="20"/>
          <w:szCs w:val="20"/>
          <w:color w:val="auto"/>
        </w:rPr>
      </w:pPr>
    </w:p>
    <w:p>
      <w:pPr>
        <w:ind w:left="340"/>
        <w:spacing w:after="0"/>
        <w:tabs>
          <w:tab w:leader="none" w:pos="5600" w:val="left"/>
        </w:tabs>
        <w:rPr>
          <w:sz w:val="20"/>
          <w:szCs w:val="20"/>
          <w:color w:val="auto"/>
        </w:rPr>
      </w:pPr>
      <w:r>
        <w:rPr>
          <w:rFonts w:ascii="Arial" w:cs="Arial" w:eastAsia="Arial" w:hAnsi="Arial"/>
          <w:sz w:val="18"/>
          <w:szCs w:val="18"/>
          <w:b w:val="1"/>
          <w:bCs w:val="1"/>
          <w:color w:val="auto"/>
        </w:rPr>
        <w:t>[FIRST NAME LAST NAME]</w:t>
      </w:r>
      <w:r>
        <w:rPr>
          <w:sz w:val="20"/>
          <w:szCs w:val="20"/>
          <w:color w:val="auto"/>
        </w:rPr>
        <w:tab/>
      </w: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695515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NOTICE OF STOCK OPTION GRANT</w:t>
      </w:r>
    </w:p>
    <w:p>
      <w:pPr>
        <w:sectPr>
          <w:pgSz w:w="11900" w:h="16875" w:orient="portrait"/>
          <w:cols w:equalWidth="0" w:num="1">
            <w:col w:w="11460"/>
          </w:cols>
          <w:pgMar w:left="240" w:top="125" w:right="199" w:bottom="0" w:gutter="0" w:footer="0" w:header="0"/>
        </w:sectPr>
      </w:pPr>
    </w:p>
    <w:bookmarkStart w:id="267" w:name="page268"/>
    <w:bookmarkEnd w:id="267"/>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1.KIND OF OPTION.</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Option is intended to be either an incentive stock option intended to meet the requirements of section 422 of the Internal Revenue Code (an “ISO”) or a non-statutory option (an “NSO”), which is not intended to meet the requirements of an ISO, as indicated in the Notice of Stock Option Grant. Even if this Option is designated as an ISO, it shall be deemed to be an NSO to the extent required by the $100,000 annual limitation under Section 422(d) of the Code.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2.VESTING.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the terms and conditions of the Plan and this Stock Option Agreement (the “Agreement”), your Option and the Shares shall vest in accordance with the schedule set forth in the Notice of Stock Option Grant. If your Option is granted in consideration of your Service as an Employee or a Consultant, after your Service as an Employee or a Consultant terminates for any reason, vesting of your Shares subject to such Option immediately stops and such Option expires immediately as to the number of Shares that are not vested as of the date your Service as an Employee or a Consultant terminates. If your Option is granted in consideration of your Service as an Outside Director, after your Service as an Outside Director terminates for any reason, vesting of your Shares subject to such Option immediately stops and such Option expires immediately as to the number of Shares that are not vested as of the date your Service as an Outside Director terminates.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3.TERM.</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Your Option will expire in any event at the close of business at Company headquarters on the date that is ten (10) years after the Date of Grant; provided, however, that if your Option is an ISO it will expire five (5) years after the Date of Grant if you are a Ten-Percent Stockholder of the Company (the “Expiration Date”). Also, your Option will expire earlier if your Service terminates, as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4.REGULAR TERMINATION.</w:t>
      </w:r>
    </w:p>
    <w:p>
      <w:pPr>
        <w:spacing w:after="0" w:line="229" w:lineRule="exact"/>
        <w:rPr>
          <w:sz w:val="20"/>
          <w:szCs w:val="20"/>
          <w:color w:val="auto"/>
        </w:rPr>
      </w:pPr>
    </w:p>
    <w:p>
      <w:pPr>
        <w:ind w:left="1300" w:right="60" w:hanging="644"/>
        <w:spacing w:after="0" w:line="259" w:lineRule="auto"/>
        <w:tabs>
          <w:tab w:leader="none" w:pos="129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If your Service terminates for any reason except death or Disability, the vested portion of your Option will expire at the close of business at Company headquarters on the date three (3) months after your termination of Service. During that three (3) month period, you may exercise the portion of your Option that was vested on your termination date. Notwithstanding the foregoing, the Option may not be exercised after the Expiration Date determined under Section 3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100" w:hanging="644"/>
        <w:spacing w:after="0" w:line="264" w:lineRule="auto"/>
        <w:tabs>
          <w:tab w:leader="none" w:pos="1307"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If your Option is an ISO and you exercise it more than three months after termination of your Service as an Employee for any reason other than death or Disability expected to result in death or to last for a continuous period of at least twelve (12) months, your Option will cease to be eligible for ISO tax treatment.</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31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Your Option will cease to be eligible for ISO tax treatment if you exercise it more than three months after the 90th day of a bona fide leave of absence approved by the Company, unless you return to employment immediately upon termination of such leave or your right to reemployment after your leave was guaranteed by statute or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5.DEATH.</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 die while in Service with the Company, the vested portion of your Option will expire at the close of business at Company headquarters on the date twelve (12) months after the date of your death. During that twelve (12) month period, your estate, legatees or heirs may exercise that portion of your Option that was vested on the date of your death. Notwithstanding the foregoing, the Option may not be exercised after the Expiration Date determined under Section 3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6.DISABILITY.</w:t>
      </w:r>
    </w:p>
    <w:p>
      <w:pPr>
        <w:spacing w:after="0" w:line="229" w:lineRule="exact"/>
        <w:rPr>
          <w:sz w:val="20"/>
          <w:szCs w:val="20"/>
          <w:color w:val="auto"/>
        </w:rPr>
      </w:pPr>
    </w:p>
    <w:p>
      <w:pPr>
        <w:ind w:left="1300" w:right="200" w:hanging="644"/>
        <w:spacing w:after="0" w:line="276" w:lineRule="auto"/>
        <w:tabs>
          <w:tab w:leader="none" w:pos="1297" w:val="left"/>
        </w:tabs>
        <w:numPr>
          <w:ilvl w:val="0"/>
          <w:numId w:val="235"/>
        </w:numPr>
        <w:rPr>
          <w:rFonts w:ascii="Arial" w:cs="Arial" w:eastAsia="Arial" w:hAnsi="Arial"/>
          <w:sz w:val="17"/>
          <w:szCs w:val="17"/>
          <w:color w:val="auto"/>
        </w:rPr>
      </w:pPr>
      <w:r>
        <w:rPr>
          <w:rFonts w:ascii="Arial" w:cs="Arial" w:eastAsia="Arial" w:hAnsi="Arial"/>
          <w:sz w:val="17"/>
          <w:szCs w:val="17"/>
          <w:color w:val="auto"/>
        </w:rPr>
        <w:t>If your Service terminates because of a Disability, the vested portion of your Option will expire at the close of business at Company headquarters on the date twelve (12) months after your termination date. During that twelve (12) month period, you may exercise that portion of your Option that was vested on the date of your Disability. “Disability” means that you are unable to engage in any substantial gainful activity by reason of any medically determinable physical or mental impairment. Notwithstanding the foregoing, the Option may not be exercised after the Expiration Date determined under Section 3 above.</w:t>
      </w:r>
    </w:p>
    <w:p>
      <w:pPr>
        <w:spacing w:after="0" w:line="172" w:lineRule="exact"/>
        <w:rPr>
          <w:rFonts w:ascii="Arial" w:cs="Arial" w:eastAsia="Arial" w:hAnsi="Arial"/>
          <w:sz w:val="17"/>
          <w:szCs w:val="17"/>
          <w:color w:val="auto"/>
        </w:rPr>
      </w:pPr>
    </w:p>
    <w:p>
      <w:pPr>
        <w:ind w:left="1300" w:right="140" w:hanging="644"/>
        <w:spacing w:after="0" w:line="264" w:lineRule="auto"/>
        <w:tabs>
          <w:tab w:leader="none" w:pos="1307"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your Option is an ISO and your Disability is not expected to result in death or to last for a continuous period of at least twelve (12) months, your Option will be eligible for ISO tax treatment only if it is exercised within three (3) months following the termination of your Service as an Employee.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7.EXERCISING YOUR OPTION.</w:t>
      </w:r>
    </w:p>
    <w:p>
      <w:pPr>
        <w:sectPr>
          <w:pgSz w:w="11900" w:h="16870" w:orient="portrait"/>
          <w:cols w:equalWidth="0" w:num="1">
            <w:col w:w="11400"/>
          </w:cols>
          <w:pgMar w:left="240" w:top="341" w:right="259" w:bottom="0" w:gutter="0" w:footer="0" w:header="0"/>
        </w:sectPr>
      </w:pPr>
    </w:p>
    <w:bookmarkStart w:id="268" w:name="page269"/>
    <w:bookmarkEnd w:id="268"/>
    <w:p>
      <w:pPr>
        <w:spacing w:after="0" w:line="94"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 xml:space="preserve">To exercise your Option, you must execute the Notice of Exercise and Common Stock Purchase Agreement (the “Exercise Notice”),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You must submit this form, together with full payment, to the Company. Your exercise will be effective when it is received by the Company. If you exercise your Option prior to vesting as provided in Section 8, you must also sign an Assignment Separate from Certificate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If someone else wants to exercise your Option after your death, that person must prove to the Company’s satisfaction that he or she is entitled to do so.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8.EXERCISE OF OPTION BEFORE VESTING.</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If you wish, you may exercise your Option before it is vested (“Early Exercise”). The Company may in its sole and absolute discretion prohibit you from undertaking an Early Exercise at any time prior to the expiration of six (6) months from the Date of Grant. Your Option Shares will be subject to a repurchase right which shall lapse according to the same vesting schedule applicable had you not exercised your Option. The repurchase right allows the Company to repurchase the unvested Shares for the Exercise Price. If you exercise this Option before it is vested, you should consider making an election under Section 83(b) of the Internal Revenue Code (the “83(b) Election”), a form of which can be found on page E3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Please review the document entitled “U.S. Federal Tax Information” attached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 general explanation of Early Exercise can be found on page F3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83(b) Election must be filed within thirty (30) days after the date you exercise all or any portion of your Option in which you are not vested.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YOU SHOULD CONSULT A TAX AND/OR FINANCIAL ADVISOR BEFORE EXERCISING PRIOR TO VESTING.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9.PAYMENT FORMS.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When you exercise your Option, you must include payment of the Exercise Price for the Shares you are purchasing in cash or cash equivalents. Alternatively, you may pay all or part of the Exercise Price by surrendering, or attesting to ownership of, Shares already owned by you, unless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 To the extent that a public market for the Shares exists and to the extent permitted by applicable law, in each case as determined by the Company, you also may exercise your Option by delivery (on a form prescribed by the Company) of an irrevocable direction to a securities broker to sell Shares and to deliver all or part of the sale proceeds to the Company in payment of the aggregate Exercise Price and, if requested, applicable withholding taxes. The Company will provide the forms necessary to make such a cashless exercise. The Board may permit such other payment forms as it deems appropriate, subject to applicable laws, regulations and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10.TAX WITHHOLDING AND REPORTING.</w:t>
      </w:r>
    </w:p>
    <w:p>
      <w:pPr>
        <w:spacing w:after="0" w:line="229" w:lineRule="exact"/>
        <w:rPr>
          <w:sz w:val="20"/>
          <w:szCs w:val="20"/>
          <w:color w:val="auto"/>
        </w:rPr>
      </w:pPr>
    </w:p>
    <w:p>
      <w:pPr>
        <w:ind w:left="1300" w:right="160" w:hanging="644"/>
        <w:spacing w:after="0" w:line="312" w:lineRule="auto"/>
        <w:tabs>
          <w:tab w:leader="none" w:pos="1297" w:val="left"/>
        </w:tabs>
        <w:numPr>
          <w:ilvl w:val="0"/>
          <w:numId w:val="236"/>
        </w:numPr>
        <w:rPr>
          <w:rFonts w:ascii="Arial" w:cs="Arial" w:eastAsia="Arial" w:hAnsi="Arial"/>
          <w:sz w:val="16"/>
          <w:szCs w:val="16"/>
          <w:color w:val="auto"/>
        </w:rPr>
      </w:pPr>
      <w:r>
        <w:rPr>
          <w:rFonts w:ascii="Arial" w:cs="Arial" w:eastAsia="Arial" w:hAnsi="Arial"/>
          <w:sz w:val="16"/>
          <w:szCs w:val="16"/>
          <w:color w:val="auto"/>
        </w:rPr>
        <w:t>You will not be allowed to exercise this Option unless you pay, or make acceptable arrangements to pay, any taxes required to be withheld as a result of the Option exercise or the sale of Shares acquired upon exercise of this Option. You hereby authorize withholding from payroll or any other payment due you from the Company or your employer to satisfy any such withholding tax obligation.</w:t>
      </w:r>
    </w:p>
    <w:p>
      <w:pPr>
        <w:spacing w:after="0" w:line="146" w:lineRule="exact"/>
        <w:rPr>
          <w:rFonts w:ascii="Arial" w:cs="Arial" w:eastAsia="Arial" w:hAnsi="Arial"/>
          <w:sz w:val="16"/>
          <w:szCs w:val="16"/>
          <w:color w:val="auto"/>
        </w:rPr>
      </w:pPr>
    </w:p>
    <w:p>
      <w:pPr>
        <w:ind w:left="1300" w:right="160" w:hanging="644"/>
        <w:spacing w:after="0" w:line="277" w:lineRule="auto"/>
        <w:tabs>
          <w:tab w:leader="none" w:pos="1307"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you sell or otherwise dispose of any of the Shares acquired pursuant to an ISO on or before the later of (i) two years after the grant date, or (ii) one year after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exercise date, you shall immediately notify the Company in writing of such disposition.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11.RIGHT OF FIRST REFUSAL.</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12.RESALE RESTRICTIONS/MARKET STAND-OFF.</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13.TRANSFER OF OPTION.</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 You may, however, dispose of this Option in your will. Regardless of any marital property settlement agreement, the Company is not obligated to honor an Exercise Notice from your spouse or former spouse, nor is the Company obligated to recognize such individual’s interest in your Option in any other way. Notwithstanding the foregoing, however, to the extent permitted by the Board in its sole discretion, an NSO may be transferred by you to one or more family members or to a trust established for your benefit and/or one or more of your family members to the extent permitted by the Plan.</w:t>
      </w:r>
    </w:p>
    <w:p>
      <w:pPr>
        <w:sectPr>
          <w:pgSz w:w="11900" w:h="16932" w:orient="portrait"/>
          <w:cols w:equalWidth="0" w:num="1">
            <w:col w:w="11420"/>
          </w:cols>
          <w:pgMar w:left="240" w:top="342" w:right="239" w:bottom="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u w:val="single" w:color="auto"/>
          <w:color w:val="auto"/>
        </w:rPr>
        <w:t>SECTION 14.RETENTION RIGHTS.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Agreement does not give you the right to be retained by the Company in any capacity. The Company reserves the right to terminate your Service at any time and for any reason without thereby incurring any liability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15.STOCKHOLDER RIGHTS.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 except as described in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16.ADJUSTMENTS.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certificates representing the Shares issued upon exercise of this Option shall, where applicable, have endorsed thereon the following legends:</w:t>
      </w:r>
    </w:p>
    <w:p>
      <w:pPr>
        <w:spacing w:after="0" w:line="248"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OTHER JURISDICTION, AND MAY BE OFFERED AND SOLD ONLY IF REGISTERED AND QUALIFIED PURSUANT TO THE RELEVANT PROVISIONS OF U.S. FEDERAL, STATE AND FOREIGN SECURITIES LAWS OR IF THE COMPANY IS PROVIDED AN OPINION OF COUNSEL SATISFACTORY TO THE COMPANY THAT REGISTRATION AND QUALIFICATION UNDER U.S. FEDERAL, STATE AND FOREIGN SECURITIES LAWS IS NOT REQUIRED.</w:t>
      </w:r>
    </w:p>
    <w:p>
      <w:pPr>
        <w:spacing w:after="0" w:line="19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the Option is an ISO, then the following legend should be included:</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SHARES REPRESENTED BY THIS CERTIFICATE WERE ISSUED UPON EXERCISE OF AN INCENTIVE STOCK OPTION, AND THE COMPANY MUST BE NOTIFIED IF THE SHARES SHALL BE TRANSFERRED BEFORE THE LATER OF THE TWO (2) YEAR ANNIVERSARY OF THE DATE OF GRANT OF THE OPTION OR THE ONE (1) YEAR ANNIVERSARY OF THE DATE ON WHICH THE OPTION WAS EXERCISED. THE REGISTERED HOLDER MAY RECOGNIZE ORDINARY INCOME IF THE SHARES ARE TRANSFERRED BEFORE SUCH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18.TAX DISCLAIMER.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agree that you are responsible for consulting your own tax advisor as to the tax consequences associated with your Option. The tax</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rules governing options are complex, change frequently and depend on the individual taxpayer’s situation. For your information, a memorandum that briefly summarizes current U.S. federal income tax law relating to certain aspects of stock options is attached hereto as Exhibit F. Please note that this memorandum does not purport to be complete. Although the Company will make available to you general tax information about stock options, you agree that the Company shall not be held liable or responsible for making such information available to you and any tax or financial consequences that you may incur in connection with your Option.</w:t>
      </w:r>
    </w:p>
    <w:p>
      <w:pPr>
        <w:spacing w:after="0" w:line="19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addition, as noted in Exhibit F, options granted at a discount from fair market value may be considered “deferred compensation” subject to adverse tax consequences under new Section 409A of the Internal Revenue Code, which is generally effective January 1, 2005. The Board has made a good faith determination that the exercise price per share of the Option is not less than the fair market value of the Shares underlying your Option on the Date of Grant. It is possible, however, that the Internal Revenue Service could later challenge that determination and assert that the fair market value of the Shares underlying your Option was greater on the Date of Grant than the exercise price determined by the Board, which could result in immediate income tax upon the vesting of your Option (whether or not exercised) and a 20% tax penalty, as well as the loss of incentive stock option status (if applicable). The Company gives no assurance that such adverse tax consequences will not occur and specifically assumes no responsibility therefor. By accepting this Option, you acknowledge that any tax liability or other adverse tax consequences to you resulting from the grant of the Option will be the responsibility of, and will be</w:t>
      </w:r>
    </w:p>
    <w:p>
      <w:pPr>
        <w:sectPr>
          <w:pgSz w:w="11900" w:h="16838" w:orient="portrait"/>
          <w:cols w:equalWidth="0" w:num="1">
            <w:col w:w="11400"/>
          </w:cols>
          <w:pgMar w:left="240" w:top="337" w:right="259" w:bottom="0" w:gutter="0" w:footer="0" w:header="0"/>
        </w:sectPr>
      </w:pPr>
    </w:p>
    <w:bookmarkStart w:id="270" w:name="page271"/>
    <w:bookmarkEnd w:id="270"/>
    <w:p>
      <w:pPr>
        <w:ind w:right="220"/>
        <w:spacing w:after="0" w:line="277" w:lineRule="auto"/>
        <w:rPr>
          <w:sz w:val="20"/>
          <w:szCs w:val="20"/>
          <w:color w:val="auto"/>
        </w:rPr>
      </w:pPr>
      <w:r>
        <w:rPr>
          <w:rFonts w:ascii="Arial" w:cs="Arial" w:eastAsia="Arial" w:hAnsi="Arial"/>
          <w:sz w:val="18"/>
          <w:szCs w:val="18"/>
          <w:color w:val="auto"/>
        </w:rPr>
        <w:t>borne entirely by, you. YOU ARE THEREFORE ENCOURAGED TO CONSULT YOUR OWN TAX ADVISOR BEFORE ACCEPTING THE GRANT OF THIS OPTION.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19.THE PLAN AND OTHER AGREEMENTS.</w:t>
      </w:r>
    </w:p>
    <w:p>
      <w:pPr>
        <w:spacing w:after="0" w:line="229"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The text of the Plan is incorporated in this Agreement by reference. Certain capitalized terms used in this Agreement are defined in the Plan. The Notice of Stock Option Grant, this Agreement, including its attachments, and the Plan constitute the entire understanding between you and the Company regarding this Option. Any prior agreements, commitments or negotiations concerning this Option are superseded.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20.MISCELLANEOUS PROVISIONS.</w:t>
      </w:r>
    </w:p>
    <w:p>
      <w:pPr>
        <w:spacing w:after="0" w:line="229" w:lineRule="exact"/>
        <w:rPr>
          <w:sz w:val="20"/>
          <w:szCs w:val="20"/>
          <w:color w:val="auto"/>
        </w:rPr>
      </w:pPr>
    </w:p>
    <w:p>
      <w:pPr>
        <w:ind w:left="1300" w:right="160" w:hanging="644"/>
        <w:spacing w:after="0" w:line="302" w:lineRule="auto"/>
        <w:tabs>
          <w:tab w:leader="none" w:pos="1297" w:val="left"/>
        </w:tabs>
        <w:numPr>
          <w:ilvl w:val="0"/>
          <w:numId w:val="237"/>
        </w:numPr>
        <w:rPr>
          <w:rFonts w:ascii="Arial" w:cs="Arial" w:eastAsia="Arial" w:hAnsi="Arial"/>
          <w:sz w:val="16"/>
          <w:szCs w:val="16"/>
          <w:color w:val="auto"/>
        </w:rPr>
      </w:pPr>
      <w:r>
        <w:rPr>
          <w:rFonts w:ascii="Arial" w:cs="Arial" w:eastAsia="Arial" w:hAnsi="Arial"/>
          <w:sz w:val="16"/>
          <w:szCs w:val="16"/>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Exercise Price and the vesting schedule, will be at the sole discretion of the Company.</w:t>
      </w:r>
    </w:p>
    <w:p>
      <w:pPr>
        <w:spacing w:after="0" w:line="225" w:lineRule="exact"/>
        <w:rPr>
          <w:sz w:val="20"/>
          <w:szCs w:val="20"/>
          <w:color w:val="auto"/>
        </w:rPr>
      </w:pPr>
    </w:p>
    <w:p>
      <w:pPr>
        <w:ind w:left="1300" w:hanging="644"/>
        <w:spacing w:after="0" w:line="286" w:lineRule="auto"/>
        <w:tabs>
          <w:tab w:leader="none" w:pos="1307"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300" w:right="440" w:hanging="644"/>
        <w:spacing w:after="0" w:line="277" w:lineRule="auto"/>
        <w:tabs>
          <w:tab w:leader="none" w:pos="131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the your compensation and the fact and conditions of your participation in the Plan, as your employer deems necessary or appropriate to facilitate the administration of the Plan.</w:t>
      </w:r>
    </w:p>
    <w:p>
      <w:pPr>
        <w:spacing w:after="0" w:line="181" w:lineRule="exact"/>
        <w:rPr>
          <w:rFonts w:ascii="Arial" w:cs="Arial" w:eastAsia="Arial" w:hAnsi="Arial"/>
          <w:sz w:val="18"/>
          <w:szCs w:val="18"/>
          <w:color w:val="auto"/>
        </w:rPr>
      </w:pPr>
    </w:p>
    <w:p>
      <w:pPr>
        <w:ind w:left="1300" w:hanging="644"/>
        <w:spacing w:after="0" w:line="268" w:lineRule="auto"/>
        <w:tabs>
          <w:tab w:leader="none" w:pos="131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options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21.APPLICABLE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will be interpreted and enforced under the laws of the State of New York (without regard to their choice of law provisions).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10GEN, INC. 2008 STOCK INCENTIVE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 AND COMMON STOCK PURCHASE AGREEMENT</w:t>
      </w:r>
    </w:p>
    <w:p>
      <w:pPr>
        <w:spacing w:after="0" w:line="211" w:lineRule="exact"/>
        <w:rPr>
          <w:sz w:val="20"/>
          <w:szCs w:val="20"/>
          <w:color w:val="auto"/>
        </w:rPr>
      </w:pPr>
    </w:p>
    <w:p>
      <w:pPr>
        <w:ind w:left="660"/>
        <w:spacing w:after="0"/>
        <w:tabs>
          <w:tab w:leader="none" w:pos="3720" w:val="left"/>
          <w:tab w:leader="none" w:pos="4000" w:val="left"/>
        </w:tabs>
        <w:rPr>
          <w:sz w:val="20"/>
          <w:szCs w:val="20"/>
          <w:color w:val="auto"/>
        </w:rPr>
      </w:pPr>
      <w:r>
        <w:rPr>
          <w:rFonts w:ascii="Arial" w:cs="Arial" w:eastAsia="Arial" w:hAnsi="Arial"/>
          <w:sz w:val="18"/>
          <w:szCs w:val="18"/>
          <w:color w:val="auto"/>
        </w:rPr>
        <w:t>THIS AGREEMENT is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between MongoDB, Inc. (the “Company”), and [First Name Last Name]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-10160</wp:posOffset>
            </wp:positionV>
            <wp:extent cx="48577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271" w:name="page272"/>
    <w:bookmarkEnd w:id="271"/>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the Company granted Purchaser a stock option on [Date of Grant] (the “Date of Grant”) pursuant to a stock option agreement (the “Option Agreement”) under which Purchaser has the right to purchase up to [Options Granted] shares of the Company’s Class A Common Stock (the “Option Shares”);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Option is exercisable with respect to certain of the Option Shares as of the date hereof; and</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pursuant to the Option Agreement, Purchaser desires to purchase shares of the Company as herein described, on the terms and conditions set forth in this Agreement, the Option Agreement and the 10Gen, Inc. 2008 Stock Incentive Plan (the “Plan”). Certain capitalized terms used in this Agreement are defined in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 between the parties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22.PURCHASE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Pursuant to the terms of the Option Agreement, Purchaser hereby agrees to purchase from the Company and the Company agrees to sell and</w:t>
      </w:r>
    </w:p>
    <w:p>
      <w:pPr>
        <w:spacing w:after="0" w:line="46" w:lineRule="exact"/>
        <w:rPr>
          <w:rFonts w:ascii="Arial" w:cs="Arial" w:eastAsia="Arial" w:hAnsi="Arial"/>
          <w:sz w:val="16"/>
          <w:szCs w:val="16"/>
          <w:color w:val="auto"/>
        </w:rPr>
      </w:pPr>
    </w:p>
    <w:p>
      <w:pPr>
        <w:ind w:left="1300"/>
        <w:spacing w:after="0" w:line="255" w:lineRule="auto"/>
        <w:rPr>
          <w:rFonts w:ascii="Arial" w:cs="Arial" w:eastAsia="Arial" w:hAnsi="Arial"/>
          <w:sz w:val="16"/>
          <w:szCs w:val="16"/>
          <w:color w:val="auto"/>
        </w:rPr>
      </w:pPr>
      <w:r>
        <w:rPr>
          <w:rFonts w:ascii="Arial" w:cs="Arial" w:eastAsia="Arial" w:hAnsi="Arial"/>
          <w:sz w:val="18"/>
          <w:szCs w:val="18"/>
          <w:color w:val="auto"/>
        </w:rPr>
        <w:t>issue to Purchaser [ ] shares of the Company’s Class A common stock (the “Common Stock”) for the Exercise Price per share specified in the Notice of Stock Option Grant payable by personal check, cashier’s check, money order or otherwise as permitted by the Option Agreement. Payment shall be delivered at the Closing, as such term is defined below.</w:t>
      </w:r>
    </w:p>
    <w:p>
      <w:pPr>
        <w:spacing w:after="0" w:line="190" w:lineRule="exact"/>
        <w:rPr>
          <w:rFonts w:ascii="Arial" w:cs="Arial" w:eastAsia="Arial" w:hAnsi="Arial"/>
          <w:sz w:val="16"/>
          <w:szCs w:val="16"/>
          <w:color w:val="auto"/>
        </w:rPr>
      </w:pPr>
    </w:p>
    <w:p>
      <w:pPr>
        <w:ind w:left="1300" w:right="280" w:hanging="644"/>
        <w:spacing w:after="0" w:line="277" w:lineRule="auto"/>
        <w:tabs>
          <w:tab w:leader="none" w:pos="130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closing (the “Closing”) under this Agreement shall occur at the offices of the Company as of the date hereof, or such other time and place as may be designated by the Company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-730885</wp:posOffset>
            </wp:positionV>
            <wp:extent cx="25717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23.REPURCHASE RIGHT.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All shares of the Stock purchased by Purchaser pursuant to this Agreement that have not vested under the terms of the Option Agreement, together with any shares of Common Stock issued as a dividend or other distribution on, in exchange for or upon the conversion of such unvested Stock (collectively, the “Subject Shares”) shall be subject to the following right of repurchase by the Company (the “Repurchase Right”). The Company shall have the right, within ninety (90) days after the termination of Purchaser’s services to the Company (the “Termination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Date”), to purchase from Purchaser all Subject Shares as of the Termination Date. The repurchase price shall be the Exercise Price per share paid by Purchaser for such shares pursuant to this Agreement. For purposes of this Section 2, the date the Company exercises its Repurchase Right shall be deemed to be the Termination Date. The Repurchase Right under this Section 2 shall lapse with respect to the Subject Shares in accordance with the vesting schedule in the Option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24.EXERCISE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shall be deemed to have exercised its Repurchase Right automatically for all Subject Shares as of the Termination Date, unless within ninety (90) days thereafter, the Company notifies the holder of the Subject Shares pursuant to Section 16 that it will not exercise its Repurchase Rights as to some or all of the Subject Shares. The certificate(s) representing the shares to be repurchased shall be delivered to the Company properly endorsed for transfer. The Company shall, concurrently with the receipt of such certificate(s), pay to Purchaser the repurchase price determined according to Section 2, above. The repurchase price shall be paid by certified or cashier’s check or by cancellation of any purchase money indebtedness of Purchaser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25.WAIVER, ASSIGNMENT, EXPIRATION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If the Company waives or fails to exercise the Repurchase Right as to all of the shares subject thereto, the Company may, in the discretion of its Board of Directors, assign the Repurchase Right to any other holder or holders of preferred or common stock of the Company in such proportions as such Board of Directors may determine. In the event of such an assignment, the Board may require that the assignee pay to the Company in cash an amount equal to the fair market value of the Repurchase Right. The Company shall promptly, prior to expiration of the ninety (90) day period referred to in Section 2 above, notify Purchaser of the number of shares subject to the Repurchase Right assigned to such stockholders and shall notify both Purchaser and the assignees of the time, place and date for settlement of such purchase, which must be made within ninety (90) days from the Termination Date. In the event that the Company and/or such assignees do not elect to exercise the Repurchase Right as to all or part of the shares subject to it, the Repurchase Right shall expire as to all shares which the Company and/or such assignees have not elected to purchase.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26.ESCROW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76" w:lineRule="auto"/>
        <w:tabs>
          <w:tab w:leader="none" w:pos="1297" w:val="left"/>
        </w:tabs>
        <w:numPr>
          <w:ilvl w:val="0"/>
          <w:numId w:val="240"/>
        </w:numPr>
        <w:rPr>
          <w:rFonts w:ascii="Arial" w:cs="Arial" w:eastAsia="Arial" w:hAnsi="Arial"/>
          <w:sz w:val="17"/>
          <w:szCs w:val="17"/>
          <w:color w:val="auto"/>
        </w:rPr>
      </w:pPr>
      <w:r>
        <w:rPr>
          <w:rFonts w:ascii="Arial" w:cs="Arial" w:eastAsia="Arial" w:hAnsi="Arial"/>
          <w:sz w:val="17"/>
          <w:szCs w:val="17"/>
          <w:color w:val="auto"/>
        </w:rPr>
        <w:t xml:space="preserve">To ensure that Purchaser’s unvested Shares are delivered to the Company upon its exercise of its Repurchase Right, Purchaser agrees at the Closing under this Agreement, to deliver to and deposit with the escrow agent (the “Escrow Agent”) named in the Joint Escrow Instructions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certificate(s) evidencing the unvested Shares and an Assignment Separate from Certificate executed by Purchaser (with date and number of shares in blank)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The certificate(s) evidencing the unvested Shares and the Assignment Separate from Certificate shall be delivered to the Escrow Agent and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ectPr>
          <w:pgSz w:w="11900" w:h="16838" w:orient="portrait"/>
          <w:cols w:equalWidth="0" w:num="1">
            <w:col w:w="11400"/>
          </w:cols>
          <w:pgMar w:left="240" w:top="125" w:right="259" w:bottom="0" w:gutter="0" w:footer="0" w:header="0"/>
        </w:sectPr>
      </w:pPr>
    </w:p>
    <w:bookmarkStart w:id="272" w:name="page273"/>
    <w:bookmarkEnd w:id="272"/>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held under the Joint Escrow Instructions, which shall be delivered to the Escrow Agent at the Closing under this Agreement.</w:t>
      </w:r>
    </w:p>
    <w:p>
      <w:pPr>
        <w:spacing w:after="0" w:line="225" w:lineRule="exact"/>
        <w:rPr>
          <w:sz w:val="20"/>
          <w:szCs w:val="20"/>
          <w:color w:val="auto"/>
        </w:rPr>
      </w:pPr>
    </w:p>
    <w:p>
      <w:pPr>
        <w:ind w:left="1300" w:right="100" w:hanging="644"/>
        <w:spacing w:after="0" w:line="297" w:lineRule="auto"/>
        <w:tabs>
          <w:tab w:leader="none" w:pos="1307" w:val="left"/>
        </w:tabs>
        <w:numPr>
          <w:ilvl w:val="0"/>
          <w:numId w:val="241"/>
        </w:numPr>
        <w:rPr>
          <w:rFonts w:ascii="Arial" w:cs="Arial" w:eastAsia="Arial" w:hAnsi="Arial"/>
          <w:sz w:val="16"/>
          <w:szCs w:val="16"/>
          <w:color w:val="auto"/>
        </w:rPr>
      </w:pPr>
      <w:r>
        <w:rPr>
          <w:rFonts w:ascii="Arial" w:cs="Arial" w:eastAsia="Arial" w:hAnsi="Arial"/>
          <w:sz w:val="16"/>
          <w:szCs w:val="16"/>
          <w:color w:val="auto"/>
        </w:rPr>
        <w:t>Within thirty (30) days after the last day of each successive completed calendar quarter after the Closing Date, if Purchaser so requests, the Escrow Agent shall deliver to Purchaser certificates representing so many shares of Common Stock as are no longer subject to the Repurchase Right (less such shares as have been previously delivered). Ninety (90) days after the Termination Date, the Company shall direct the Escrow Agent to deliver to Purchaser a certificate or certificates representing the number of shares not repurchased by the Company or its assignees pursuant to exercise of the Repurchase Right (less such shares as have been previously delivered).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27.ADJUSTMENT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Subject to the provisions of the Certificate of Incorporation of the Company, if (a) there is any stock dividend or liquidating dividend of cash and/or property, stock split or other change in the character or amount of any of the outstanding securities of the Company, or (b) there is any consolidation, merger or sale of all or substantially all of the assets of the Company, then, in such event, any and all new, substituted or additional securities or other property to which Purchaser is entitled by reason of Purchaser’s ownership of the shares shall be immediately subject to the Repurchase Right and the Right of First Refusal, as defined below, with the same force and effect as the shares subject to the Repurchase Right and the Right of First Refusal. While the total repurchase price shall remain the same after each such event, the repurchase price per share upon exercise of the Repurchase Right shall be appropriately and equitably adjusted as determined by the Board of Directors of the Company. Appropriate adjustments shall also be made to the number and/or class of shares subject to the Repurchase Right and the Right of First Refusal to reflect the exchange or distribution of such securities. In the event of a merger or consolidation of the Company with or into another entity or any other corporate reorganization, the Repurchase Right and Right of First Refusal may be exercised by the Company’s successor.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28.THE COMPANY’S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any shares of Common Stock registered in the name of Purchaser may be sold or transferred, such shares shall first be offered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 (the “Right of First Refusal”):</w:t>
      </w:r>
    </w:p>
    <w:p>
      <w:pPr>
        <w:spacing w:after="0" w:line="211" w:lineRule="exact"/>
        <w:rPr>
          <w:sz w:val="20"/>
          <w:szCs w:val="20"/>
          <w:color w:val="auto"/>
        </w:rPr>
      </w:pPr>
    </w:p>
    <w:p>
      <w:pPr>
        <w:ind w:left="1300" w:right="20" w:hanging="644"/>
        <w:spacing w:after="0" w:line="276" w:lineRule="auto"/>
        <w:tabs>
          <w:tab w:leader="none" w:pos="1297" w:val="left"/>
        </w:tabs>
        <w:numPr>
          <w:ilvl w:val="0"/>
          <w:numId w:val="242"/>
        </w:numPr>
        <w:rPr>
          <w:rFonts w:ascii="Arial" w:cs="Arial" w:eastAsia="Arial" w:hAnsi="Arial"/>
          <w:sz w:val="17"/>
          <w:szCs w:val="17"/>
          <w:color w:val="auto"/>
        </w:rPr>
      </w:pPr>
      <w:r>
        <w:rPr>
          <w:rFonts w:ascii="Arial" w:cs="Arial" w:eastAsia="Arial" w:hAnsi="Arial"/>
          <w:sz w:val="17"/>
          <w:szCs w:val="17"/>
          <w:color w:val="auto"/>
        </w:rPr>
        <w:t>Purchaser shall promptly deliver a notice (“Notice”) to the Company stating (i) Purchaser’s bona fide intention to sell or transfer such shares, (ii) the number of such shares to be sold or transferred, and the basic terms and conditions of such sale or transfer, (iii) the price for which Purchaser proposes to sell or transfer such shares, (iv) the name of the proposed purchaser or transferee, and (v) proof satisfactory to the Company that the proposed sale or transfer will not violate any applicable U.S. federal, state or foreign securities laws. The Notice shall be signed by both Purchaser and the proposed purchaser or transferee and must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constitute a binding commitment subject to the Company’s Right of First Refusal as set forth herein.</w:t>
      </w:r>
    </w:p>
    <w:p>
      <w:pPr>
        <w:spacing w:after="0" w:line="225" w:lineRule="exact"/>
        <w:rPr>
          <w:sz w:val="20"/>
          <w:szCs w:val="20"/>
          <w:color w:val="auto"/>
        </w:rPr>
      </w:pPr>
    </w:p>
    <w:p>
      <w:pPr>
        <w:ind w:left="1300" w:right="60" w:hanging="644"/>
        <w:spacing w:after="0" w:line="272" w:lineRule="auto"/>
        <w:tabs>
          <w:tab w:leader="none" w:pos="130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Within thirty (30) days after receipt of the Notice, the Company may elect to purchase all or any portion of the shares to which the Notice refers, at the price per share specified in the Notice. If the Company elects not to purchase all or any portion of the shares, the Company may assign its right to purchase all or any portion of the shares. The assignees may elect within thirty (30) days after receipt by the Company of the Notice to purchase all or any portion of the shares to which the Notice refers, at the price per share specified in the Notice. An election to purchase shall be made by written notice to Purchaser. Payment for shares purchased pursuant to this Section 7 shall be made within thirty (30) days after receipt of the Notice by the Company and, at the option of the Company, may be made by cancellation of all or a portion of outstanding indebtedness, if any, or in cash or both.</w:t>
      </w:r>
    </w:p>
    <w:p>
      <w:pPr>
        <w:spacing w:after="0" w:line="177" w:lineRule="exact"/>
        <w:rPr>
          <w:rFonts w:ascii="Arial" w:cs="Arial" w:eastAsia="Arial" w:hAnsi="Arial"/>
          <w:sz w:val="17"/>
          <w:szCs w:val="17"/>
          <w:color w:val="auto"/>
        </w:rPr>
      </w:pPr>
    </w:p>
    <w:p>
      <w:pPr>
        <w:ind w:left="1300" w:right="120" w:hanging="644"/>
        <w:spacing w:after="0" w:line="255" w:lineRule="auto"/>
        <w:tabs>
          <w:tab w:leader="none" w:pos="131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If all or any portion of the shares to which the Notice refers are not elected to be purchased, as provided in subparagraph 7(b), Purchaser may sell those shares to any person named in the Notice at the price specified in the Notice, provided that such sale or transfer is consummated within sixty (60) days of the date of said Notice to the Company, and provided, further, that any such sale is made in compliance with applicable U.S. federal, state and foreign securities laws and not in violation of any other contractual restrictions to which Purchaser is bound. The third-party purchaser shall be bound by, and shall acquire the shares of stock subject to, the provisions of this Agreement, including the Company’s Right of First Refusal.</w:t>
      </w:r>
    </w:p>
    <w:p>
      <w:pPr>
        <w:spacing w:after="0" w:line="193"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Any proposed transfer on terms and conditions different from those set forth in the Notice, as well as any subsequent proposed transfer shall again be subject to the Company’s Right of First Refusal and shall require compliance with the procedures described in this Section 7.</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1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Purchaser agrees to cooperate affirmatively with the Company, to the extent reasonably requested by the Company, to enforce rights and obligations pursuant to this Agreement.</w:t>
      </w:r>
    </w:p>
    <w:p>
      <w:pPr>
        <w:spacing w:after="0" w:line="170" w:lineRule="exact"/>
        <w:rPr>
          <w:rFonts w:ascii="Arial" w:cs="Arial" w:eastAsia="Arial" w:hAnsi="Arial"/>
          <w:sz w:val="18"/>
          <w:szCs w:val="18"/>
          <w:color w:val="auto"/>
        </w:rPr>
      </w:pPr>
    </w:p>
    <w:p>
      <w:pPr>
        <w:ind w:left="1300" w:right="420" w:hanging="644"/>
        <w:spacing w:after="0" w:line="286" w:lineRule="auto"/>
        <w:tabs>
          <w:tab w:leader="none" w:pos="130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Notwithstanding the above, neither the Company nor any assignee of the Company under this Section 7 shall have any right under this Section 7 at any time subsequent to the closing of a public offering of the common stock of the Company pursuant to a registration statement declared effective under the U.S. Securities Act of 1933, as amended (the “Securities Act”).</w:t>
      </w:r>
    </w:p>
    <w:p>
      <w:pPr>
        <w:spacing w:after="0" w:line="165" w:lineRule="exact"/>
        <w:rPr>
          <w:rFonts w:ascii="Arial" w:cs="Arial" w:eastAsia="Arial" w:hAnsi="Arial"/>
          <w:sz w:val="17"/>
          <w:szCs w:val="17"/>
          <w:color w:val="auto"/>
        </w:rPr>
      </w:pPr>
    </w:p>
    <w:p>
      <w:pPr>
        <w:ind w:left="1300" w:right="520" w:hanging="644"/>
        <w:spacing w:after="0" w:line="277" w:lineRule="auto"/>
        <w:tabs>
          <w:tab w:leader="none" w:pos="132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This Section 7 shall not apply to (i) a transfer by will or intestate succession, or (ii) a transfer to one or more members of Purchaser’s Immediate Family (defined below) or to a trust established by Purchaser for the benefit of Purchaser and/or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ectPr>
          <w:pgSz w:w="11900" w:h="16889" w:orient="portrait"/>
          <w:cols w:equalWidth="0" w:num="1">
            <w:col w:w="11420"/>
          </w:cols>
          <w:pgMar w:left="240" w:top="126" w:right="239" w:bottom="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 xml:space="preserve">one or more members of Purchaser’s Immediate Family, provided that the transferee agrees in writing on a form prescribed by the Company to be bound by all of the provisions of this Agreement to the same extent as they apply to Purchaser. The transferee shall execute a copy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29.PURCHASER’S RIGHTS AFTER EXERCISE OF REPURCHASE RIGHT OR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If the Company makes available, at the time and place and in the amount and form provided in this Agreement, the consideration for the Common Stock to be repurchased in accordance with the provisions of Sections 2 and 7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to have been repurchased in accordance with the applicable provisions hereof, whether or not the certificate(s) therefor have been delivered as required by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30.TRANSFER BY PURCHASER TO CERTAIN PEOPLE</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line="255" w:lineRule="auto"/>
        <w:tabs>
          <w:tab w:leader="none" w:pos="129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Purchaser may not transfer, assign, encumber or otherwise dispose of any Subject Shares without the Company’s written consent, except that Purchaser may transfer Subject Shares to one or more members of Purchaser’s Immediate Family (as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 Purchaser. The transferee shall execute a copy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93" w:lineRule="exact"/>
        <w:rPr>
          <w:rFonts w:ascii="Arial" w:cs="Arial" w:eastAsia="Arial" w:hAnsi="Arial"/>
          <w:sz w:val="18"/>
          <w:szCs w:val="18"/>
          <w:color w:val="auto"/>
        </w:rPr>
      </w:pPr>
    </w:p>
    <w:p>
      <w:pPr>
        <w:ind w:left="1300" w:right="60" w:hanging="644"/>
        <w:spacing w:after="0" w:line="342" w:lineRule="auto"/>
        <w:tabs>
          <w:tab w:leader="none" w:pos="1307" w:val="left"/>
        </w:tabs>
        <w:numPr>
          <w:ilvl w:val="0"/>
          <w:numId w:val="244"/>
        </w:numPr>
        <w:rPr>
          <w:rFonts w:ascii="Arial" w:cs="Arial" w:eastAsia="Arial" w:hAnsi="Arial"/>
          <w:sz w:val="16"/>
          <w:szCs w:val="16"/>
          <w:color w:val="auto"/>
        </w:rPr>
      </w:pPr>
      <w:r>
        <w:rPr>
          <w:rFonts w:ascii="Arial" w:cs="Arial" w:eastAsia="Arial" w:hAnsi="Arial"/>
          <w:sz w:val="16"/>
          <w:szCs w:val="16"/>
          <w:color w:val="auto"/>
        </w:rPr>
        <w:t>For purposes of this Agreement, Immediate Family means any child, stepchild, grandchild, parent, stepparent, grandparent, spouse, sibling, mother-in-law, father-in-law, son-in-law, daughter-in-law, brother-in-law or sister-in-law, and shall include adoptive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31.LEGEND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All certificates representing the Common Stock purchased under this Agreement shall, where applicable, have endorsed thereon the following legends and any other legends required by applicable securities laws:</w:t>
      </w:r>
    </w:p>
    <w:p>
      <w:pPr>
        <w:spacing w:after="0" w:line="170"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7"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the Option is an ISO, then the following legend should be included:</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SHARES REPRESENTED BY THIS CERTIFICATE WERE ISSUED UPON EXERCISE OF AN INCENTIVE STOCK OPTION, AND THE COMPANY MUST BE NOTIFIED IF THE SHARES SHALL BE TRANSFERRED BEFORE THE LATER OF THE TWO (2) YEAR ANNIVERSARY OF THE DATE OF GRANT OF THE OPTION OR THE ONE (1) YEAR ANNIVERSARY OF THE DATE ON WHICH THE OPTION WAS EXERCISED. THE REGISTERED HOLDER MAY RECOGNIZE ORDINARY INCOME IF THE SHARES ARE TRANSFERRED BEFORE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32.PURCHASER’S INVESTMENT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55" w:lineRule="auto"/>
        <w:tabs>
          <w:tab w:leader="none" w:pos="129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This Agreement is made with Purchaser in reliance upon Purchaser’s representation to the Company, which by Purchaser’s acceptance hereof Purchaser confirms, that the Common Stock which Purchaser will receive will be acquired with Purchaser’s own funds for investment for an indefinite period for Purchaser’s own account, not as a nominee or agent, and not with a view to the sale or distribution of any part thereof, and that Purchaser has no present intention of selling, granting participation in, or otherwise distributing the same, but subject, nevertheless, to any requirement of law that the disposition of Purchaser’s property shall at all times be within Purchaser’s control. By executing this Agreement, Purchaser further represents that Purchaser does not have any contract, understanding or agreement with any person to sell, transfer, or grant</w:t>
      </w:r>
    </w:p>
    <w:p>
      <w:pPr>
        <w:sectPr>
          <w:pgSz w:w="11900" w:h="16838" w:orient="portrait"/>
          <w:cols w:equalWidth="0" w:num="1">
            <w:col w:w="11400"/>
          </w:cols>
          <w:pgMar w:left="240" w:top="125" w:right="259" w:bottom="0" w:gutter="0" w:footer="0" w:header="0"/>
        </w:sectPr>
      </w:pPr>
    </w:p>
    <w:bookmarkStart w:id="274" w:name="page275"/>
    <w:bookmarkEnd w:id="274"/>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participation to such person or to any third person, with respect to any of the Common Stock.</w:t>
      </w:r>
    </w:p>
    <w:p>
      <w:pPr>
        <w:spacing w:after="0" w:line="225" w:lineRule="exact"/>
        <w:rPr>
          <w:sz w:val="20"/>
          <w:szCs w:val="20"/>
          <w:color w:val="auto"/>
        </w:rPr>
      </w:pPr>
    </w:p>
    <w:p>
      <w:pPr>
        <w:ind w:left="1300" w:right="200" w:hanging="644"/>
        <w:spacing w:after="0" w:line="259" w:lineRule="auto"/>
        <w:tabs>
          <w:tab w:leader="none" w:pos="130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Purchaser understands that the Common Stock will not be registered or qualified under applicable U.S. federal, state or foreign securities laws on the ground that the sale provided for in this Agreement is exempt from registration or qualification under applicable U.S. federal, state or foreign securities laws and that the Company’s reliance on such exemption is predicated on Purchaser’s representations set forth herein.</w:t>
      </w:r>
    </w:p>
    <w:p>
      <w:pPr>
        <w:spacing w:after="0" w:line="186" w:lineRule="exact"/>
        <w:rPr>
          <w:rFonts w:ascii="Arial" w:cs="Arial" w:eastAsia="Arial" w:hAnsi="Arial"/>
          <w:sz w:val="18"/>
          <w:szCs w:val="18"/>
          <w:color w:val="auto"/>
        </w:rPr>
      </w:pPr>
    </w:p>
    <w:p>
      <w:pPr>
        <w:ind w:left="1300" w:right="20" w:hanging="644"/>
        <w:spacing w:after="0" w:line="255" w:lineRule="auto"/>
        <w:tabs>
          <w:tab w:leader="none" w:pos="131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Purchaser agrees that in no event shall Purchaser make a disposition of any of the Common Stock (including a disposition under Section 9 of this Agreement), unless and until (i) Purchaser shall have notified the Company of the proposed disposition and shall have furnished the Company with a statement of the circumstances surrounding the proposed disposition and (ii) Purchaser shall have furnished the Company with an opinion of counsel satisfactory to the Company to the effect that (A) such disposition will not require registration or qualification of such Common Stock under applicable U.S. federal, state or foreign securities laws or (B) appropriate action necessary for compliance with the U.S. federal, state or foreign securities laws has been taken or (iii) the Company shall have waived, expressly and in writing, its rights under clauses (i) and (ii) of this Section.</w:t>
      </w:r>
    </w:p>
    <w:p>
      <w:pPr>
        <w:spacing w:after="0" w:line="189" w:lineRule="exact"/>
        <w:rPr>
          <w:rFonts w:ascii="Arial" w:cs="Arial" w:eastAsia="Arial" w:hAnsi="Arial"/>
          <w:sz w:val="18"/>
          <w:szCs w:val="18"/>
          <w:color w:val="auto"/>
        </w:rPr>
      </w:pPr>
    </w:p>
    <w:p>
      <w:pPr>
        <w:ind w:left="1300" w:right="120" w:hanging="644"/>
        <w:spacing w:after="0" w:line="290" w:lineRule="auto"/>
        <w:tabs>
          <w:tab w:leader="none" w:pos="1307" w:val="left"/>
        </w:tabs>
        <w:numPr>
          <w:ilvl w:val="0"/>
          <w:numId w:val="246"/>
        </w:numPr>
        <w:rPr>
          <w:rFonts w:ascii="Arial" w:cs="Arial" w:eastAsia="Arial" w:hAnsi="Arial"/>
          <w:sz w:val="16"/>
          <w:szCs w:val="16"/>
          <w:color w:val="auto"/>
        </w:rPr>
      </w:pPr>
      <w:r>
        <w:rPr>
          <w:rFonts w:ascii="Arial" w:cs="Arial" w:eastAsia="Arial" w:hAnsi="Arial"/>
          <w:sz w:val="16"/>
          <w:szCs w:val="16"/>
          <w:color w:val="auto"/>
        </w:rPr>
        <w:t>With respect to a transaction occurring prior to such date as the Plan and Common Stock thereunder are covered by a valid Form S-8 or similar U.S. federal registration statement, this Subsection shall apply unless the transaction is covered by the exemption in California Corporations Code section 25102(o) or a similar broad-based exemption. In connection with the investment representations made herein, Purchaser represents that Purchaser is able to fend for himself or herself in the transactions contemplated by this Agreement, has such knowledge and experience in financial and business matters as to be capable of evaluating the merits and risks of Purchaser’s investment, has the ability to bear the economic risks of Purchaser’s investment and has been furnished with and has had access to such information as would be made available in the form of a registration statement together with such additional information as is necessary to verify the accuracy of the information supplied and to have all questions answered by the Company.</w:t>
      </w:r>
    </w:p>
    <w:p>
      <w:pPr>
        <w:spacing w:after="0" w:line="166" w:lineRule="exact"/>
        <w:rPr>
          <w:rFonts w:ascii="Arial" w:cs="Arial" w:eastAsia="Arial" w:hAnsi="Arial"/>
          <w:sz w:val="16"/>
          <w:szCs w:val="16"/>
          <w:color w:val="auto"/>
        </w:rPr>
      </w:pPr>
    </w:p>
    <w:p>
      <w:pPr>
        <w:ind w:left="1300" w:right="160" w:hanging="644"/>
        <w:spacing w:after="0" w:line="276" w:lineRule="auto"/>
        <w:tabs>
          <w:tab w:leader="none" w:pos="131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Purchaser understands that if the Company does not register with the Securities and Exchange Commission pursuant to section 12 of the U.S. Securities Exchange Act of 1934, as amended, or if a registration statement covering the Common Stock (or a filing pursuant to the exemption from registration under Regulation A of the Securities Act) under the Securities Act is not in effect when Purchaser desires to sell the Common Stock, Purchaser may be required to hold the Common Stock for an indeterminate period. Purchaser also acknowledges that Purchaser understands that any sale of the Common Stock which might be made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by Purchaser in reliance upon Rule 144 under the Securities Act may be made only in limited amounts in accordance with the terms and conditions of that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33.NO DUTY TO TRANSFER IN VIOLATION OF THIS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shall not be required (a) to transfer on its books any shares of Common Stock of the Company which shall have been sold or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34.RIGHTS OF 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20" w:hanging="644"/>
        <w:spacing w:after="0" w:line="277" w:lineRule="auto"/>
        <w:tabs>
          <w:tab w:leader="none" w:pos="129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Except as otherwise provided herein, Purchaser shall, during the term of this Agreement, exercise all rights and privileges of a stockholder of the Company with respect to the Common Stock.</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Nothing in this Agreement shall be construed as a right by Purchaser to be retained by the Company, or a parent or subsidiary of the Company in any capacity. The Company reserves the right to terminate Purchaser’s Service at any time and for any reason without thereby incurring any liability to Purchaser.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35.RESALE RESTRICTIONS/MARKET STAND-OFF</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Purchaser hereby agrees that in connection with any underwritten public offering by the Company of its equity securities pursuant to an effective registration statement filed under the Securities Act, including the Company’s initial public offering, Purchaser shall not, directly or indirectly, engage in any transaction prohibited by the underwriter, or sell, make any short sale of, contract to sell, transfer the economic risk of ownership in, loan, hypothecate, pledge, grant any option for the purchase of, or otherwise dispose or transfer for value or agree to engage in any of the foregoing transactions with respect to any Common Stock without the prior written consent of the Company or its underwriters, for such period of time after the effective date of such registration statement as may be requested by the Company or such underwriters. Such period of time shall not exceed one hundred eighty (180) days; provided, however, that if either (a) during the last seventeen (17) days of such one hundred eighty (180) day period, the Company issues an earnings release or material news or a material event relating to the Company occurs or (b) prior to the expiration of such one hundred eighty (180) day period, the Company announces that it will release earnings results during the sixteen (16) day period beginning on the last day of the one hundred eighty (180) day period, then the restrictions imposed during such one hundred eighty (180) day period shall continue to apply until the expiration of the eighteen (18) day period beginning on</w:t>
      </w:r>
    </w:p>
    <w:p>
      <w:pPr>
        <w:sectPr>
          <w:pgSz w:w="11900" w:h="16930" w:orient="portrait"/>
          <w:cols w:equalWidth="0" w:num="1">
            <w:col w:w="11400"/>
          </w:cols>
          <w:pgMar w:left="240" w:top="125" w:right="259" w:bottom="0" w:gutter="0" w:footer="0" w:header="0"/>
        </w:sectPr>
      </w:pPr>
    </w:p>
    <w:bookmarkStart w:id="275" w:name="page276"/>
    <w:bookmarkEnd w:id="275"/>
    <w:p>
      <w:pPr>
        <w:spacing w:after="0" w:line="50"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issuance of the earnings release or the occurrence of the material news or material event; and provided, further, that in the event the Company or the underwriter requests that the one hundred eighty (180) day period be extended or modified pursuant to then-applicable law, rules, regulations or trading policies, the restrictions imposed during the one hundred eighty (180) day period shall continue to apply to the extent requested by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or the underwriter to comply with such law, rules, regulations or trading policies. Purchaser hereby agrees to execute and deliver such other agreements as may be reasonably requested by the Company or the underwriter which are consistent with the foregoing or which are necessary to give further effect thereto. To enforce the provisions of this Section, the Company may impose stop-transfer instructions with respect to the Common Stock until the end of the applicable stand-off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36.OTHER NECESSARY ACTIONS</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37.NOTICE</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Any notice required or permitted under this Agreement shall be given in writing and shall be deemed effectively given upon the earliest of personal delivery, receipt or the third full day following deposit in the United States Post Office with postage and fees prepaid, addressed to the other party hereto at the address last known or at such other address as such party may designate by ten (10) days’ advance written notice to the other party hereto.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38.SUCCESSORS AND ASSIGNS</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This Agreement shall inure to the benefit of the successors and assigns of the Company and, subject to the restrictions on transfer herein set forth, be binding upon Purchaser and Purchaser’s heirs, executors, administrators, successors and assigns. The failure of the Company in any instance to exercise the Repurchase Right or Right of First Refusal described herein shall not constitute a waiver of any other Repurchase Right or Right of First Refusal that may subsequently arise under the provisions of this Agreement. No waiver of any breach or condition of this Agreement shall be deemed to be a waiver of any other or subsequent breach or condition, whether of a like or different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39.APPLICABLE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as such laws are applied to contracts entered into and performed in such 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40.NO STATE QUALIFICATION</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SALE OF THE SECURITIES WHICH ARE THE SUBJECT OF THIS AGREEMENT HAS NOT BEEN QUALIFIED WITH THE COMMISSIONER OF CORPORATIONS OF THE STATE OF NEW YORK, AND THE ISSUANCE OF SUCH SECURITIES OR THE PAYMENT OR RECEIPT OF ANY PART OF THE CONSIDERATION THEREFOR PRIOR TO SUCH QUALIFICATION IS UNLAWFUL, UNLESS THE SALE OF SECURITIES IS EXEMPT FROM QUALIFICATION BY SECTION 25100, 25102 OR 25105 OF THE CALIFORNIA CORPORATIONS CODE.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RIGHTS OF ALL PARTIES TO THIS AGREEMENT ARE EXPRESSLY CONDITIONED UPON SUCH QUALIFICATION BEING OBTAINED, UNLESS THE SALE IS SO EXEMPT.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41.NO ORAL MODIFICATION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modification of this Agreement shall be valid unless made in writing and signed by the parties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42.ENTIRE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Agreement, the Option Agreement and the Plan constitute the entire complete and final agreement between the parties hereto with regard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5" w:lineRule="exact"/>
        <w:rPr>
          <w:sz w:val="20"/>
          <w:szCs w:val="20"/>
          <w:color w:val="auto"/>
        </w:rPr>
      </w:pPr>
    </w:p>
    <w:p>
      <w:pPr>
        <w:ind w:left="660"/>
        <w:spacing w:after="0"/>
        <w:tabs>
          <w:tab w:leader="none" w:pos="5700" w:val="left"/>
        </w:tabs>
        <w:rPr>
          <w:sz w:val="20"/>
          <w:szCs w:val="20"/>
          <w:color w:val="auto"/>
        </w:rPr>
      </w:pPr>
      <w:r>
        <w:rPr>
          <w:rFonts w:ascii="Arial" w:cs="Arial" w:eastAsia="Arial" w:hAnsi="Arial"/>
          <w:sz w:val="18"/>
          <w:szCs w:val="18"/>
          <w:color w:val="auto"/>
        </w:rPr>
        <w:t>MongoDB, INC.</w:t>
      </w:r>
      <w:r>
        <w:rPr>
          <w:sz w:val="20"/>
          <w:szCs w:val="20"/>
          <w:color w:val="auto"/>
        </w:rPr>
        <w:tab/>
      </w:r>
      <w:r>
        <w:rPr>
          <w:rFonts w:ascii="Arial" w:cs="Arial" w:eastAsia="Arial" w:hAnsi="Arial"/>
          <w:sz w:val="16"/>
          <w:szCs w:val="16"/>
          <w:color w:val="auto"/>
        </w:rPr>
        <w:t>[First Name Last Name]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ectPr>
          <w:pgSz w:w="11900" w:h="16888" w:orient="portrait"/>
          <w:cols w:equalWidth="0" w:num="1">
            <w:col w:w="11380"/>
          </w:cols>
          <w:pgMar w:left="240" w:top="125" w:right="279" w:bottom="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312166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-10160</wp:posOffset>
            </wp:positionV>
            <wp:extent cx="3714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Secretary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MongoDB,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of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Escrow Agent for MongoDB, Inc. (the “Company”), and [First Name Last Name] (the “Purchaser”), you are authorized and directed to hold the Assignment Separate from Certificate form(s) executed by Purchaser and the certificate(s) of stock representing Purchaser’s unvested shares purchased in accordance with the terms of the notice of exercise and common stock purchase agreement (the “Agreement”) and stock option agreement (the “Option Agreement”) entered into between the Company and Purchaser, in accordance with the following instructions:</w:t>
      </w:r>
    </w:p>
    <w:p>
      <w:pPr>
        <w:spacing w:after="0" w:line="17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1.In the event that the Company elects to exercise the Repurchase Right as described in Section 2 of the Agreement, Purchaser and the Company hereby irrevocably authorize and direct you to close the transaction contemplated, and to promptly deliver the stock certificates.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2.At the closing, you are directed (a) to date the Assignment Separate from Certificate form(s) necessary for the transfer in question, (b) to fill in the number of shares being transferred, and (c) to deliver the form(s), together with the certificate or certificates evidencing the shares to be transferred, to the Company. The Company shall simultaneously deliver to you the repurchase price for the number of shares being purchased pursuant to the exercise of the Repurchase Right.</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3.Purchaser irrevocably authorizes the Company to deposit with you any certificates evidencing shares to be held by you under this letter and any additions and substitutions to the shares as defined in the Agreement. Purchaser irrevocably appoints you as his or her attorneyinfact and agent for the term of this escrow to execute, with respect to the shares of stock, all documents necessary or appropriate to make such securities negotiable and to complete any transaction contemplated by these Joint Escrow Instructions. Subject to the provisions of this Section 3, Purchaser shall exercise all rights and privileges, including but not limited to, the right to vote and to receive dividends (if any), of a stockholder of the Company while the shares are held by you.</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4.In accordance with the terms of Section 5 of the Agreement, you may, from time to time, deliver to Purchaser a certificate or certificates representing shares that are no longer subject to the Repurchase Right.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5.This escrow shall terminate upon the release of all shares held under the terms and provisions hereof.</w:t>
      </w:r>
    </w:p>
    <w:p>
      <w:pPr>
        <w:spacing w:after="0" w:line="22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6.If at the time of termination of this escrow you should have in your possession any documents, securities or other property belonging to Purchaser, you shall deliver them to Purchaser and shall be discharged from all further obligations under these Joint Escrow Instructions.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7.Your duties under these Joint Escrow Instructions may be altered, amended, modified or revoked only by a writing signed by all of the parties.</w:t>
      </w:r>
    </w:p>
    <w:p>
      <w:pPr>
        <w:spacing w:after="0" w:line="24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8.You shall be obligated to perform the duties described in these Joint Escrow Instructions and shall be protected in relying or refraining from acting on any instrument reasonably believed by you to be genuine and to have been signed or presented by the proper party or parties. You shall not be personally liable for any act or omission as Escrow Agent or as attorney-in-fact of Purchaser while acting in good faith and in the exercise of your own good judgment, and any act or omission by you pursuant to the advice of your own attorneys shall be conclusive evidence of such good faith.</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9.You are expressly authorized to disregard any and all warnings given by any of the parties hereto or by any other person or corporation, excepting only orders or process of courts of law, and are expressly authorized to comply with and obey orders, judgments or decrees of any court. In case you obey or comply with any such order, judgment or decree of any court, you shall not be liable to any of the parties under these Joint Escrow Instructions or to any other person, firm or corporation by reason of such compliance, notwithstanding any such order, judgment or decree being subsequently reversed, modified, annulled, set aside, vacated or found to have been entered without jurisdiction.</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10.You shall not be liable in any respect on account of the identity, authority or rights of the parties executing or delivering or purporting to execute or deliver the Agreement or any documents or papers deposited or called for under these Joint Escrow Instructions.</w:t>
      </w:r>
    </w:p>
    <w:p>
      <w:pPr>
        <w:sectPr>
          <w:pgSz w:w="11900" w:h="16838" w:orient="portrait"/>
          <w:cols w:equalWidth="0" w:num="1">
            <w:col w:w="11420"/>
          </w:cols>
          <w:pgMar w:left="240" w:top="557" w:right="239" w:bottom="0" w:gutter="0" w:footer="0" w:header="0"/>
        </w:sectPr>
      </w:pPr>
    </w:p>
    <w:bookmarkStart w:id="277" w:name="page278"/>
    <w:bookmarkEnd w:id="277"/>
    <w:p>
      <w:pPr>
        <w:ind w:right="520" w:firstLine="648"/>
        <w:spacing w:after="0" w:line="277" w:lineRule="auto"/>
        <w:rPr>
          <w:sz w:val="20"/>
          <w:szCs w:val="20"/>
          <w:color w:val="auto"/>
        </w:rPr>
      </w:pPr>
      <w:r>
        <w:rPr>
          <w:rFonts w:ascii="Arial" w:cs="Arial" w:eastAsia="Arial" w:hAnsi="Arial"/>
          <w:sz w:val="18"/>
          <w:szCs w:val="18"/>
          <w:color w:val="auto"/>
        </w:rPr>
        <w:t>11.You shall not be liable for the outlawing of any rights under any statute of limitations with respect to these Joint Escrow Instructions or any documents deposited with you.</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12.You shall be entitled to employ such legal counsel and other experts as you may deem necessary properly to advise you in connection with your obligations under these Joint Escrow Instructions and may rely upon the advice of such counsel.</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13.Your responsibilities as Escrow Agent under these Joint Escrow Instructions shall terminate if you shall cease to be employed by the Company or if you shall resign by written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notice to each party. In the event of any such termination, the Company shall appoint any officer of the Company as successor Escrow Agent.</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14.If you reasonably require other or further instruments in connection with these Joint Escrow Instructions or obligations under these Joint Escrow Instructions, the parties shall furnish such instruments.</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15.It is understood and agreed that should any dispute arise with respect to the delivery and/or ownership or right of possession of the securities held by you under these Joint Escrow Instructions, you are authorized and directed to retain in your possession without liability to anyone all or any part of the securities until the dispute is settled either by mutual written agreement of the parties or by a final order, decree or judgment of a court of competent jurisdiction after the time for appeal has expired and no appeal has been perfected. You are under no duty whatsoever to institute or defend against any such proceedings.</w:t>
      </w:r>
    </w:p>
    <w:p>
      <w:pPr>
        <w:spacing w:after="0" w:line="18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16.Any notice required or permitted under these Joint Escrow Instructions shall be given in writing and will be deemed effectively given upon personal delivery or upon deposit in the United States Post Office, by registered or certified mail with postage and fees prepaid, addressed to each of the other parties.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17.By signing these Joint Escrow Instructions, you become a party only for the purpose of these Joint Escrow Instructions; you do not become a party to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18.This instrument shall be governed by and construed in accordance with the laws of the State of New York.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19.This instrument shall be binding upon and inure to the benefit of the parties hereto and their respective successors and permitted assigns.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880" w:type="dxa"/>
            <w:vAlign w:val="bottom"/>
            <w:gridSpan w:val="3"/>
          </w:tcPr>
          <w:p>
            <w:pPr>
              <w:ind w:left="660"/>
              <w:spacing w:after="0"/>
              <w:rPr>
                <w:sz w:val="20"/>
                <w:szCs w:val="20"/>
                <w:color w:val="auto"/>
              </w:rPr>
            </w:pPr>
            <w:r>
              <w:rPr>
                <w:rFonts w:ascii="Arial" w:cs="Arial" w:eastAsia="Arial" w:hAnsi="Arial"/>
                <w:sz w:val="18"/>
                <w:szCs w:val="18"/>
                <w:color w:val="auto"/>
              </w:rPr>
              <w:t>Very truly yours,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880" w:type="dxa"/>
            <w:vAlign w:val="bottom"/>
            <w:gridSpan w:val="3"/>
          </w:tcPr>
          <w:p>
            <w:pPr>
              <w:ind w:left="660"/>
              <w:spacing w:after="0"/>
              <w:rPr>
                <w:sz w:val="20"/>
                <w:szCs w:val="20"/>
                <w:color w:val="auto"/>
              </w:rPr>
            </w:pPr>
            <w:r>
              <w:rPr>
                <w:rFonts w:ascii="Arial" w:cs="Arial" w:eastAsia="Arial" w:hAnsi="Arial"/>
                <w:sz w:val="18"/>
                <w:szCs w:val="18"/>
                <w:color w:val="auto"/>
              </w:rPr>
              <w:t>MongoDB, INC.</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Its:</w:t>
            </w:r>
          </w:p>
        </w:tc>
        <w:tc>
          <w:tcPr>
            <w:tcW w:w="4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54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1160" w:type="dxa"/>
            <w:vAlign w:val="bottom"/>
          </w:tcPr>
          <w:p>
            <w:pPr>
              <w:spacing w:after="0"/>
              <w:rPr>
                <w:sz w:val="24"/>
                <w:szCs w:val="24"/>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[First Name Last Name]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tcBorders>
              <w:bottom w:val="single" w:sz="8" w:color="auto"/>
            </w:tcBorders>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Signature</w:t>
            </w:r>
          </w:p>
        </w:tc>
        <w:tc>
          <w:tcPr>
            <w:tcW w:w="116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LETTER IF YOU ARE EXERCISING PRIOR TO VESTING (“EARLY EXERCISE”). IF YOU ARE NOT EARLY EXERCISING, DO NOT COMPLETE THIS 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FOR VALUE RECEIVED, [First Name Last Name] sells, assigns and transfers to MongoDB, Inc. (the “Company”) or its assignee [print the number of shares] ([# of shares]) shares of the Common Stock of the Company (the “Shares”), standing in his or her name on the books of the Company represented</w:t>
      </w:r>
    </w:p>
    <w:p>
      <w:pPr>
        <w:ind w:right="520"/>
        <w:spacing w:after="0" w:line="261" w:lineRule="auto"/>
        <w:rPr>
          <w:sz w:val="20"/>
          <w:szCs w:val="20"/>
          <w:color w:val="auto"/>
        </w:rPr>
      </w:pPr>
      <w:r>
        <w:rPr>
          <w:rFonts w:ascii="Arial" w:cs="Arial" w:eastAsia="Arial" w:hAnsi="Arial"/>
          <w:sz w:val="18"/>
          <w:szCs w:val="18"/>
          <w:color w:val="auto"/>
        </w:rPr>
        <w:t>by Certificate No. and irrevocably constitutes and appoints [Name/Title of Escrow Agent] as Attorney to transfer the Shares on the books of the Company with full power of substitution in the premises.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Dated: ___________, 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Name Last Name]</w:t>
      </w:r>
    </w:p>
    <w:p>
      <w:pPr>
        <w:sectPr>
          <w:pgSz w:w="11900" w:h="16838" w:orient="portrait"/>
          <w:cols w:equalWidth="0" w:num="1">
            <w:col w:w="11420"/>
          </w:cols>
          <w:pgMar w:left="240" w:top="126" w:right="239" w:bottom="0" w:gutter="0" w:footer="0" w:header="0"/>
        </w:sectPr>
      </w:pPr>
    </w:p>
    <w:bookmarkStart w:id="278" w:name="page279"/>
    <w:bookmarkEnd w:id="278"/>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Spousal Consent (if applicable)</w:t>
      </w:r>
    </w:p>
    <w:p>
      <w:pPr>
        <w:spacing w:after="0" w:line="225" w:lineRule="exact"/>
        <w:rPr>
          <w:sz w:val="20"/>
          <w:szCs w:val="20"/>
          <w:color w:val="auto"/>
        </w:rPr>
      </w:pPr>
    </w:p>
    <w:p>
      <w:pPr>
        <w:ind w:right="260" w:firstLine="1544"/>
        <w:spacing w:after="0" w:line="277" w:lineRule="auto"/>
        <w:rPr>
          <w:sz w:val="20"/>
          <w:szCs w:val="20"/>
          <w:color w:val="auto"/>
        </w:rPr>
      </w:pPr>
      <w:r>
        <w:rPr>
          <w:rFonts w:ascii="Arial" w:cs="Arial" w:eastAsia="Arial" w:hAnsi="Arial"/>
          <w:sz w:val="18"/>
          <w:szCs w:val="18"/>
          <w:color w:val="auto"/>
        </w:rPr>
        <w:t>(Purchaser’s spouse) indicates by the execution of this Assignment his or her consent to be bound by the terms herein as to his or her interests, whether as community property or otherwise, if any, in the Shares.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14605</wp:posOffset>
            </wp:positionV>
            <wp:extent cx="270129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14605</wp:posOffset>
            </wp:positionV>
            <wp:extent cx="292417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FORM IF YOU ARE EXERCISING PRIOR TO VESTING (“EARLY EXERCISE”). IF YOU ARE NOT EARLY EXERCISING, DO NOT COMPLETE THIS FORM. PLEASE DO NOT FILL IN ANY BLANKS OTHER THAN THE SIGNATURE LINE. THE PURPOSE OF THIS ASSIGNMENT IS TO ENABLE THE COMPANY TO EXERCISE ITS “REPURCHASE RIGHT” SET FORTH IN THE NOTICE OF EXERCISE AND COMMON STOCK PURCHASE AGREEMENT WITHOUT REQUIRING ADDITIONAL SIGNATURES.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C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ASSIGNMENT SEPARATE FROM CERTIFICATE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ACKNOWLEDGMENT OF AND AGREEMENT TO BE BOUND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THE NOTICE OF EXERCISE AND COMMON STOCK PURCHASE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MONGODB, INC.</w:t>
      </w:r>
    </w:p>
    <w:p>
      <w:pPr>
        <w:spacing w:after="0" w:line="21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undersigned, as transferee of shares of MongoDB, Inc. hereby acknowledges that he or she has read and reviewed the terms of the Notice of Exercise and Common Stock Purchase Agreement of MongoDB, Inc. and hereby agrees to be bound by the terms and conditions thereof, as if the undersigned had executed said Agreement as an original party thereto.</w:t>
      </w:r>
    </w:p>
    <w:p>
      <w:pPr>
        <w:spacing w:after="0" w:line="181" w:lineRule="exact"/>
        <w:rPr>
          <w:sz w:val="20"/>
          <w:szCs w:val="20"/>
          <w:color w:val="auto"/>
        </w:rPr>
      </w:pPr>
    </w:p>
    <w:p>
      <w:pPr>
        <w:ind w:left="660"/>
        <w:spacing w:after="0"/>
        <w:tabs>
          <w:tab w:leader="none" w:pos="2100" w:val="left"/>
          <w:tab w:leader="none" w:pos="2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-10160</wp:posOffset>
            </wp:positionV>
            <wp:extent cx="74295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(Printed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D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ACKNOWLEDGMENT OF AND AGREEMENT TO BE BOUND BY THE NOTICE OF EXERCISE AND COMMON STOCK PURCHASE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STEP-BY-STEP INSTRUCTIONS TO</w:t>
      </w:r>
    </w:p>
    <w:p>
      <w:pPr>
        <w:spacing w:after="0" w:line="2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MAKE A SECTION 83(b) ELECTION</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WORD OF CAUTION: IF YOU CHOOSE TO FILE A SECTION 83(b) ELECTION, YOU MUST FILE YOUR</w:t>
      </w:r>
    </w:p>
    <w:p>
      <w:pPr>
        <w:spacing w:after="0" w:line="2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b w:val="1"/>
          <w:bCs w:val="1"/>
          <w:color w:val="auto"/>
        </w:rPr>
        <w:t>SECTION 83(b) ELECTION FORM WITH THE IRS NO LATER THAN 30 DAYS FOLLOWING THE DATE ON WHICH YOU SIGN THE NOTICE OF EXERCISE (EXHIBIT A) AND PAY THE EXERCISE PRICE. THE 30-DAY DEADLINE IS ABSOLUTE AND CANNOT BE WAIVED UNDER ANY CIRCUMSTANCES. ALSO, ONCE FILED, YOUR SECTION 83(b) ELECTION FORM MAY NOT BE REVOKED, EXCEPT WITH THE CONSENT OF THE IRS (WHICH CONSENT IS GENERALLY DENIED).</w:t>
      </w:r>
    </w:p>
    <w:p>
      <w:pPr>
        <w:spacing w:after="0" w:line="186" w:lineRule="exact"/>
        <w:rPr>
          <w:sz w:val="20"/>
          <w:szCs w:val="20"/>
          <w:color w:val="auto"/>
        </w:rPr>
      </w:pPr>
    </w:p>
    <w:p>
      <w:pPr>
        <w:ind w:right="300" w:firstLine="648"/>
        <w:spacing w:after="0" w:line="261" w:lineRule="auto"/>
        <w:rPr>
          <w:sz w:val="20"/>
          <w:szCs w:val="20"/>
          <w:color w:val="auto"/>
        </w:rPr>
      </w:pPr>
      <w:r>
        <w:rPr>
          <w:rFonts w:ascii="Arial" w:cs="Arial" w:eastAsia="Arial" w:hAnsi="Arial"/>
          <w:sz w:val="18"/>
          <w:szCs w:val="18"/>
          <w:b w:val="1"/>
          <w:bCs w:val="1"/>
          <w:color w:val="auto"/>
        </w:rPr>
        <w:t>THESE INSTRUCTIONS ARE DISTRIBUTED MERELY FOR CONVENIENCE IN THE EVENT YOU CHOOSE TO FILE AN 83(b) ELECTION. THEY SHOULD NOT BE RELIED UPON BY ANY PERSON IN DECIDING WHETHER OR WHEN TO EXERCISE AN OPTION OR TO MAKE AN 83(b) ELECTION. EACH PERSON SHOULD CONSULT HIS OR HER OWN TAX ADVISOR REGARDING THESE MATTERS.</w:t>
      </w:r>
    </w:p>
    <w:p>
      <w:pPr>
        <w:spacing w:after="0" w:line="180" w:lineRule="exact"/>
        <w:rPr>
          <w:sz w:val="20"/>
          <w:szCs w:val="20"/>
          <w:color w:val="auto"/>
        </w:rPr>
      </w:pPr>
    </w:p>
    <w:p>
      <w:pPr>
        <w:ind w:left="1300" w:right="380" w:hanging="1296"/>
        <w:spacing w:after="0" w:line="264" w:lineRule="auto"/>
        <w:tabs>
          <w:tab w:leader="none" w:pos="1280" w:val="left"/>
        </w:tabs>
        <w:rPr>
          <w:sz w:val="20"/>
          <w:szCs w:val="20"/>
          <w:color w:val="auto"/>
        </w:rPr>
      </w:pPr>
      <w:r>
        <w:rPr>
          <w:rFonts w:ascii="Arial" w:cs="Arial" w:eastAsia="Arial" w:hAnsi="Arial"/>
          <w:sz w:val="18"/>
          <w:szCs w:val="18"/>
          <w:b w:val="1"/>
          <w:bCs w:val="1"/>
          <w:color w:val="auto"/>
        </w:rPr>
        <w:t>Step 1.</w:t>
      </w:r>
      <w:r>
        <w:rPr>
          <w:sz w:val="20"/>
          <w:szCs w:val="20"/>
          <w:color w:val="auto"/>
        </w:rPr>
        <w:tab/>
      </w:r>
      <w:r>
        <w:rPr>
          <w:rFonts w:ascii="Arial" w:cs="Arial" w:eastAsia="Arial" w:hAnsi="Arial"/>
          <w:sz w:val="18"/>
          <w:szCs w:val="18"/>
          <w:color w:val="auto"/>
        </w:rPr>
        <w:t xml:space="preserve">Complete and execute the 83(b) Form found on page E-4 of this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(the “83(b) Form”). Do not fill in the blank in paragraph 6, which relates to the fair market value of the property at the time of transfer. Submit the 83(b) Form to the Company and ask that the Company insert the per share fair market value of the shares in paragraph 6 of the 83(b) Form.</w:t>
      </w:r>
    </w:p>
    <w:p>
      <w:pPr>
        <w:sectPr>
          <w:pgSz w:w="11900" w:h="16838" w:orient="portrait"/>
          <w:cols w:equalWidth="0" w:num="1">
            <w:col w:w="11380"/>
          </w:cols>
          <w:pgMar w:left="240" w:top="571" w:right="279" w:bottom="0" w:gutter="0" w:footer="0" w:header="0"/>
        </w:sectPr>
      </w:pPr>
    </w:p>
    <w:bookmarkStart w:id="279" w:name="page280"/>
    <w:bookmarkEnd w:id="279"/>
    <w:p>
      <w:pPr>
        <w:spacing w:after="0"/>
        <w:tabs>
          <w:tab w:leader="none" w:pos="1300" w:val="left"/>
        </w:tabs>
        <w:rPr>
          <w:sz w:val="20"/>
          <w:szCs w:val="20"/>
          <w:color w:val="auto"/>
        </w:rPr>
      </w:pPr>
      <w:r>
        <w:rPr>
          <w:rFonts w:ascii="Arial" w:cs="Arial" w:eastAsia="Arial" w:hAnsi="Arial"/>
          <w:sz w:val="18"/>
          <w:szCs w:val="18"/>
          <w:b w:val="1"/>
          <w:bCs w:val="1"/>
          <w:color w:val="auto"/>
        </w:rPr>
        <w:t>Step 2.</w:t>
      </w:r>
      <w:r>
        <w:rPr>
          <w:sz w:val="20"/>
          <w:szCs w:val="20"/>
          <w:color w:val="auto"/>
        </w:rPr>
        <w:tab/>
      </w:r>
      <w:r>
        <w:rPr>
          <w:rFonts w:ascii="Arial" w:cs="Arial" w:eastAsia="Arial" w:hAnsi="Arial"/>
          <w:sz w:val="16"/>
          <w:szCs w:val="16"/>
          <w:color w:val="auto"/>
        </w:rPr>
        <w:t>Make four copies of the executed and completed 83(b) Form.</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Step 3.</w:t>
      </w:r>
      <w:r>
        <w:rPr>
          <w:sz w:val="20"/>
          <w:szCs w:val="20"/>
          <w:color w:val="auto"/>
        </w:rPr>
        <w:tab/>
      </w:r>
      <w:r>
        <w:rPr>
          <w:rFonts w:ascii="Arial" w:cs="Arial" w:eastAsia="Arial" w:hAnsi="Arial"/>
          <w:sz w:val="16"/>
          <w:szCs w:val="16"/>
          <w:color w:val="auto"/>
        </w:rPr>
        <w:t>Mail (a) the cover letter on page E-3; (b) the original executed 83(b) Form on page E-4; and (c) if you are exercising an ISO, the Special</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Election Form on page E-5 to the Internal Revenue Service Center where you file your U.S. federal income tax return.</w:t>
      </w:r>
    </w:p>
    <w:p>
      <w:pPr>
        <w:spacing w:after="0" w:line="211" w:lineRule="exact"/>
        <w:rPr>
          <w:sz w:val="20"/>
          <w:szCs w:val="20"/>
          <w:color w:val="auto"/>
        </w:rPr>
      </w:pPr>
    </w:p>
    <w:p>
      <w:pPr>
        <w:ind w:left="1300" w:right="560"/>
        <w:spacing w:after="0" w:line="277" w:lineRule="auto"/>
        <w:rPr>
          <w:sz w:val="20"/>
          <w:szCs w:val="20"/>
          <w:color w:val="auto"/>
        </w:rPr>
      </w:pPr>
      <w:r>
        <w:rPr>
          <w:rFonts w:ascii="Arial" w:cs="Arial" w:eastAsia="Arial" w:hAnsi="Arial"/>
          <w:sz w:val="18"/>
          <w:szCs w:val="18"/>
          <w:color w:val="auto"/>
        </w:rPr>
        <w:t>PLEASE NOTE THAT IF YOU ARE EXERCISING AN ISO FOR UNVESTED SHARES, AN 83(b) ELECTION WILL NOT BE EFFECTIVE TO LIMIT THE AMOUNT OF ORDINARY INCOME THAT YOU MAY BE REQUIRED TO</w:t>
      </w:r>
    </w:p>
    <w:p>
      <w:pPr>
        <w:spacing w:after="0" w:line="184" w:lineRule="exact"/>
        <w:rPr>
          <w:sz w:val="20"/>
          <w:szCs w:val="20"/>
          <w:color w:val="auto"/>
        </w:rPr>
      </w:pPr>
    </w:p>
    <w:p>
      <w:pPr>
        <w:ind w:left="20"/>
        <w:spacing w:after="0" w:line="276" w:lineRule="auto"/>
        <w:rPr>
          <w:sz w:val="20"/>
          <w:szCs w:val="20"/>
          <w:color w:val="auto"/>
        </w:rPr>
      </w:pPr>
      <w:r>
        <w:rPr>
          <w:rFonts w:ascii="Arial" w:cs="Arial" w:eastAsia="Arial" w:hAnsi="Arial"/>
          <w:sz w:val="17"/>
          <w:szCs w:val="17"/>
          <w:color w:val="auto"/>
        </w:rPr>
        <w:t>Internal Revenue Service regulations generally provide that, for the purpose of avoiding federal tax penalties, a taxpayer may rely only on formal written advice meeting specific requirements. The tax discussion in this document does not meet those requirements. Accordingly, the tax discussion was not intended or written to be used, and it cannot be used, for the purpose of avoiding federal tax penalties that may be imposed on you. Further, the tax discussion in this document could be considered to support the promotion or marketing of the transaction or matter discussed herein. You and any other person reading the tax discussion should seek advice based on his, her or its particular circumstances from an independent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7029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RECOGNIZE ON A DISQUALIFYING DISPOSITION, ACCORDING TO U.S. TREASURY REGULATIONS. PLEASE SEE SUMMARY OF U.S. FEDERAL TAX INFORMATION AT EXHIBIT F AND CONSULT YOUR TAX ADVISOR WITH RESPECT TO THE EARLY EXERCISE OF AN ISO.</w:t>
      </w:r>
    </w:p>
    <w:p>
      <w:pPr>
        <w:spacing w:after="0" w:line="181" w:lineRule="exact"/>
        <w:rPr>
          <w:sz w:val="20"/>
          <w:szCs w:val="20"/>
          <w:color w:val="auto"/>
        </w:rPr>
      </w:pPr>
    </w:p>
    <w:p>
      <w:pPr>
        <w:ind w:left="1300" w:right="80"/>
        <w:spacing w:after="0" w:line="270" w:lineRule="auto"/>
        <w:rPr>
          <w:sz w:val="20"/>
          <w:szCs w:val="20"/>
          <w:color w:val="auto"/>
        </w:rPr>
      </w:pPr>
      <w:r>
        <w:rPr>
          <w:rFonts w:ascii="Arial" w:cs="Arial" w:eastAsia="Arial" w:hAnsi="Arial"/>
          <w:sz w:val="17"/>
          <w:szCs w:val="17"/>
          <w:color w:val="auto"/>
        </w:rPr>
        <w:t>The tax, if any, arising out of your election does not have to be paid until you file your tax return for the taxable year in which you purchased your option shares (except to the extent that withholding taxes or estimated taxes are payable). The forms must be filed no later than 30 days following the date on which you sign the Notice of Exercise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pay the exercise price. </w:t>
      </w:r>
      <w:r>
        <w:rPr>
          <w:rFonts w:ascii="Arial" w:cs="Arial" w:eastAsia="Arial" w:hAnsi="Arial"/>
          <w:sz w:val="17"/>
          <w:szCs w:val="17"/>
          <w:i w:val="1"/>
          <w:iCs w:val="1"/>
          <w:color w:val="auto"/>
        </w:rPr>
        <w:t>The 30day deadline 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absolute and cannot be waived under any circumstances. </w:t>
      </w:r>
      <w:r>
        <w:rPr>
          <w:rFonts w:ascii="Arial" w:cs="Arial" w:eastAsia="Arial" w:hAnsi="Arial"/>
          <w:sz w:val="17"/>
          <w:szCs w:val="17"/>
          <w:color w:val="auto"/>
        </w:rPr>
        <w:t>The filing is deemed to be made on the date that the forms are mailed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post office, i.e., the postmark date. Mail the forms by registered or certified mail, return receipt requested, so that you have proof that you filed the forms within the 30-day period. If you miss the deadline, you will be taxed on your option shares as they vest based on the value of the shares at that time. Your 83(b) filing with the Internal Revenue Service is deemed to cause a similar election with the California Franchise Tax Board for California income tax purposes. If you do not reside in California, you should seek local tax advice on whether you must make a separate filing with your state of residence.</w:t>
      </w:r>
    </w:p>
    <w:p>
      <w:pPr>
        <w:spacing w:after="0" w:line="178" w:lineRule="exact"/>
        <w:rPr>
          <w:sz w:val="20"/>
          <w:szCs w:val="20"/>
          <w:color w:val="auto"/>
        </w:rPr>
      </w:pPr>
    </w:p>
    <w:p>
      <w:pPr>
        <w:ind w:left="1300" w:right="2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Step 4.</w:t>
      </w:r>
      <w:r>
        <w:rPr>
          <w:sz w:val="20"/>
          <w:szCs w:val="20"/>
          <w:color w:val="auto"/>
        </w:rPr>
        <w:tab/>
      </w:r>
      <w:r>
        <w:rPr>
          <w:rFonts w:ascii="Arial" w:cs="Arial" w:eastAsia="Arial" w:hAnsi="Arial"/>
          <w:sz w:val="18"/>
          <w:szCs w:val="18"/>
          <w:color w:val="auto"/>
        </w:rPr>
        <w:t>Mail or submit a copy of the filing with the Company on the same day that you file the 83(b) Form, and make sure that you retain copies of the forms for your records and for filing with your tax returns (see Step 5).</w:t>
      </w:r>
    </w:p>
    <w:p>
      <w:pPr>
        <w:spacing w:after="0" w:line="170"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b w:val="1"/>
          <w:bCs w:val="1"/>
          <w:color w:val="auto"/>
        </w:rPr>
        <w:t>Step 5.</w:t>
      </w:r>
      <w:r>
        <w:rPr>
          <w:sz w:val="20"/>
          <w:szCs w:val="20"/>
          <w:color w:val="auto"/>
        </w:rPr>
        <w:tab/>
      </w:r>
      <w:r>
        <w:rPr>
          <w:rFonts w:ascii="Arial" w:cs="Arial" w:eastAsia="Arial" w:hAnsi="Arial"/>
          <w:sz w:val="18"/>
          <w:szCs w:val="18"/>
          <w:color w:val="auto"/>
        </w:rPr>
        <w:t>File copies of the forms with your U.S. federal tax (and state tax, if appropriate) returns for the taxable year in which you purchased your option shares.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E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STEP-BY-STEP INSTRUCTIONS TO MAKE A SECTION 83(b) ELECTION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940" w:type="dxa"/>
            <w:vAlign w:val="bottom"/>
            <w:gridSpan w:val="3"/>
          </w:tcPr>
          <w:p>
            <w:pPr>
              <w:spacing w:after="0"/>
              <w:rPr>
                <w:sz w:val="20"/>
                <w:szCs w:val="20"/>
                <w:color w:val="auto"/>
              </w:rPr>
            </w:pPr>
            <w:r>
              <w:rPr>
                <w:rFonts w:ascii="Arial" w:cs="Arial" w:eastAsia="Arial" w:hAnsi="Arial"/>
                <w:sz w:val="18"/>
                <w:szCs w:val="18"/>
                <w:b w:val="1"/>
                <w:bCs w:val="1"/>
                <w:color w:val="auto"/>
              </w:rPr>
              <w:t>[First Name Last Name]</w:t>
            </w:r>
          </w:p>
        </w:tc>
        <w:tc>
          <w:tcPr>
            <w:tcW w:w="60" w:type="dxa"/>
            <w:vAlign w:val="bottom"/>
          </w:tcPr>
          <w:p>
            <w:pPr>
              <w:spacing w:after="0"/>
              <w:rPr>
                <w:sz w:val="20"/>
                <w:szCs w:val="20"/>
                <w:color w:val="auto"/>
              </w:rPr>
            </w:pPr>
          </w:p>
        </w:tc>
      </w:tr>
      <w:tr>
        <w:trPr>
          <w:trHeight w:val="432"/>
        </w:trPr>
        <w:tc>
          <w:tcPr>
            <w:tcW w:w="1780" w:type="dxa"/>
            <w:vAlign w:val="bottom"/>
          </w:tcPr>
          <w:p>
            <w:pPr>
              <w:spacing w:after="0"/>
              <w:rPr>
                <w:sz w:val="24"/>
                <w:szCs w:val="24"/>
                <w:color w:val="auto"/>
              </w:rPr>
            </w:pPr>
          </w:p>
        </w:tc>
        <w:tc>
          <w:tcPr>
            <w:tcW w:w="9160" w:type="dxa"/>
            <w:vAlign w:val="bottom"/>
            <w:gridSpan w:val="2"/>
          </w:tcPr>
          <w:p>
            <w:pPr>
              <w:ind w:left="3120"/>
              <w:spacing w:after="0"/>
              <w:rPr>
                <w:sz w:val="20"/>
                <w:szCs w:val="20"/>
                <w:color w:val="auto"/>
              </w:rPr>
            </w:pPr>
            <w:r>
              <w:rPr>
                <w:rFonts w:ascii="Arial" w:cs="Arial" w:eastAsia="Arial" w:hAnsi="Arial"/>
                <w:sz w:val="18"/>
                <w:szCs w:val="18"/>
                <w:b w:val="1"/>
                <w:bCs w:val="1"/>
                <w:color w:val="auto"/>
              </w:rPr>
              <w:t>[Optionee’s Address]</w:t>
            </w:r>
          </w:p>
        </w:tc>
        <w:tc>
          <w:tcPr>
            <w:tcW w:w="60" w:type="dxa"/>
            <w:vAlign w:val="bottom"/>
          </w:tcPr>
          <w:p>
            <w:pPr>
              <w:spacing w:after="0"/>
              <w:rPr>
                <w:sz w:val="24"/>
                <w:szCs w:val="24"/>
                <w:color w:val="auto"/>
              </w:rPr>
            </w:pPr>
          </w:p>
        </w:tc>
      </w:tr>
      <w:tr>
        <w:trPr>
          <w:trHeight w:val="432"/>
        </w:trPr>
        <w:tc>
          <w:tcPr>
            <w:tcW w:w="1094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60" w:type="dxa"/>
            <w:vAlign w:val="bottom"/>
          </w:tcPr>
          <w:p>
            <w:pPr>
              <w:spacing w:after="0"/>
              <w:rPr>
                <w:sz w:val="24"/>
                <w:szCs w:val="24"/>
                <w:color w:val="auto"/>
              </w:rPr>
            </w:pPr>
          </w:p>
        </w:tc>
      </w:tr>
      <w:tr>
        <w:trPr>
          <w:trHeight w:val="392"/>
        </w:trPr>
        <w:tc>
          <w:tcPr>
            <w:tcW w:w="10940" w:type="dxa"/>
            <w:vAlign w:val="bottom"/>
            <w:gridSpan w:val="3"/>
          </w:tcPr>
          <w:p>
            <w:pPr>
              <w:spacing w:after="0"/>
              <w:rPr>
                <w:sz w:val="20"/>
                <w:szCs w:val="20"/>
                <w:color w:val="auto"/>
              </w:rPr>
            </w:pPr>
            <w:r>
              <w:rPr>
                <w:rFonts w:ascii="Arial" w:cs="Arial" w:eastAsia="Arial" w:hAnsi="Arial"/>
                <w:sz w:val="18"/>
                <w:szCs w:val="18"/>
                <w:color w:val="auto"/>
              </w:rPr>
              <w:t>VIA CERTIFIED MAIL</w:t>
            </w:r>
          </w:p>
        </w:tc>
        <w:tc>
          <w:tcPr>
            <w:tcW w:w="60" w:type="dxa"/>
            <w:vAlign w:val="bottom"/>
          </w:tcPr>
          <w:p>
            <w:pPr>
              <w:spacing w:after="0"/>
              <w:rPr>
                <w:sz w:val="24"/>
                <w:szCs w:val="24"/>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4"/>
        </w:trPr>
        <w:tc>
          <w:tcPr>
            <w:tcW w:w="10940" w:type="dxa"/>
            <w:vAlign w:val="bottom"/>
            <w:gridSpan w:val="3"/>
          </w:tcPr>
          <w:p>
            <w:pPr>
              <w:spacing w:after="0"/>
              <w:rPr>
                <w:sz w:val="20"/>
                <w:szCs w:val="20"/>
                <w:color w:val="auto"/>
              </w:rPr>
            </w:pPr>
            <w:r>
              <w:rPr>
                <w:rFonts w:ascii="Arial" w:cs="Arial" w:eastAsia="Arial" w:hAnsi="Arial"/>
                <w:sz w:val="18"/>
                <w:szCs w:val="18"/>
                <w:color w:val="auto"/>
              </w:rPr>
              <w:t>Return Receipt Requested</w:t>
            </w:r>
          </w:p>
        </w:tc>
        <w:tc>
          <w:tcPr>
            <w:tcW w:w="60" w:type="dxa"/>
            <w:vAlign w:val="bottom"/>
          </w:tcPr>
          <w:p>
            <w:pPr>
              <w:spacing w:after="0"/>
              <w:rPr>
                <w:sz w:val="24"/>
                <w:szCs w:val="24"/>
                <w:color w:val="auto"/>
              </w:rPr>
            </w:pPr>
          </w:p>
        </w:tc>
      </w:tr>
      <w:tr>
        <w:trPr>
          <w:trHeight w:val="234"/>
        </w:trPr>
        <w:tc>
          <w:tcPr>
            <w:tcW w:w="10940" w:type="dxa"/>
            <w:vAlign w:val="bottom"/>
            <w:gridSpan w:val="3"/>
          </w:tcPr>
          <w:p>
            <w:pPr>
              <w:spacing w:after="0"/>
              <w:rPr>
                <w:sz w:val="20"/>
                <w:szCs w:val="20"/>
                <w:color w:val="auto"/>
              </w:rPr>
            </w:pPr>
            <w:r>
              <w:rPr>
                <w:rFonts w:ascii="Arial" w:cs="Arial" w:eastAsia="Arial" w:hAnsi="Arial"/>
                <w:sz w:val="18"/>
                <w:szCs w:val="18"/>
                <w:color w:val="auto"/>
              </w:rPr>
              <w:t xml:space="preserve">Receipt </w:t>
            </w:r>
            <w:r>
              <w:rPr>
                <w:rFonts w:ascii="Arial" w:cs="Arial" w:eastAsia="Arial" w:hAnsi="Arial"/>
                <w:sz w:val="18"/>
                <w:szCs w:val="18"/>
                <w:b w:val="1"/>
                <w:bCs w:val="1"/>
                <w:color w:val="auto"/>
              </w:rPr>
              <w:t>[enter receipt # here]</w:t>
            </w:r>
          </w:p>
        </w:tc>
        <w:tc>
          <w:tcPr>
            <w:tcW w:w="60" w:type="dxa"/>
            <w:vAlign w:val="bottom"/>
          </w:tcPr>
          <w:p>
            <w:pPr>
              <w:spacing w:after="0"/>
              <w:rPr>
                <w:sz w:val="20"/>
                <w:szCs w:val="20"/>
                <w:color w:val="auto"/>
              </w:rPr>
            </w:pPr>
          </w:p>
        </w:tc>
      </w:tr>
      <w:tr>
        <w:trPr>
          <w:trHeight w:val="414"/>
        </w:trPr>
        <w:tc>
          <w:tcPr>
            <w:tcW w:w="10940" w:type="dxa"/>
            <w:vAlign w:val="bottom"/>
            <w:gridSpan w:val="3"/>
          </w:tcPr>
          <w:p>
            <w:pPr>
              <w:spacing w:after="0"/>
              <w:rPr>
                <w:sz w:val="20"/>
                <w:szCs w:val="20"/>
                <w:color w:val="auto"/>
              </w:rPr>
            </w:pPr>
            <w:r>
              <w:rPr>
                <w:rFonts w:ascii="Arial" w:cs="Arial" w:eastAsia="Arial" w:hAnsi="Arial"/>
                <w:sz w:val="18"/>
                <w:szCs w:val="18"/>
                <w:color w:val="auto"/>
              </w:rPr>
              <w:t>Internal Revenue Service Center</w:t>
            </w:r>
          </w:p>
        </w:tc>
        <w:tc>
          <w:tcPr>
            <w:tcW w:w="60" w:type="dxa"/>
            <w:vAlign w:val="bottom"/>
          </w:tcPr>
          <w:p>
            <w:pPr>
              <w:spacing w:after="0"/>
              <w:rPr>
                <w:sz w:val="24"/>
                <w:szCs w:val="24"/>
                <w:color w:val="auto"/>
              </w:rPr>
            </w:pPr>
          </w:p>
        </w:tc>
      </w:tr>
      <w:tr>
        <w:trPr>
          <w:trHeight w:val="234"/>
        </w:trPr>
        <w:tc>
          <w:tcPr>
            <w:tcW w:w="10940" w:type="dxa"/>
            <w:vAlign w:val="bottom"/>
            <w:gridSpan w:val="3"/>
          </w:tcPr>
          <w:p>
            <w:pPr>
              <w:spacing w:after="0"/>
              <w:rPr>
                <w:sz w:val="20"/>
                <w:szCs w:val="20"/>
                <w:color w:val="auto"/>
              </w:rPr>
            </w:pPr>
            <w:r>
              <w:rPr>
                <w:rFonts w:ascii="Arial" w:cs="Arial" w:eastAsia="Arial" w:hAnsi="Arial"/>
                <w:sz w:val="18"/>
                <w:szCs w:val="18"/>
                <w:b w:val="1"/>
                <w:bCs w:val="1"/>
                <w:color w:val="auto"/>
              </w:rPr>
              <w:t>[Appropriate IRS center address]</w:t>
            </w:r>
          </w:p>
        </w:tc>
        <w:tc>
          <w:tcPr>
            <w:tcW w:w="60" w:type="dxa"/>
            <w:vAlign w:val="bottom"/>
          </w:tcPr>
          <w:p>
            <w:pPr>
              <w:spacing w:after="0"/>
              <w:rPr>
                <w:sz w:val="20"/>
                <w:szCs w:val="20"/>
                <w:color w:val="auto"/>
              </w:rPr>
            </w:pPr>
          </w:p>
        </w:tc>
      </w:tr>
      <w:tr>
        <w:trPr>
          <w:trHeight w:val="432"/>
        </w:trPr>
        <w:tc>
          <w:tcPr>
            <w:tcW w:w="10940" w:type="dxa"/>
            <w:vAlign w:val="bottom"/>
            <w:gridSpan w:val="3"/>
          </w:tcPr>
          <w:p>
            <w:pPr>
              <w:ind w:left="660"/>
              <w:spacing w:after="0"/>
              <w:rPr>
                <w:sz w:val="20"/>
                <w:szCs w:val="20"/>
                <w:color w:val="auto"/>
              </w:rPr>
            </w:pPr>
            <w:r>
              <w:rPr>
                <w:rFonts w:ascii="Arial" w:cs="Arial" w:eastAsia="Arial" w:hAnsi="Arial"/>
                <w:sz w:val="18"/>
                <w:szCs w:val="18"/>
                <w:b w:val="1"/>
                <w:bCs w:val="1"/>
                <w:color w:val="auto"/>
              </w:rPr>
              <w:t>Re: Election Under Section 83(b) of the Internal Revenue Code</w:t>
            </w:r>
          </w:p>
        </w:tc>
        <w:tc>
          <w:tcPr>
            <w:tcW w:w="60" w:type="dxa"/>
            <w:vAlign w:val="bottom"/>
          </w:tcPr>
          <w:p>
            <w:pPr>
              <w:spacing w:after="0"/>
              <w:rPr>
                <w:sz w:val="24"/>
                <w:szCs w:val="24"/>
                <w:color w:val="auto"/>
              </w:rPr>
            </w:pPr>
          </w:p>
        </w:tc>
      </w:tr>
      <w:tr>
        <w:trPr>
          <w:trHeight w:val="432"/>
        </w:trPr>
        <w:tc>
          <w:tcPr>
            <w:tcW w:w="1094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60" w:type="dxa"/>
            <w:vAlign w:val="bottom"/>
          </w:tcPr>
          <w:p>
            <w:pPr>
              <w:spacing w:after="0"/>
              <w:rPr>
                <w:sz w:val="24"/>
                <w:szCs w:val="24"/>
                <w:color w:val="auto"/>
              </w:rPr>
            </w:pPr>
          </w:p>
        </w:tc>
      </w:tr>
      <w:tr>
        <w:trPr>
          <w:trHeight w:val="392"/>
        </w:trPr>
        <w:tc>
          <w:tcPr>
            <w:tcW w:w="10940" w:type="dxa"/>
            <w:vAlign w:val="bottom"/>
            <w:gridSpan w:val="3"/>
          </w:tcPr>
          <w:p>
            <w:pPr>
              <w:ind w:left="660"/>
              <w:spacing w:after="0"/>
              <w:rPr>
                <w:sz w:val="20"/>
                <w:szCs w:val="20"/>
                <w:color w:val="auto"/>
              </w:rPr>
            </w:pPr>
            <w:r>
              <w:rPr>
                <w:rFonts w:ascii="Arial" w:cs="Arial" w:eastAsia="Arial" w:hAnsi="Arial"/>
                <w:sz w:val="18"/>
                <w:szCs w:val="18"/>
                <w:color w:val="auto"/>
                <w:w w:val="94"/>
              </w:rPr>
              <w:t>Enclosed please find an executed form of election under Section 83(b) of the Internal Revenue Code of 1986 relating to the issuance of [</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37"/>
        </w:trPr>
        <w:tc>
          <w:tcPr>
            <w:tcW w:w="10480" w:type="dxa"/>
            <w:vAlign w:val="bottom"/>
            <w:gridSpan w:val="2"/>
          </w:tcPr>
          <w:p>
            <w:pPr>
              <w:spacing w:after="0"/>
              <w:rPr>
                <w:sz w:val="20"/>
                <w:szCs w:val="20"/>
                <w:color w:val="auto"/>
              </w:rPr>
            </w:pPr>
            <w:r>
              <w:rPr>
                <w:rFonts w:ascii="Arial" w:cs="Arial" w:eastAsia="Arial" w:hAnsi="Arial"/>
                <w:sz w:val="18"/>
                <w:szCs w:val="18"/>
                <w:color w:val="auto"/>
              </w:rPr>
              <w:t>shares of MongoDB, Inc. Common Stock.</w:t>
            </w:r>
          </w:p>
        </w:tc>
        <w:tc>
          <w:tcPr>
            <w:tcW w:w="4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Also enclosed is a copy of the 83(b) election and a stamped, self-addressed envelope. Please acknowledge receipt of these materials by stamping the enclosed copy of the 83(b) election with the date of receipt and returning it to 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Thank you for your attention to this matter.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Name Last Name]</w:t>
      </w:r>
    </w:p>
    <w:p>
      <w:pPr>
        <w:sectPr>
          <w:pgSz w:w="11900" w:h="16838" w:orient="portrait"/>
          <w:cols w:equalWidth="0" w:num="1">
            <w:col w:w="11380"/>
          </w:cols>
          <w:pgMar w:left="240" w:top="121" w:right="279" w:bottom="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MongoDB, Inc. w/ encls.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STEP-BY-STEP INSTRUCTIONS TO MAKE A SECTION 83(b) ELECTION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83(b) Election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statement is being made under Section 83(b) of the Internal Revenue Code of 1986, pursuant to Treasury Regulation section 1.832.</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The taxpayer who performed the services 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Name of Optionee: [First Name Last Name]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580" w:type="dxa"/>
            <w:vAlign w:val="bottom"/>
            <w:gridSpan w:val="2"/>
          </w:tcPr>
          <w:p>
            <w:pPr>
              <w:ind w:left="1120"/>
              <w:spacing w:after="0"/>
              <w:rPr>
                <w:sz w:val="20"/>
                <w:szCs w:val="20"/>
                <w:color w:val="auto"/>
              </w:rPr>
            </w:pPr>
            <w:r>
              <w:rPr>
                <w:rFonts w:ascii="Arial" w:cs="Arial" w:eastAsia="Arial" w:hAnsi="Arial"/>
                <w:sz w:val="18"/>
                <w:szCs w:val="18"/>
                <w:color w:val="auto"/>
                <w:w w:val="88"/>
              </w:rPr>
              <w:t>Optionee’s Address:</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412"/>
        </w:trPr>
        <w:tc>
          <w:tcPr>
            <w:tcW w:w="840" w:type="dxa"/>
            <w:vAlign w:val="bottom"/>
          </w:tcPr>
          <w:p>
            <w:pPr>
              <w:spacing w:after="0"/>
              <w:rPr>
                <w:sz w:val="24"/>
                <w:szCs w:val="24"/>
                <w:color w:val="auto"/>
              </w:rPr>
            </w:pPr>
          </w:p>
        </w:tc>
        <w:tc>
          <w:tcPr>
            <w:tcW w:w="3720" w:type="dxa"/>
            <w:vAlign w:val="bottom"/>
            <w:gridSpan w:val="7"/>
          </w:tcPr>
          <w:p>
            <w:pPr>
              <w:ind w:left="1120"/>
              <w:spacing w:after="0"/>
              <w:rPr>
                <w:sz w:val="20"/>
                <w:szCs w:val="20"/>
                <w:color w:val="auto"/>
              </w:rPr>
            </w:pPr>
            <w:r>
              <w:rPr>
                <w:rFonts w:ascii="Arial" w:cs="Arial" w:eastAsia="Arial" w:hAnsi="Arial"/>
                <w:sz w:val="18"/>
                <w:szCs w:val="18"/>
                <w:color w:val="auto"/>
                <w:w w:val="90"/>
              </w:rPr>
              <w:t>Optionee’s Social Security Number:</w:t>
            </w:r>
          </w:p>
        </w:tc>
        <w:tc>
          <w:tcPr>
            <w:tcW w:w="620" w:type="dxa"/>
            <w:vAlign w:val="bottom"/>
            <w:tcBorders>
              <w:bottom w:val="single" w:sz="8" w:color="auto"/>
            </w:tcBorders>
          </w:tcPr>
          <w:p>
            <w:pPr>
              <w:spacing w:after="0"/>
              <w:rPr>
                <w:sz w:val="24"/>
                <w:szCs w:val="24"/>
                <w:color w:val="auto"/>
              </w:rPr>
            </w:pPr>
          </w:p>
        </w:tc>
        <w:tc>
          <w:tcPr>
            <w:tcW w:w="8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412"/>
        </w:trPr>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5160" w:type="dxa"/>
            <w:vAlign w:val="bottom"/>
            <w:gridSpan w:val="10"/>
          </w:tcPr>
          <w:p>
            <w:pPr>
              <w:ind w:left="40"/>
              <w:spacing w:after="0"/>
              <w:rPr>
                <w:sz w:val="20"/>
                <w:szCs w:val="20"/>
                <w:color w:val="auto"/>
              </w:rPr>
            </w:pPr>
            <w:r>
              <w:rPr>
                <w:rFonts w:ascii="Arial" w:cs="Arial" w:eastAsia="Arial" w:hAnsi="Arial"/>
                <w:sz w:val="18"/>
                <w:szCs w:val="18"/>
                <w:color w:val="auto"/>
              </w:rPr>
              <w:t>The property with respect to which the election is being made is</w:t>
            </w:r>
          </w:p>
        </w:tc>
        <w:tc>
          <w:tcPr>
            <w:tcW w:w="5340" w:type="dxa"/>
            <w:vAlign w:val="bottom"/>
            <w:gridSpan w:val="2"/>
          </w:tcPr>
          <w:p>
            <w:pPr>
              <w:ind w:left="160"/>
              <w:spacing w:after="0"/>
              <w:rPr>
                <w:sz w:val="20"/>
                <w:szCs w:val="20"/>
                <w:color w:val="auto"/>
              </w:rPr>
            </w:pPr>
            <w:r>
              <w:rPr>
                <w:rFonts w:ascii="Arial" w:cs="Arial" w:eastAsia="Arial" w:hAnsi="Arial"/>
                <w:sz w:val="18"/>
                <w:szCs w:val="18"/>
                <w:color w:val="auto"/>
                <w:w w:val="91"/>
              </w:rPr>
              <w:t>shares of common stock of MongoDB, Inc. a Delaware corporation (the</w:t>
            </w:r>
          </w:p>
        </w:tc>
      </w:tr>
      <w:tr>
        <w:trPr>
          <w:trHeight w:val="237"/>
        </w:trPr>
        <w:tc>
          <w:tcPr>
            <w:tcW w:w="342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180" w:type="dxa"/>
            <w:vAlign w:val="bottom"/>
          </w:tcPr>
          <w:p>
            <w:pPr>
              <w:spacing w:after="0"/>
              <w:rPr>
                <w:sz w:val="20"/>
                <w:szCs w:val="20"/>
                <w:color w:val="auto"/>
              </w:rPr>
            </w:pPr>
          </w:p>
        </w:tc>
      </w:tr>
      <w:tr>
        <w:trPr>
          <w:trHeight w:val="392"/>
        </w:trPr>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400" w:type="dxa"/>
            <w:vAlign w:val="bottom"/>
          </w:tcPr>
          <w:p>
            <w:pPr>
              <w:ind w:left="40"/>
              <w:spacing w:after="0"/>
              <w:rPr>
                <w:sz w:val="20"/>
                <w:szCs w:val="20"/>
                <w:color w:val="auto"/>
              </w:rPr>
            </w:pPr>
            <w:r>
              <w:rPr>
                <w:rFonts w:ascii="Arial" w:cs="Arial" w:eastAsia="Arial" w:hAnsi="Arial"/>
                <w:sz w:val="18"/>
                <w:szCs w:val="18"/>
                <w:color w:val="auto"/>
                <w:w w:val="91"/>
              </w:rPr>
              <w:t>The property was transferred on</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7"/>
          </w:tcPr>
          <w:p>
            <w:pPr>
              <w:ind w:left="20"/>
              <w:spacing w:after="0"/>
              <w:rPr>
                <w:sz w:val="20"/>
                <w:szCs w:val="20"/>
                <w:color w:val="auto"/>
              </w:rPr>
            </w:pPr>
            <w:r>
              <w:rPr>
                <w:rFonts w:ascii="Arial" w:cs="Arial" w:eastAsia="Arial" w:hAnsi="Arial"/>
                <w:sz w:val="18"/>
                <w:szCs w:val="18"/>
                <w:color w:val="auto"/>
              </w:rPr>
              <w:t>, 200 . (Date of Exercise)</w:t>
            </w:r>
          </w:p>
        </w:tc>
        <w:tc>
          <w:tcPr>
            <w:tcW w:w="1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hanging="224"/>
        <w:spacing w:after="0"/>
        <w:tabs>
          <w:tab w:leader="none" w:pos="8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taxable year in which the election is being made is the calendar year 200 .</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If for any reason the taxpayer’s service with the issuer is terminated, the property is subject to a repurchase right pursuant to which the issuer has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700" w:type="dxa"/>
            <w:vAlign w:val="bottom"/>
            <w:gridSpan w:val="10"/>
          </w:tcPr>
          <w:p>
            <w:pPr>
              <w:spacing w:after="0"/>
              <w:rPr>
                <w:sz w:val="20"/>
                <w:szCs w:val="20"/>
                <w:color w:val="auto"/>
              </w:rPr>
            </w:pPr>
            <w:r>
              <w:rPr>
                <w:rFonts w:ascii="Arial" w:cs="Arial" w:eastAsia="Arial" w:hAnsi="Arial"/>
                <w:sz w:val="18"/>
                <w:szCs w:val="18"/>
                <w:color w:val="auto"/>
                <w:w w:val="91"/>
              </w:rPr>
              <w:t>the right to acquire the property at the original purchase price without interest. The issuer’s repurchase right lapses in a series of installments over a</w:t>
            </w:r>
          </w:p>
        </w:tc>
        <w:tc>
          <w:tcPr>
            <w:tcW w:w="720" w:type="dxa"/>
            <w:vAlign w:val="bottom"/>
            <w:gridSpan w:val="2"/>
          </w:tcPr>
          <w:p>
            <w:pPr>
              <w:ind w:left="360"/>
              <w:spacing w:after="0"/>
              <w:rPr>
                <w:sz w:val="20"/>
                <w:szCs w:val="20"/>
                <w:color w:val="auto"/>
              </w:rPr>
            </w:pPr>
            <w:r>
              <w:rPr>
                <w:rFonts w:ascii="Arial" w:cs="Arial" w:eastAsia="Arial" w:hAnsi="Arial"/>
                <w:sz w:val="18"/>
                <w:szCs w:val="18"/>
                <w:color w:val="auto"/>
                <w:w w:val="96"/>
              </w:rPr>
              <w:t>year</w:t>
            </w: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period.</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580" w:type="dxa"/>
            <w:vAlign w:val="bottom"/>
            <w:gridSpan w:val="11"/>
          </w:tcPr>
          <w:p>
            <w:pPr>
              <w:ind w:left="40"/>
              <w:spacing w:after="0"/>
              <w:rPr>
                <w:sz w:val="20"/>
                <w:szCs w:val="20"/>
                <w:color w:val="auto"/>
              </w:rPr>
            </w:pPr>
            <w:r>
              <w:rPr>
                <w:rFonts w:ascii="Arial" w:cs="Arial" w:eastAsia="Arial" w:hAnsi="Arial"/>
                <w:sz w:val="18"/>
                <w:szCs w:val="18"/>
                <w:color w:val="auto"/>
                <w:w w:val="94"/>
              </w:rPr>
              <w:t>The Fair Market Value of the property at the time of transfer (determined without regard to any restriction other than a restriction which by its</w:t>
            </w:r>
          </w:p>
        </w:tc>
      </w:tr>
      <w:tr>
        <w:trPr>
          <w:trHeight w:val="190"/>
        </w:trPr>
        <w:tc>
          <w:tcPr>
            <w:tcW w:w="1960" w:type="dxa"/>
            <w:vAlign w:val="bottom"/>
            <w:gridSpan w:val="2"/>
          </w:tcPr>
          <w:p>
            <w:pPr>
              <w:spacing w:after="0" w:line="190" w:lineRule="exact"/>
              <w:rPr>
                <w:sz w:val="20"/>
                <w:szCs w:val="20"/>
                <w:color w:val="auto"/>
              </w:rPr>
            </w:pPr>
            <w:r>
              <w:rPr>
                <w:rFonts w:ascii="Arial" w:cs="Arial" w:eastAsia="Arial" w:hAnsi="Arial"/>
                <w:sz w:val="18"/>
                <w:szCs w:val="18"/>
                <w:color w:val="auto"/>
                <w:w w:val="91"/>
              </w:rPr>
              <w:t>terms will never lapse) is $</w:t>
            </w:r>
          </w:p>
        </w:tc>
        <w:tc>
          <w:tcPr>
            <w:tcW w:w="360" w:type="dxa"/>
            <w:vAlign w:val="bottom"/>
            <w:tcBorders>
              <w:bottom w:val="single" w:sz="8" w:color="auto"/>
            </w:tcBorders>
          </w:tcPr>
          <w:p>
            <w:pPr>
              <w:spacing w:after="0"/>
              <w:rPr>
                <w:sz w:val="16"/>
                <w:szCs w:val="16"/>
                <w:color w:val="auto"/>
              </w:rPr>
            </w:pPr>
          </w:p>
        </w:tc>
        <w:tc>
          <w:tcPr>
            <w:tcW w:w="1360" w:type="dxa"/>
            <w:vAlign w:val="bottom"/>
            <w:gridSpan w:val="2"/>
          </w:tcPr>
          <w:p>
            <w:pPr>
              <w:spacing w:after="0" w:line="190" w:lineRule="exact"/>
              <w:rPr>
                <w:sz w:val="20"/>
                <w:szCs w:val="20"/>
                <w:color w:val="auto"/>
              </w:rPr>
            </w:pPr>
            <w:r>
              <w:rPr>
                <w:rFonts w:ascii="Arial" w:cs="Arial" w:eastAsia="Arial" w:hAnsi="Arial"/>
                <w:sz w:val="18"/>
                <w:szCs w:val="18"/>
                <w:color w:val="auto"/>
              </w:rPr>
              <w:t>per share.</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12"/>
        </w:trPr>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2840" w:type="dxa"/>
            <w:vAlign w:val="bottom"/>
            <w:gridSpan w:val="4"/>
          </w:tcPr>
          <w:p>
            <w:pPr>
              <w:ind w:left="40"/>
              <w:spacing w:after="0"/>
              <w:rPr>
                <w:sz w:val="20"/>
                <w:szCs w:val="20"/>
                <w:color w:val="auto"/>
              </w:rPr>
            </w:pPr>
            <w:r>
              <w:rPr>
                <w:rFonts w:ascii="Arial" w:cs="Arial" w:eastAsia="Arial" w:hAnsi="Arial"/>
                <w:sz w:val="18"/>
                <w:szCs w:val="18"/>
                <w:color w:val="auto"/>
                <w:w w:val="90"/>
              </w:rPr>
              <w:t>The amount paid for such property is $</w:t>
            </w:r>
          </w:p>
        </w:tc>
        <w:tc>
          <w:tcPr>
            <w:tcW w:w="540" w:type="dxa"/>
            <w:vAlign w:val="bottom"/>
            <w:tcBorders>
              <w:bottom w:val="single" w:sz="8" w:color="auto"/>
            </w:tcBorders>
            <w:gridSpan w:val="2"/>
          </w:tcPr>
          <w:p>
            <w:pPr>
              <w:spacing w:after="0"/>
              <w:rPr>
                <w:sz w:val="24"/>
                <w:szCs w:val="24"/>
                <w:color w:val="auto"/>
              </w:rPr>
            </w:pPr>
          </w:p>
        </w:tc>
        <w:tc>
          <w:tcPr>
            <w:tcW w:w="1360" w:type="dxa"/>
            <w:vAlign w:val="bottom"/>
          </w:tcPr>
          <w:p>
            <w:pPr>
              <w:jc w:val="right"/>
              <w:ind w:right="1210"/>
              <w:spacing w:after="0"/>
              <w:rPr>
                <w:sz w:val="20"/>
                <w:szCs w:val="20"/>
                <w:color w:val="auto"/>
              </w:rPr>
            </w:pPr>
            <w:r>
              <w:rPr>
                <w:rFonts w:ascii="Arial" w:cs="Arial" w:eastAsia="Arial" w:hAnsi="Arial"/>
                <w:sz w:val="18"/>
                <w:szCs w:val="18"/>
                <w:color w:val="auto"/>
                <w:w w:val="78"/>
              </w:rPr>
              <w:t>.</w:t>
            </w:r>
          </w:p>
        </w:tc>
        <w:tc>
          <w:tcPr>
            <w:tcW w:w="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9860" w:type="dxa"/>
            <w:vAlign w:val="bottom"/>
            <w:gridSpan w:val="9"/>
          </w:tcPr>
          <w:p>
            <w:pPr>
              <w:ind w:left="40"/>
              <w:spacing w:after="0"/>
              <w:rPr>
                <w:sz w:val="20"/>
                <w:szCs w:val="20"/>
                <w:color w:val="auto"/>
              </w:rPr>
            </w:pPr>
            <w:r>
              <w:rPr>
                <w:rFonts w:ascii="Arial" w:cs="Arial" w:eastAsia="Arial" w:hAnsi="Arial"/>
                <w:sz w:val="18"/>
                <w:szCs w:val="18"/>
                <w:color w:val="auto"/>
                <w:w w:val="91"/>
              </w:rPr>
              <w:t>A copy of this statement was furnished to the Company for whom the taxpayer rendered the service underlying the transfer of property.</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92"/>
        </w:trPr>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2840" w:type="dxa"/>
            <w:vAlign w:val="bottom"/>
            <w:gridSpan w:val="4"/>
          </w:tcPr>
          <w:p>
            <w:pPr>
              <w:ind w:left="40"/>
              <w:spacing w:after="0"/>
              <w:rPr>
                <w:sz w:val="20"/>
                <w:szCs w:val="20"/>
                <w:color w:val="auto"/>
              </w:rPr>
            </w:pPr>
            <w:r>
              <w:rPr>
                <w:rFonts w:ascii="Arial" w:cs="Arial" w:eastAsia="Arial" w:hAnsi="Arial"/>
                <w:sz w:val="18"/>
                <w:szCs w:val="18"/>
                <w:color w:val="auto"/>
              </w:rPr>
              <w:t>This statement is executed as of</w:t>
            </w:r>
          </w:p>
        </w:tc>
        <w:tc>
          <w:tcPr>
            <w:tcW w:w="1900" w:type="dxa"/>
            <w:vAlign w:val="bottom"/>
            <w:gridSpan w:val="3"/>
          </w:tcPr>
          <w:p>
            <w:pPr>
              <w:jc w:val="right"/>
              <w:ind w:right="910"/>
              <w:spacing w:after="0"/>
              <w:rPr>
                <w:sz w:val="20"/>
                <w:szCs w:val="20"/>
                <w:color w:val="auto"/>
              </w:rPr>
            </w:pPr>
            <w:r>
              <w:rPr>
                <w:rFonts w:ascii="Arial" w:cs="Arial" w:eastAsia="Arial" w:hAnsi="Arial"/>
                <w:sz w:val="18"/>
                <w:szCs w:val="18"/>
                <w:color w:val="auto"/>
              </w:rPr>
              <w:t>, 200 .</w:t>
            </w:r>
          </w:p>
        </w:tc>
        <w:tc>
          <w:tcPr>
            <w:tcW w:w="1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8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24"/>
        </w:trPr>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720" w:type="dxa"/>
            <w:vAlign w:val="bottom"/>
            <w:gridSpan w:val="3"/>
          </w:tcPr>
          <w:p>
            <w:pPr>
              <w:ind w:left="280"/>
              <w:spacing w:after="0"/>
              <w:rPr>
                <w:sz w:val="20"/>
                <w:szCs w:val="20"/>
                <w:color w:val="auto"/>
              </w:rPr>
            </w:pPr>
            <w:r>
              <w:rPr>
                <w:rFonts w:ascii="Arial" w:cs="Arial" w:eastAsia="Arial" w:hAnsi="Arial"/>
                <w:sz w:val="18"/>
                <w:szCs w:val="18"/>
                <w:color w:val="auto"/>
              </w:rPr>
              <w:t>Spouse (if any)</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80" w:type="dxa"/>
            <w:vAlign w:val="bottom"/>
          </w:tcPr>
          <w:p>
            <w:pPr>
              <w:ind w:left="1600"/>
              <w:spacing w:after="0"/>
              <w:rPr>
                <w:sz w:val="20"/>
                <w:szCs w:val="20"/>
                <w:color w:val="auto"/>
              </w:rPr>
            </w:pPr>
            <w:r>
              <w:rPr>
                <w:rFonts w:ascii="Arial" w:cs="Arial" w:eastAsia="Arial" w:hAnsi="Arial"/>
                <w:sz w:val="18"/>
                <w:szCs w:val="18"/>
                <w:color w:val="auto"/>
              </w:rPr>
              <w:t>[First Name Last Name]: Taxpayer</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STEP-BY-STEP INSTRUCTIONS TO MAKE A SECTION 83(b) ELECTION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260" w:right="2740"/>
        <w:spacing w:after="0" w:line="266" w:lineRule="auto"/>
        <w:rPr>
          <w:sz w:val="20"/>
          <w:szCs w:val="20"/>
          <w:color w:val="auto"/>
        </w:rPr>
      </w:pPr>
      <w:r>
        <w:rPr>
          <w:rFonts w:ascii="Arial" w:cs="Arial" w:eastAsia="Arial" w:hAnsi="Arial"/>
          <w:sz w:val="18"/>
          <w:szCs w:val="18"/>
          <w:b w:val="1"/>
          <w:bCs w:val="1"/>
          <w:color w:val="auto"/>
        </w:rPr>
        <w:t>SPECIAL ELECTION PURSUANT TO SECTION 83(b) OF THE INTERNAL REVENUE CODE WITH RESPECT TO PROPERTY ACQUIRED UPON EXERCISE OF AN INCENTIVE STOCK OPTION</w:t>
      </w:r>
    </w:p>
    <w:p>
      <w:pPr>
        <w:spacing w:after="0" w:line="1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property described in the above Section 83(b) election is comprised of shares of common stock acquired pursuant to the exercise of an Incentive Stock Option under Section 422 of the Internal Revenue Code of 1986, as amended (the “Code”). Accordingly, it is the intent of the Taxpayer to utilize this election to have the alternative minimum taxable income attributable to the purchased shares measured by the amount by which the fair market value of such shares at the time of their transfer to the Taxpayer exceeds the purchase price paid for the shares. In the absence of this election, such alternative minimum taxable income would be measured by the spread between the fair market value of the purchased shares and the purchase price which exists on the various lapse dates in effect for the forfeiture restrictions applicable to such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election is intended to be effective to the full extent permitted under the Code.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STEP-BY-STEP INSTRUCTIONS TO MAKE A SECTION 83(b) ELECTION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8" w:gutter="0" w:footer="0" w:header="0"/>
        </w:sectPr>
      </w:pPr>
    </w:p>
    <w:bookmarkStart w:id="281" w:name="page282"/>
    <w:bookmarkEnd w:id="281"/>
    <w:p>
      <w:pPr>
        <w:jc w:val="center"/>
        <w:ind w:right="-3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 FEDERAL TAX INFORMATION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(Current as of 1/1/07)</w:t>
      </w:r>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following memorandum briefly summarizes current U.S. federal income tax law. The discussion is intended to be used solely for general information purposes and does not make specific representations to any participant. A taxpayer’s particular situation may be such that some variation of the basic rules is applicable to him or her. In addition, the U.S. federal income tax laws and regulations are revised frequently and may change again in the future. Each participant is urged to consult a tax advisor, both with respect to U.S. federal income tax consequences as well as any foreign, state or local tax consequences, before exercising any option or before disposing of any shares of stock acquired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Grant of Options</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grant of an option, whether a nonqualified or nonstatutory stock option (“NSO”) or an incentive stock option (“ISO”), is not a taxable event for the optionee, and the Company obtains no deduction for the grant of the option. Note, however, that under new Section 409A of the Internal Revenue Code, which is generally effective January 1, 2005, options granted at a discount from fair market value may be considered “deferred compensation” subject to adverse tax consequences, including immediate income tax upon the vesting of the option (whether or not exercised) and a 20% tax penalty.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or Nonstatutory Stock Options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The exercise of an NSO is a taxable event to the optionee. The amount by which the fair market value of the shares on the date of exercise exceeds the exercise price (the “spread”) will be taxed to the optionee as ordinary income. The spread will also be considered “wages” for purposes of FICA taxes. The Company will be entitled to a deduction in the same amount as the ordinary income recognized by the optionee from the exercise of the option that is reported to the IRS by the optionee or the Company. In general, the optionee’s tax basis in the shares acquired by exercising</w:t>
      </w:r>
    </w:p>
    <w:p>
      <w:pPr>
        <w:spacing w:after="0" w:line="185" w:lineRule="exact"/>
        <w:rPr>
          <w:sz w:val="20"/>
          <w:szCs w:val="20"/>
          <w:color w:val="auto"/>
        </w:rPr>
      </w:pPr>
    </w:p>
    <w:p>
      <w:pPr>
        <w:ind w:left="20"/>
        <w:spacing w:after="0" w:line="276" w:lineRule="auto"/>
        <w:rPr>
          <w:sz w:val="20"/>
          <w:szCs w:val="20"/>
          <w:color w:val="auto"/>
        </w:rPr>
      </w:pPr>
      <w:r>
        <w:rPr>
          <w:rFonts w:ascii="Arial" w:cs="Arial" w:eastAsia="Arial" w:hAnsi="Arial"/>
          <w:sz w:val="17"/>
          <w:szCs w:val="17"/>
          <w:color w:val="auto"/>
        </w:rPr>
        <w:t>Internal Revenue Service regulations generally provide that, for the purpose of avoiding federal tax penalties, a taxpayer may rely only on formal written advice meeting specific requirements. The tax discussion in this document does not meet those requirements. Accordingly, the tax discussion was not intended or written to be used, and it cannot be used, for the purpose of avoiding federal tax penalties that may be imposed on you. Further, the tax discussion in this document could be considered to support the promotion or marketing of the transaction or matter discussed herein. You and any other person reading the tax discussion should seek advice based on his, her or its particular circumstances from an independent tax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246620" cy="7029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702945"/>
                    </a:xfrm>
                    <a:prstGeom prst="rect">
                      <a:avLst/>
                    </a:prstGeom>
                    <a:noFill/>
                  </pic:spPr>
                </pic:pic>
              </a:graphicData>
            </a:graphic>
          </wp:anchor>
        </w:drawing>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 NSO is equal to the fair market value of such shares on the date of exercise. Upon a subsequent sale of any such shares in a taxable transaction, the optionee will realize capital gain or loss (long-term or short-term, depending on whether the shares were held for the required holding period before the sale) in an amount equal to the difference between his or her basis in the shares and the sale price.</w:t>
      </w:r>
    </w:p>
    <w:p>
      <w:pPr>
        <w:spacing w:after="0" w:line="18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capital gains holding periods are complex. If shares are held for more than one year, the maximum tax rate on the gain is currently fifteen percent (15%) for gain recognized on or after May 6, 2003, and before January 1, 2011. Because the rules are complex and can vary in individual circumstances, each participant should consider consulting his or her own tax advisor.</w:t>
      </w:r>
    </w:p>
    <w:p>
      <w:pPr>
        <w:spacing w:after="0" w:line="181"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If an optionee exercises an NSO and pays the exercise price with previously acquired shares of stock, special rules apply. The transaction is treated as a tax-free exchange of the old shares for the same number of new shares, except as described below with respect to shares acquired pursuant to ISOs. The optionee’s basis in the new shares is the same as his or her basis in the old shares, and the capital gains holding period runs without interruption from the date when the old shares were acquired. The value of any new shares received by the optionee in excess of the number of old shares surrendered minus any cash the optionee pays for the new shares will be taxed as ordinary income. The optionee’s basis in the additional shares is equal to the fair market value of such shares on the date the shares were transferred, and the capital gain holding period commences on the same date. The effect of these rules is to defer recognition of any gain in the old shares when those shares are used to buy new shares. Stated differently, these rules allow an optionee to finance the exercise of an NSO by using shares of stock that he or she already owns, without paying current tax on any unrealized appreciation in those old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Stock Options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 xml:space="preserve">The holder of an ISO will not be subject to U.S. federal income tax upon the exercise of the ISO, and the Company will not be entitled to a tax deduction by reason of such exercise, provided that the holder is employed by the Company on the exercise date (or the holder’s employment terminated within the three (3) months preceding the exercise date). Exceptions to this exercise timing requirement apply in the event the optionee dies or becomes disabled. A subsequent sale of the shares received upon the exercise of an ISO will result in the realization of long-term capital gain or loss in the amount of the difference between the amount realized on the sale and the exercise price for such shares, provided that the sale occurs more than one (1) year after the exercise of the ISO </w:t>
      </w:r>
      <w:r>
        <w:rPr>
          <w:rFonts w:ascii="Arial" w:cs="Arial" w:eastAsia="Arial" w:hAnsi="Arial"/>
          <w:sz w:val="17"/>
          <w:szCs w:val="17"/>
          <w:u w:val="single" w:color="auto"/>
          <w:color w:val="auto"/>
        </w:rPr>
        <w:t>and</w:t>
      </w:r>
      <w:r>
        <w:rPr>
          <w:rFonts w:ascii="Arial" w:cs="Arial" w:eastAsia="Arial" w:hAnsi="Arial"/>
          <w:sz w:val="17"/>
          <w:szCs w:val="17"/>
          <w:color w:val="auto"/>
        </w:rPr>
        <w:t xml:space="preserve"> more than two (2) years after the grant of the ISO. In general, if a sale or disposition of the shares occurs prior to satisfaction of the foregoing holding periods (referred to as a “disqualifying disposition”), the optionee will recognize ordinary income and the Company will be entitled to a corresponding deduction, generally equal to the amount of ordinary income recognized by the optionee from the disqualifying disposition that is reported to the IRS by the optionee or the Company.</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721" w:gutter="0" w:footer="0" w:header="0"/>
        </w:sectPr>
      </w:pPr>
    </w:p>
    <w:bookmarkStart w:id="282" w:name="page283"/>
    <w:bookmarkEnd w:id="282"/>
    <w:p>
      <w:pPr>
        <w:jc w:val="both"/>
        <w:ind w:right="60" w:firstLine="648"/>
        <w:spacing w:after="0" w:line="286" w:lineRule="auto"/>
        <w:rPr>
          <w:sz w:val="20"/>
          <w:szCs w:val="20"/>
          <w:color w:val="auto"/>
        </w:rPr>
      </w:pPr>
      <w:r>
        <w:rPr>
          <w:rFonts w:ascii="Arial" w:cs="Arial" w:eastAsia="Arial" w:hAnsi="Arial"/>
          <w:sz w:val="17"/>
          <w:szCs w:val="17"/>
          <w:color w:val="auto"/>
        </w:rPr>
        <w:t>Favorable tax treatment is accorded to an optionee only to the extent that the value of the shares (determined at the time of grant) covered by an ISO first exercisable in any single calendar year does not exceed one hundred thousand dollars ($100,000). If ISOs for shares whose aggregate value exceeds one hundred thousand dollars ($100,000) become exercisable in the same calendar year, the excess will be treated as NSOs.</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 special rule applies if an optionee pays all or part of the exercise price of an ISO by surrendering shares of stock that he or she previously acquired by exercising any other ISO. If the optionee has not held the old shares for the full duration of the applicable holding periods, then the surrender of such shares to fund the exercise of the new ISO will be treated as a disqualifying disposition of the old shares. As described above, the result of a disqualifying disposition is the loss of favorable tax treatment with respect to the acquisition of the old shares pursuant to the previously exercised ISO.</w:t>
      </w:r>
    </w:p>
    <w:p>
      <w:pPr>
        <w:spacing w:after="0" w:line="154"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Where the applicable holding period requirements have been met, the use of previously acquired shares of stock to pay all or a portion of the exercise price of an ISO may offer significant tax advantages. In particular, a deferral of the recognition of any appreciation in the surrendered shares is available in the same manner as discussed above with respect to NSOs.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Minimum Tax</w:t>
      </w:r>
    </w:p>
    <w:p>
      <w:pPr>
        <w:spacing w:after="0" w:line="22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Alternative minimum tax is paid when such tax exceeds a taxpayer’s regular U.S. federal income tax. Alternative minimum tax is calculated based on alternative minimum taxable income, which is taxable income for U.S. federal income tax purposes, modified by certain adjustments and increased by tax preference items.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“spread” under an ISO—that is, the difference between (a) the fair market value of the shares of stock at exercise and (b) the exercise price—is classified as alternative minimum taxable income for the year of exercise. Alternative minimum taxable income may be subject to the alternative minimum tax. However, a disqualifying disposition of the shares of stock subject to the ISO during the same year in which the ISO was exercised will generally negate the alternative minimum taxable income generated upon exercise of the ISO.</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general, when a taxpayer sells stock acquired through the exercise of an ISO, only the difference between the fair market value of the shares on the date of exercise and the date of sale is used in computing any alternative minimum tax for the year of the sale. The portion of a taxpayer’s alternative minimum tax attributable to certain items of tax preference (including the spread upon the exercise of an ISO) can be credited against the taxpayer’s regular liability in later years to the extent that liability exceeds the alternative minimum tax.</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Taxes</w:t>
      </w:r>
    </w:p>
    <w:p>
      <w:pPr>
        <w:spacing w:after="0" w:line="229"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Exercise of an NSO produces taxable income which is subject to withholding. The Company will not deliver shares to the optionee unless the optionee has agreed to satisfactory arrangements for meeting all applicable U.S. federal, state and local withholding tax requirements.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U.S. federal tax law does not require unrecognized gain on exercise of an ISO to be treated as “wages” for the purposes of FICA taxes.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Exercise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an optionee is permitted to exercise an option before the optionee’s rights in the shares subject to the option are vested, the tax aspects of such an “early exercise” will be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Incentive Stock Options</w:t>
      </w:r>
    </w:p>
    <w:p>
      <w:pPr>
        <w:spacing w:after="0" w:line="229" w:lineRule="exact"/>
        <w:rPr>
          <w:sz w:val="20"/>
          <w:szCs w:val="20"/>
          <w:color w:val="auto"/>
        </w:rPr>
      </w:pPr>
    </w:p>
    <w:p>
      <w:pPr>
        <w:ind w:left="660" w:firstLine="648"/>
        <w:spacing w:after="0" w:line="293" w:lineRule="auto"/>
        <w:rPr>
          <w:sz w:val="20"/>
          <w:szCs w:val="20"/>
          <w:color w:val="auto"/>
        </w:rPr>
      </w:pPr>
      <w:r>
        <w:rPr>
          <w:rFonts w:ascii="Arial" w:cs="Arial" w:eastAsia="Arial" w:hAnsi="Arial"/>
          <w:sz w:val="16"/>
          <w:szCs w:val="16"/>
          <w:color w:val="auto"/>
        </w:rPr>
        <w:t>When an ISO is exercised, the spread is a “preference” item in the year of exercise, which is taken into account in computing an optionee’s alternative minimum tax. One technique which might enable an optionee to minimize the amount recognized as alternative minimum tax income is to exercise the option at or near the date of grant when the spread is nonexistent or small. If the option is not vested, the optionee would also make an election under Section 83(b) of the Code (“Section 83(b) Election”) within thirty (30) days after the date of exercise. In this way the optionee will pay alternative minimum tax based on the spread on the date of exercise instead of the spread on the date the shares vest. The exercise of the option also begins the one-year holding requirement under Section 422 of the Code that applies after the exercise of an ISO.</w:t>
      </w:r>
    </w:p>
    <w:p>
      <w:pPr>
        <w:spacing w:after="0" w:line="165" w:lineRule="exact"/>
        <w:rPr>
          <w:sz w:val="20"/>
          <w:szCs w:val="20"/>
          <w:color w:val="auto"/>
        </w:rPr>
      </w:pPr>
    </w:p>
    <w:p>
      <w:pPr>
        <w:ind w:left="660" w:right="60" w:firstLine="648"/>
        <w:spacing w:after="0" w:line="259" w:lineRule="auto"/>
        <w:rPr>
          <w:sz w:val="20"/>
          <w:szCs w:val="20"/>
          <w:color w:val="auto"/>
        </w:rPr>
      </w:pPr>
      <w:r>
        <w:rPr>
          <w:rFonts w:ascii="Arial" w:cs="Arial" w:eastAsia="Arial" w:hAnsi="Arial"/>
          <w:sz w:val="18"/>
          <w:szCs w:val="18"/>
          <w:color w:val="auto"/>
        </w:rPr>
        <w:t>However, according to U.S. Treasury Regulations issued in August, 2004, an 83(b) Election will not be effective for purposes of measuring the amount of ordinary income in the event of a disqualifying disposition of the ISO Shares, and ordinary income will be recognized in an amount equal to the spread on the date the shares vest, instead of the spread on the date the ISO is exercised. For this reason, an optionee is urged to consult with a tax advisor before electing to exercise an ISO for unvested shares.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Nonstatutory Stock Options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the option is not an ISO but instead is an NSO, exercise prior to vesting and timely filing of a Section 83(b) Election will accomplish two</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things: (1) it will start the capital gains holding period running, and (2) it will prevent the optionee from being taxed (at ordinary income tax rates)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vesting, if, at that time, the fair market value of the stock has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99" w:gutter="0" w:footer="0" w:header="0"/>
        </w:sectPr>
      </w:pPr>
    </w:p>
    <w:bookmarkStart w:id="283" w:name="page284"/>
    <w:bookmarkEnd w:id="283"/>
    <w:p>
      <w:pPr>
        <w:spacing w:after="0" w:line="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increased from the date of grant. Of course, when the shares are sold, the gain will be taxed according to how long the shares have been held.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Forfeiture of Unvested Shares</w:t>
      </w:r>
    </w:p>
    <w:p>
      <w:pPr>
        <w:spacing w:after="0" w:line="229" w:lineRule="exact"/>
        <w:rPr>
          <w:sz w:val="20"/>
          <w:szCs w:val="20"/>
          <w:color w:val="auto"/>
        </w:rPr>
      </w:pPr>
    </w:p>
    <w:p>
      <w:pPr>
        <w:jc w:val="both"/>
        <w:ind w:left="660" w:right="140" w:firstLine="648"/>
        <w:spacing w:after="0" w:line="264" w:lineRule="auto"/>
        <w:rPr>
          <w:sz w:val="20"/>
          <w:szCs w:val="20"/>
          <w:color w:val="auto"/>
        </w:rPr>
      </w:pPr>
      <w:r>
        <w:rPr>
          <w:rFonts w:ascii="Arial" w:cs="Arial" w:eastAsia="Arial" w:hAnsi="Arial"/>
          <w:sz w:val="18"/>
          <w:szCs w:val="18"/>
          <w:color w:val="auto"/>
        </w:rPr>
        <w:t>If service with the Company terminates before the shares are vested, the Company may repurchase the shares at the original purchase price of the shares. If you had made a Section 83(b) Election, you will not be entitled to deduct as a loss any income recognized on exercise of the option if the fair market value of the stock had exceeded the exercise price at that time.</w:t>
      </w:r>
    </w:p>
    <w:p>
      <w:pPr>
        <w:spacing w:after="0" w:line="177"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THIS TAX SUMMARY IS GENERAL IN NATURE AND SHOULD NOT BE RELIED UPON BY ANY PERSON IN DECIDING WHETHER OR WHEN TO EXERCISE AN OPTION OR TO MAKE AN ELECTION UNDER SECTION 83(b) OF THE CODE. EACH PERSON SHOULD CONSULT HIS OR HER OWN TAX ADVISOR REGARDING THESE MATTERS.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360"/>
        <w:spacing w:after="0"/>
        <w:rPr>
          <w:sz w:val="20"/>
          <w:szCs w:val="20"/>
          <w:color w:val="auto"/>
        </w:rPr>
      </w:pPr>
      <w:r>
        <w:rPr>
          <w:rFonts w:ascii="Arial" w:cs="Arial" w:eastAsia="Arial" w:hAnsi="Arial"/>
          <w:sz w:val="17"/>
          <w:szCs w:val="17"/>
          <w:i w:val="1"/>
          <w:iCs w:val="1"/>
          <w:color w:val="auto"/>
        </w:rPr>
        <w:t>Early Exercise</w:t>
      </w:r>
    </w:p>
    <w:p>
      <w:pPr>
        <w:spacing w:after="0" w:line="2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OR QUALIFIED UNDER THE U.S. SECURITIES ACT OF 1933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GRANT</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MongoDB, Inc. (the “Company”) hereby grants you the following Option to purchase shares of its Class A common stock (“Shares”). The terms and conditions of this Option are set forth in the Stock Option Agreement and the 10Gen, Inc. 2008 Stock Incentive Plan (the “Plan”), both of which are attached to and made a part of this document.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9220" w:type="dxa"/>
            <w:vAlign w:val="bottom"/>
          </w:tcPr>
          <w:p>
            <w:pPr>
              <w:ind w:left="320"/>
              <w:spacing w:after="0"/>
              <w:rPr>
                <w:sz w:val="20"/>
                <w:szCs w:val="20"/>
                <w:color w:val="auto"/>
              </w:rPr>
            </w:pPr>
            <w:r>
              <w:rPr>
                <w:rFonts w:ascii="Arial" w:cs="Arial" w:eastAsia="Arial" w:hAnsi="Arial"/>
                <w:sz w:val="18"/>
                <w:szCs w:val="18"/>
                <w:color w:val="auto"/>
              </w:rPr>
              <w:t>[Grant Date]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9220" w:type="dxa"/>
            <w:vAlign w:val="bottom"/>
          </w:tcPr>
          <w:p>
            <w:pPr>
              <w:ind w:left="320"/>
              <w:spacing w:after="0"/>
              <w:rPr>
                <w:sz w:val="20"/>
                <w:szCs w:val="20"/>
                <w:color w:val="auto"/>
              </w:rPr>
            </w:pPr>
            <w:r>
              <w:rPr>
                <w:rFonts w:ascii="Arial" w:cs="Arial" w:eastAsia="Arial" w:hAnsi="Arial"/>
                <w:sz w:val="18"/>
                <w:szCs w:val="18"/>
                <w:color w:val="auto"/>
              </w:rPr>
              <w:t>[First Name Last Name]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Number of Option Shares:</w:t>
            </w:r>
          </w:p>
        </w:tc>
        <w:tc>
          <w:tcPr>
            <w:tcW w:w="9220" w:type="dxa"/>
            <w:vAlign w:val="bottom"/>
          </w:tcPr>
          <w:p>
            <w:pPr>
              <w:ind w:left="320"/>
              <w:spacing w:after="0"/>
              <w:rPr>
                <w:sz w:val="20"/>
                <w:szCs w:val="20"/>
                <w:color w:val="auto"/>
              </w:rPr>
            </w:pPr>
            <w:r>
              <w:rPr>
                <w:rFonts w:ascii="Arial" w:cs="Arial" w:eastAsia="Arial" w:hAnsi="Arial"/>
                <w:sz w:val="18"/>
                <w:szCs w:val="18"/>
                <w:color w:val="auto"/>
              </w:rPr>
              <w:t>[Options Granted]</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Exercise Price per Share:</w:t>
            </w:r>
          </w:p>
        </w:tc>
        <w:tc>
          <w:tcPr>
            <w:tcW w:w="9220" w:type="dxa"/>
            <w:vAlign w:val="bottom"/>
          </w:tcPr>
          <w:p>
            <w:pPr>
              <w:ind w:left="320"/>
              <w:spacing w:after="0"/>
              <w:rPr>
                <w:sz w:val="20"/>
                <w:szCs w:val="20"/>
                <w:color w:val="auto"/>
              </w:rPr>
            </w:pPr>
            <w:r>
              <w:rPr>
                <w:rFonts w:ascii="Arial" w:cs="Arial" w:eastAsia="Arial" w:hAnsi="Arial"/>
                <w:sz w:val="18"/>
                <w:szCs w:val="18"/>
                <w:color w:val="auto"/>
                <w:w w:val="92"/>
              </w:rPr>
              <w:t>US[Exercise Price] (The Exercise Price per Share of an Option shall not be less than one hundred percent (100%) of the</w:t>
            </w:r>
          </w:p>
        </w:tc>
      </w:tr>
      <w:tr>
        <w:trPr>
          <w:trHeight w:val="216"/>
        </w:trPr>
        <w:tc>
          <w:tcPr>
            <w:tcW w:w="2240" w:type="dxa"/>
            <w:vAlign w:val="bottom"/>
          </w:tcPr>
          <w:p>
            <w:pPr>
              <w:spacing w:after="0"/>
              <w:rPr>
                <w:sz w:val="18"/>
                <w:szCs w:val="18"/>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w w:val="91"/>
              </w:rPr>
              <w:t>Fair Market Value of a Share on the date of grant. If Optionee is a Ten-Percent Stockholder, the Exercise Price per Share</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of an ISO or an NSO must be at least one hundred ten percent (110%) of Fair Market Value.)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Start Date:</w:t>
            </w:r>
          </w:p>
        </w:tc>
        <w:tc>
          <w:tcPr>
            <w:tcW w:w="9220" w:type="dxa"/>
            <w:vAlign w:val="bottom"/>
          </w:tcPr>
          <w:p>
            <w:pPr>
              <w:ind w:left="320"/>
              <w:spacing w:after="0"/>
              <w:rPr>
                <w:sz w:val="20"/>
                <w:szCs w:val="20"/>
                <w:color w:val="auto"/>
              </w:rPr>
            </w:pPr>
            <w:r>
              <w:rPr>
                <w:rFonts w:ascii="Arial" w:cs="Arial" w:eastAsia="Arial" w:hAnsi="Arial"/>
                <w:sz w:val="18"/>
                <w:szCs w:val="18"/>
                <w:color w:val="auto"/>
              </w:rPr>
              <w:t>[Vesting Start Date]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Type of Option:</w:t>
            </w:r>
          </w:p>
        </w:tc>
        <w:tc>
          <w:tcPr>
            <w:tcW w:w="9220" w:type="dxa"/>
            <w:vAlign w:val="bottom"/>
          </w:tcPr>
          <w:p>
            <w:pPr>
              <w:ind w:left="320"/>
              <w:spacing w:after="0"/>
              <w:rPr>
                <w:sz w:val="20"/>
                <w:szCs w:val="20"/>
                <w:color w:val="auto"/>
              </w:rPr>
            </w:pPr>
            <w:r>
              <w:rPr>
                <w:rFonts w:ascii="Arial" w:cs="Arial" w:eastAsia="Arial" w:hAnsi="Arial"/>
                <w:sz w:val="18"/>
                <w:szCs w:val="18"/>
                <w:color w:val="auto"/>
              </w:rPr>
              <w:t>Type of Grant: Non-Statutory / Non-Qualified</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Schedule:</w:t>
            </w:r>
          </w:p>
        </w:tc>
        <w:tc>
          <w:tcPr>
            <w:tcW w:w="9220" w:type="dxa"/>
            <w:vAlign w:val="bottom"/>
          </w:tcPr>
          <w:p>
            <w:pPr>
              <w:ind w:left="320"/>
              <w:spacing w:after="0"/>
              <w:rPr>
                <w:sz w:val="20"/>
                <w:szCs w:val="20"/>
                <w:color w:val="auto"/>
              </w:rPr>
            </w:pPr>
            <w:r>
              <w:rPr>
                <w:rFonts w:ascii="Arial" w:cs="Arial" w:eastAsia="Arial" w:hAnsi="Arial"/>
                <w:sz w:val="18"/>
                <w:szCs w:val="18"/>
                <w:color w:val="auto"/>
                <w:w w:val="96"/>
              </w:rPr>
              <w:t>The Option vests with respect to the first 25% of the Shares when the Optionee completes 12 months of continuous</w:t>
            </w:r>
          </w:p>
        </w:tc>
      </w:tr>
      <w:tr>
        <w:trPr>
          <w:trHeight w:val="216"/>
        </w:trPr>
        <w:tc>
          <w:tcPr>
            <w:tcW w:w="2240" w:type="dxa"/>
            <w:vAlign w:val="bottom"/>
          </w:tcPr>
          <w:p>
            <w:pPr>
              <w:spacing w:after="0"/>
              <w:rPr>
                <w:sz w:val="18"/>
                <w:szCs w:val="18"/>
                <w:color w:val="auto"/>
              </w:rPr>
            </w:pPr>
          </w:p>
        </w:tc>
        <w:tc>
          <w:tcPr>
            <w:tcW w:w="9220" w:type="dxa"/>
            <w:vAlign w:val="bottom"/>
          </w:tcPr>
          <w:p>
            <w:pPr>
              <w:ind w:left="320"/>
              <w:spacing w:after="0" w:line="216" w:lineRule="exact"/>
              <w:rPr>
                <w:sz w:val="20"/>
                <w:szCs w:val="20"/>
                <w:color w:val="auto"/>
              </w:rPr>
            </w:pPr>
            <w:r>
              <w:rPr>
                <w:rFonts w:ascii="Arial" w:cs="Arial" w:eastAsia="Arial" w:hAnsi="Arial"/>
                <w:sz w:val="18"/>
                <w:szCs w:val="18"/>
                <w:color w:val="auto"/>
                <w:w w:val="92"/>
              </w:rPr>
              <w:t>Service after the Vesting Start Date, and with respect to an additional 1/48</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xml:space="preserve"> of the Shares when the Optionee completes</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each full month of continuous Service thereafter.</w:t>
            </w:r>
          </w:p>
        </w:tc>
      </w:tr>
      <w:tr>
        <w:trPr>
          <w:trHeight w:val="418"/>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7"/>
              </w:rPr>
              <w:t>MONGODB, INC.</w:t>
            </w:r>
          </w:p>
        </w:tc>
      </w:tr>
      <w:tr>
        <w:trPr>
          <w:trHeight w:val="230"/>
        </w:trPr>
        <w:tc>
          <w:tcPr>
            <w:tcW w:w="2240" w:type="dxa"/>
            <w:vAlign w:val="bottom"/>
          </w:tcPr>
          <w:p>
            <w:pPr>
              <w:spacing w:after="0"/>
              <w:rPr>
                <w:sz w:val="20"/>
                <w:szCs w:val="20"/>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5"/>
              </w:rPr>
              <w:t>NOTICE OF STOCK OPTION GRANT</w:t>
            </w:r>
          </w:p>
        </w:tc>
      </w:tr>
      <w:tr>
        <w:trPr>
          <w:trHeight w:val="432"/>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9"/>
              </w:rPr>
              <w:t>1</w:t>
            </w:r>
          </w:p>
        </w:tc>
      </w:tr>
      <w:tr>
        <w:trPr>
          <w:trHeight w:val="132"/>
        </w:trPr>
        <w:tc>
          <w:tcPr>
            <w:tcW w:w="2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By signing this document, you acknowledge receipt of a copy of the Plan, and agree that (a) you have carefully read, fully understand and agree to all of the terms and conditions described in the attached Stock Option Agreement, the Plan document and “Notice of Exercise and Common Stock Purchase Agreement” (the “Exercise Notice”); (b) you hereby make the purchaser’s investment representations contained in the Exercise Notice with respect to the grant of this Option; (c) you understand and agree that the Stock Option Agreement, including its cover sheet and attachments, constitutes the entire understanding between you and the Company regarding this Option, and that any prior agreements, commitments or negotiations concerning this Option are replaced and superseded; and (d) you have been given an opportunity to consult your own legal and tax counsel with respect to all matters relating to this Option prior to signing this cover sheet and that you have either consulted such counsel or voluntarily declined to consult such counsel.</w:t>
      </w:r>
    </w:p>
    <w:p>
      <w:pPr>
        <w:spacing w:after="0" w:line="17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b w:val="1"/>
          <w:bCs w:val="1"/>
          <w:color w:val="auto"/>
        </w:rPr>
        <w:t>[FIRST NAME LAST NAME]</w:t>
      </w:r>
      <w:r>
        <w:rPr>
          <w:sz w:val="20"/>
          <w:szCs w:val="20"/>
          <w:color w:val="auto"/>
        </w:rPr>
        <w:tab/>
      </w:r>
      <w:r>
        <w:rPr>
          <w:rFonts w:ascii="Arial" w:cs="Arial" w:eastAsia="Arial" w:hAnsi="Arial"/>
          <w:sz w:val="18"/>
          <w:szCs w:val="18"/>
          <w:b w:val="1"/>
          <w:bCs w:val="1"/>
          <w:color w:val="auto"/>
        </w:rPr>
        <w:t>MONGODB,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Counsel</w:t>
      </w:r>
    </w:p>
    <w:p>
      <w:pPr>
        <w:sectPr>
          <w:pgSz w:w="11900" w:h="16861" w:orient="portrait"/>
          <w:cols w:equalWidth="0" w:num="1">
            <w:col w:w="11460"/>
          </w:cols>
          <w:pgMar w:left="240" w:top="341" w:right="199" w:bottom="0" w:gutter="0" w:footer="0" w:header="0"/>
        </w:sectPr>
      </w:pPr>
    </w:p>
    <w:bookmarkStart w:id="284" w:name="page285"/>
    <w:bookmarkEnd w:id="284"/>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STOCK OPTION GRANT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1.KIND OF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is intended to be a non-statutory option under Section 422(d) of the Code or a non-qualified in any other jurisdiction.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2.VESTING.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the terms and conditions of the Plan and this Stock Option Agreement (the “Agreement”), your Option and the Shares shall vest in accordance with the schedule set forth in the Notice of Stock Option Grant. If your Option is granted in consideration of your Service as an Employee or a Consultant, after your Service as an Employee or a Consultant terminates for any reason, vesting of your Shares subject to such Option immediately stops and such Option expires immediately as to the number of Shares that are not vested as of the date your Service as an Employee or a Consultant terminates. If your Option is granted in consideration of your Service as an Outside Director, after your Service as an Outside Director terminates for any reason, vesting of your Shares subject to such Option immediately stops and such Option expires immediately as to the number of Shares that are not vested as of the date your Service as an Outside Director terminates.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3.TERM.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Option will expire in any event at the close of business at Company headquarters on the date that is ten (10) years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Also, your Option will expire earlier if your Service terminates,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4.REGULAR TERMINATION.</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your Service terminates for any reason except death or Disability, the vested portion of your Option will expire at the close of business at Company headquarters on the date three (3) months after your termination of Service. During that three (3) month period, you may exercise the portion of your Option that was vested on your termination date. Notwithstanding the foregoing, the Option may not be exercised after the Expiration Date determined under Section 3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5.DEATH.</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 die while in Service with the Company, the vested portion of your Option will expire at the close of business at Company headquarters on the date twelve (12) months after the date of your death. During that twelve (12) month period, your estate, legatees or heirs may exercise that portion of your Option that was vested on the date of your death. Notwithstanding the foregoing, the Option may not be exercised after the Expiration Date determined under Section 3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6.DISABILITY.</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If your Service terminates because of a Disability, the vested portion of your Option will expire at the close of business at Company headquarters on the date twelve (12) months after your termination date. During that twelve (12) month period, you may exercise that portion of your Option that was vested on the date of your Disability. “Disability” means that you are unable to engage in any substantial gainful activity by reason of any medically determinable physical or mental impairment. Notwithstanding the foregoing, the Option may not be exercised after the Expiration Date determined under Section 3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7.EXERCISING YOUR OPTION.</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To exercise your Option, you must execute the Notice of Exercise and Common Stock Purchase Agreement (the “Exercise Notice”),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You must submit this form, together with full payment, to the Company. Your exercise will be effective when it is received by the Company. If you exercise your Option prior to vesting as provided in Section 8, you must also sign an Assignment Separate from Certificate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If someone else wants to exercise your Option after your death, that person must prove to the Company’s satisfaction that he or she is entitled to do 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8.EXERCISE OF OPTION BEFORE VESTING.</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If you wish, you may exercise your Option before it is vested (“Early Exercise”). The Company may in its sole and absolute discretion prohibit you from undertaking an Early Exercise at any time prior to the expiration of six (6) months from the Date of Grant. Your Option Shares will be subject to a repurchase right which shall lapse according to the same vesting schedule applicable had you not exercised your Option. The repurchase right allows the Company to repurchase the unvested Shares for the Exercise Price.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SHOULD CONSULT A TAX AND/OR FINANCIAL ADVISOR BEFORE EXERCISING PRIOR TO VESTING.</w:t>
      </w:r>
    </w:p>
    <w:p>
      <w:pPr>
        <w:sectPr>
          <w:pgSz w:w="11900" w:h="16874" w:orient="portrait"/>
          <w:cols w:equalWidth="0" w:num="1">
            <w:col w:w="11400"/>
          </w:cols>
          <w:pgMar w:left="240" w:top="341" w:right="259" w:bottom="0" w:gutter="0" w:footer="0" w:header="0"/>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auto"/>
        </w:rPr>
        <w:t>SECTION 9.PAYMENT FORMS.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When you exercise your Option, you must include payment of the Exercise Price for the Shares you are purchasing in cash or cash equivalents. Alternatively, you may pay all or part of the Exercise Price by surrendering, or attesting to ownership of, Shares already owned by you, unless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 To the extent that a public market for the Shares exists and to the extent permitted by applicable law, in each case as determined by the Company, you also may exercise your Option by delivery (on a form prescribed by the Company) of an irrevocable direction to a securities broker to sell Shares and to deliver all or part of the sale proceeds to the Company in payment of the aggregate Exercise Price and, if requested, applicable withholding taxes. The Company will provide the forms necessary to make such a cashless exercise. The Board may permit such other payment forms as it deems appropriate, subject to applicable laws, regulations and rules.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10.TAX WITHHOLDING AND REPORTING.</w:t>
      </w:r>
    </w:p>
    <w:p>
      <w:pPr>
        <w:spacing w:after="0" w:line="229"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Any taxes, social insurances, health tax or National Insurance Contributions required to be withheld as a result of the Option exercise or the sale or transfer of Shares acquired upon exercise of this Option shall be borne solely by you. You hereby authorize withholding from payroll or any other payment due you from the Company or your employer or the Trustee, including proceeds of sale of Shares, to satisfy any such withholding tax obligation. The Company and the Trustee shall have no obligation to deliver or transfer Shares until the tax withholding obligations of the Company, the Trustee and your employer have been satisfied. You acknowledge and agree that the ultimate liability for all the tax, social insurance obligations and National Insurance Contributions associated with the Option and the Shares are and remain your responsibility and that the Company and your employer: (i) make no representations or undertakings regarding the tax, social insurance or National Insurance Contribution treatment of any aspect of the Option, including the grant, vesting or settlement of the Option, the subsequent sale of Shares acquired pursuant to such settlement, or the receipt of any dividends and (ii) do not commit to structure the terms of the grant or any other aspect of the Option to reduce or eliminate your tax, social insurance or National Insurance Contribution liability or obligations. The ramifications of any future modification of Applicable Laws regarding the taxation of the Options granted shall apply accordingly and the Participant shall bear the full cost thereof, unless such modified laws expressly provide otherwise.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11.RIGHT OF FIRST REFUSAL.</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12.RESALE RESTRICTIONS/MARKET STAND-OFF.</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13.TRANSFER OF OPTION.</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 You may, however, dispose of this Option in your will. Regardless of any marital property settlement agreement, the Company is not obligated to honor an Exercise Notice from your spouse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former spouse, nor is the Company obligated to recognize such individual’s interest in your Option in any other way.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14.RETENTION RIGHTS.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This Agreement does not give you the right to be retained by the Company in any capacity. The Company reserves the right to terminate your Service at any time and for any reason, subject to applicable laws, without thereby incurring any liability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15.STOCKHOLDER RIGHTS.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 except as described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16.ADJUSTMENTS.</w:t>
      </w:r>
    </w:p>
    <w:p>
      <w:pPr>
        <w:sectPr>
          <w:pgSz w:w="11900" w:h="16838" w:orient="portrait"/>
          <w:cols w:equalWidth="0" w:num="1">
            <w:col w:w="11420"/>
          </w:cols>
          <w:pgMar w:left="240" w:top="337" w:right="239" w:bottom="0" w:gutter="0" w:footer="0" w:header="0"/>
        </w:sectPr>
      </w:pPr>
    </w:p>
    <w:bookmarkStart w:id="286" w:name="page287"/>
    <w:bookmarkEnd w:id="286"/>
    <w:p>
      <w:pPr>
        <w:spacing w:after="0" w:line="41"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17.RIGHT OF FIRST REFUSAL.</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18.RESALE RESTRICTIONS/MARKET STAND-OFF.</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19.SECURITIES LAW INFORMATION</w:t>
      </w:r>
    </w:p>
    <w:p>
      <w:pPr>
        <w:spacing w:after="0" w:line="229"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The offering and resale of Shares acquired under the Plan to a person or entity resident in Australia may be subject to disclosure requirements under Australian law. Participant should obtain legal advice regarding any applicable disclosure requirements prior to making any such offer.</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20.TRANSFER OF OPTION.</w:t>
      </w:r>
    </w:p>
    <w:p>
      <w:pPr>
        <w:spacing w:after="0" w:line="229"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 You may, however, dispose of this Option in your will. Regardless of any marital property settlement agreement, the Company is not obligated to honor an Exercise Notice from your spouse or former spouse, nor is the Company obligated to recognize such individual’s interest in your Option in any other 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21.RETENTION RIGHTS.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Agreement does not give you the right to be retained by the Company in any capacity. The Company reserves the right to terminate your Service at any time and for any reason without thereby incurring any liability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22.STOCKHOLDER RIGHTS.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 except as described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23.ADJUSTMENTS.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certificates representing the Shares issued upon exercise of this Option shall, where applicable, have endorsed thereon the following legends:</w:t>
      </w:r>
    </w:p>
    <w:p>
      <w:pPr>
        <w:spacing w:after="0" w:line="248"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OTHER JURISDICTION, AND MAY BE OFFERED AND SOLD ONLY IF REGISTERED AND QUALIFIED PURSUANT TO THE RELEVANT PROVISIONS OF U.S. FEDERAL, STATE AND FOREIGN SECURITIES LAWS OR IF THE COMPANY IS PROVIDED AN OPINION OF COUNSEL SATISFACTORY TO THE COMPANY THAT REGISTRATION AND QUALIFICATION UNDER U.S. FEDERAL, STATE AND FOREIGN SECURITIES LAWS IS NOT REQUIRED.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ectPr>
          <w:pgSz w:w="11900" w:h="16880" w:orient="portrait"/>
          <w:cols w:equalWidth="0" w:num="1">
            <w:col w:w="11400"/>
          </w:cols>
          <w:pgMar w:left="240" w:top="126" w:right="259" w:bottom="0" w:gutter="0" w:footer="0" w:header="0"/>
        </w:sectPr>
      </w:pPr>
    </w:p>
    <w:bookmarkStart w:id="287" w:name="page288"/>
    <w:bookmarkEnd w:id="287"/>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25.TAX DISCLAIMER.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agree that you are responsible for consulting your own tax advisor as to the tax consequences associated with your Option. The tax</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rules governing options are complex, change frequently and depend on the individual taxpayer’s situation. Although the Company will make available to you general tax information about stock options, you agree that the Company shall not be held liable or responsible for making such information available to you and any tax or financial consequences that you may incur in connection with your Option.</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gives no assurance that adverse tax consequences will not occur and specifically assumes no responsibility therefor. By accepting this Option, you acknowledge that any tax liability or other adverse tax consequences to you resulting from the grant of the Option will be the responsibility of, and will be borne entirely by, you. YOU ARE THEREFORE ENCOURAGED TO CONSULT YOUR OWN TAX ADVISOR BEFORE ACCEPTING THE GRANT OF THIS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26.THE PLAN AND OTHER AGREEMENTS.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text of the Plan is incorporated in this Agreement by reference. Certain capitalized terms used in this Agreement are defined in the Plan. The Notice of Stock Option Grant, this Agreement, including its attachments, and the Plan constitute the entire understanding between you and the Company regarding this Option. Any prior agreements, commitments or negotiations concerning this Option are superseded.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27.MISCELLANEOUS PROVISIONS.</w:t>
      </w:r>
    </w:p>
    <w:p>
      <w:pPr>
        <w:spacing w:after="0" w:line="229" w:lineRule="exact"/>
        <w:rPr>
          <w:sz w:val="20"/>
          <w:szCs w:val="20"/>
          <w:color w:val="auto"/>
        </w:rPr>
      </w:pPr>
    </w:p>
    <w:p>
      <w:pPr>
        <w:ind w:left="1300" w:right="180" w:hanging="644"/>
        <w:spacing w:after="0" w:line="276" w:lineRule="auto"/>
        <w:tabs>
          <w:tab w:leader="none" w:pos="1297" w:val="left"/>
        </w:tabs>
        <w:numPr>
          <w:ilvl w:val="0"/>
          <w:numId w:val="249"/>
        </w:numPr>
        <w:rPr>
          <w:rFonts w:ascii="Arial" w:cs="Arial" w:eastAsia="Arial" w:hAnsi="Arial"/>
          <w:sz w:val="17"/>
          <w:szCs w:val="17"/>
          <w:color w:val="auto"/>
        </w:rPr>
      </w:pPr>
      <w:r>
        <w:rPr>
          <w:rFonts w:ascii="Arial" w:cs="Arial" w:eastAsia="Arial" w:hAnsi="Arial"/>
          <w:sz w:val="17"/>
          <w:szCs w:val="17"/>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hanging="644"/>
        <w:spacing w:after="0" w:line="286" w:lineRule="auto"/>
        <w:tabs>
          <w:tab w:leader="none" w:pos="130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300" w:right="460" w:hanging="644"/>
        <w:spacing w:after="0" w:line="277" w:lineRule="auto"/>
        <w:tabs>
          <w:tab w:leader="none" w:pos="131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30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the your compensation and the fact and conditions of your participation in the Plan, as your employer deems necessary or appropriate to facilitate the administration of the Plan.</w:t>
      </w:r>
    </w:p>
    <w:p>
      <w:pPr>
        <w:spacing w:after="0" w:line="181" w:lineRule="exact"/>
        <w:rPr>
          <w:rFonts w:ascii="Arial" w:cs="Arial" w:eastAsia="Arial" w:hAnsi="Arial"/>
          <w:sz w:val="18"/>
          <w:szCs w:val="18"/>
          <w:color w:val="auto"/>
        </w:rPr>
      </w:pPr>
    </w:p>
    <w:p>
      <w:pPr>
        <w:ind w:left="1300" w:right="620" w:hanging="644"/>
        <w:spacing w:after="0" w:line="264" w:lineRule="auto"/>
        <w:tabs>
          <w:tab w:leader="none" w:pos="131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You hereby explicitly and unambiguously consent to the collection, use and transfer, in electronic or other form, of personal data as described in this document by and among the Company and its related bodies corporate the exclusive purpose of implementing, administering and managing the Plan.</w:t>
      </w:r>
    </w:p>
    <w:p>
      <w:pPr>
        <w:spacing w:after="0" w:line="181" w:lineRule="exact"/>
        <w:rPr>
          <w:rFonts w:ascii="Arial" w:cs="Arial" w:eastAsia="Arial" w:hAnsi="Arial"/>
          <w:sz w:val="18"/>
          <w:szCs w:val="18"/>
          <w:color w:val="auto"/>
        </w:rPr>
      </w:pPr>
    </w:p>
    <w:p>
      <w:pPr>
        <w:ind w:left="1300" w:right="40" w:hanging="644"/>
        <w:spacing w:after="0" w:line="286" w:lineRule="auto"/>
        <w:tabs>
          <w:tab w:leader="none" w:pos="1304" w:val="left"/>
        </w:tabs>
        <w:numPr>
          <w:ilvl w:val="0"/>
          <w:numId w:val="250"/>
        </w:numPr>
        <w:rPr>
          <w:rFonts w:ascii="Arial" w:cs="Arial" w:eastAsia="Arial" w:hAnsi="Arial"/>
          <w:sz w:val="16"/>
          <w:szCs w:val="16"/>
          <w:color w:val="auto"/>
        </w:rPr>
      </w:pPr>
      <w:r>
        <w:rPr>
          <w:rFonts w:ascii="Arial" w:cs="Arial" w:eastAsia="Arial" w:hAnsi="Arial"/>
          <w:sz w:val="16"/>
          <w:szCs w:val="16"/>
          <w:color w:val="auto"/>
        </w:rPr>
        <w:t>You hereby explicitly and unambiguously consents to the collection, use and transfer, in electronic or other form, of your personal data as described in this document by and among the Company, its Subsidiaries, the Trustee and your employer for the exclusive purpose of implementing, administering and managing your participation in the Plan. You understand that the Company (and its Subsidiaries) holds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for the purpose of implementing, administering and managing the Plan (“Data”). You understand that Data may be transferred to any third parties assisting in the implementation, administration and management of the Plan, that these recipients may be located in your country or elsewhere, and that the recipient’s country may have different, including less stringent, data privacy laws and protections than your country. You understand that Company may transfer my Data to the United States, which is not considered by the European Commission to have data protection laws equivalent to the laws in your country. You further understand that you may request a list with the names and addresses of any potential recipients of the Data by contacting the Company’s human resources representative in writing.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acquired upon settlement of the Option. You understand that Data will be held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302" w:lineRule="auto"/>
        <w:rPr>
          <w:sz w:val="20"/>
          <w:szCs w:val="20"/>
          <w:color w:val="auto"/>
        </w:rPr>
      </w:pPr>
      <w:r>
        <w:rPr>
          <w:rFonts w:ascii="Arial" w:cs="Arial" w:eastAsia="Arial" w:hAnsi="Arial"/>
          <w:sz w:val="16"/>
          <w:szCs w:val="16"/>
          <w:color w:val="auto"/>
        </w:rPr>
        <w:t>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the Company’s human resources representative. Further, you understand that you are providing the consents herein on a purely voluntary basis. If you do not consent, or if you later seek to revoke</w:t>
      </w:r>
    </w:p>
    <w:p>
      <w:pPr>
        <w:sectPr>
          <w:pgSz w:w="11900" w:h="16945" w:orient="portrait"/>
          <w:cols w:equalWidth="0" w:num="1">
            <w:col w:w="11400"/>
          </w:cols>
          <w:pgMar w:left="240" w:top="337" w:right="259" w:bottom="0" w:gutter="0" w:footer="0" w:header="0"/>
        </w:sectPr>
      </w:pPr>
    </w:p>
    <w:bookmarkStart w:id="288" w:name="page289"/>
    <w:bookmarkEnd w:id="288"/>
    <w:p>
      <w:pPr>
        <w:spacing w:after="0" w:line="137" w:lineRule="exact"/>
        <w:rPr>
          <w:sz w:val="20"/>
          <w:szCs w:val="20"/>
          <w:color w:val="auto"/>
        </w:rPr>
      </w:pPr>
    </w:p>
    <w:p>
      <w:pPr>
        <w:ind w:left="1300"/>
        <w:spacing w:after="0" w:line="293" w:lineRule="auto"/>
        <w:rPr>
          <w:sz w:val="20"/>
          <w:szCs w:val="20"/>
          <w:color w:val="auto"/>
        </w:rPr>
      </w:pPr>
      <w:r>
        <w:rPr>
          <w:rFonts w:ascii="Arial" w:cs="Arial" w:eastAsia="Arial" w:hAnsi="Arial"/>
          <w:sz w:val="16"/>
          <w:szCs w:val="16"/>
          <w:color w:val="auto"/>
        </w:rPr>
        <w:t>your consent, your employment status or career with the Company, parent or subsidiary will not be adversely affected; the only adverse consequence of refusing or withdrawing your consent is that the Company would not be able to grant me Options under the Plan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 For more information on the consequences of your refusal to consent or withdrawal of consent you understand that you may contact the Company’s human resources representative.</w:t>
      </w:r>
    </w:p>
    <w:p>
      <w:pPr>
        <w:spacing w:after="0" w:line="165" w:lineRule="exact"/>
        <w:rPr>
          <w:sz w:val="20"/>
          <w:szCs w:val="20"/>
          <w:color w:val="auto"/>
        </w:rPr>
      </w:pPr>
    </w:p>
    <w:p>
      <w:pPr>
        <w:ind w:left="1300" w:right="320" w:hanging="644"/>
        <w:spacing w:after="0" w:line="259" w:lineRule="auto"/>
        <w:tabs>
          <w:tab w:leader="none" w:pos="132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You acknowledge and agree that you may be responsible for reporting cash transactions inbound and/or outbound that exceed a certain amount and may be responsible for reporting inbound and/or outbound international fund transfers of any value, which do not involve a local bank. You are advised to seek appropriate professional advice as to how the exchange control regulations apply to your specific situation.</w:t>
      </w:r>
    </w:p>
    <w:p>
      <w:pPr>
        <w:spacing w:after="0" w:line="186" w:lineRule="exact"/>
        <w:rPr>
          <w:rFonts w:ascii="Arial" w:cs="Arial" w:eastAsia="Arial" w:hAnsi="Arial"/>
          <w:sz w:val="18"/>
          <w:szCs w:val="18"/>
          <w:color w:val="auto"/>
        </w:rPr>
      </w:pPr>
    </w:p>
    <w:p>
      <w:pPr>
        <w:ind w:left="1300" w:right="80" w:hanging="644"/>
        <w:spacing w:after="0" w:line="286" w:lineRule="auto"/>
        <w:tabs>
          <w:tab w:leader="none" w:pos="1307"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65" w:lineRule="exact"/>
        <w:rPr>
          <w:rFonts w:ascii="Arial" w:cs="Arial" w:eastAsia="Arial" w:hAnsi="Arial"/>
          <w:sz w:val="17"/>
          <w:szCs w:val="17"/>
          <w:color w:val="auto"/>
        </w:rPr>
      </w:pPr>
    </w:p>
    <w:p>
      <w:pPr>
        <w:ind w:left="1300" w:hanging="644"/>
        <w:spacing w:after="0" w:line="264" w:lineRule="auto"/>
        <w:tabs>
          <w:tab w:leader="none" w:pos="132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To the extent that you have been provided with a translation of the Agreement, the English language version of this Agreement shall prevail in case of any discrepancies or ambiguities due to translation or inconsistencies or conflicts between different language versions of the Agreement.</w:t>
      </w:r>
    </w:p>
    <w:p>
      <w:pPr>
        <w:spacing w:after="0" w:line="181" w:lineRule="exact"/>
        <w:rPr>
          <w:rFonts w:ascii="Arial" w:cs="Arial" w:eastAsia="Arial" w:hAnsi="Arial"/>
          <w:sz w:val="18"/>
          <w:szCs w:val="18"/>
          <w:color w:val="auto"/>
        </w:rPr>
      </w:pPr>
    </w:p>
    <w:p>
      <w:pPr>
        <w:ind w:left="1300" w:right="60" w:hanging="644"/>
        <w:spacing w:after="0" w:line="257" w:lineRule="auto"/>
        <w:tabs>
          <w:tab w:leader="none" w:pos="1308"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Notwithstanding any provisions in the Agreement, the Option shall be subject to any special terms and conditions set forth in Appendix A to this Agreement for your country, which shall constitute part of the Agreement. Moreover, if you relocate to one of the countries included in Appendix A, the special terms and conditions for such country will apply to you, to the extent the Company determines that the application of such terms and conditions is necessary or advisable in order to comply with applicable law or facilitate the administration of the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21.APPLICABLE LAW.</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Agreement will be interpreted and enforced under the laws of the State of New York (without regard to their choice of law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INTERNATIONAL PARTICIPANTS</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This Appendix includes additional terms and conditions that govern the options granted to you under the Plan if you reside in one of the countries listed below. Capitalized terms used but not defined in this Appendix have the meanings set forth in the Plan and/or the Agreement.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This Appendix also includes information regarding securities, exchange controls and certain other issues of which you should be aware with respect to participation in the Plan. Such laws are often complex and change frequently. As a result, the Company strongly recommends that you not rely on the information in this Appendix as the only source of information relating to the consequences of participation in the Plan because the information may be out of date at the time that the options vest or are exercised or you sell Shares acquired under the Plan. In addition, the information contained herein is general in nature and may not apply to your particular situation and the Company is not in a position to assure a particular result. Accordingly, the you are advised to seek appropriate professional advice as to how the relevant laws in your country may apply to your situation. Finally, if you are a citizen or resident of a country other than the one in which you are currently working, the information contained herein may not be applicable to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to Receive Information in English</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parties acknowledge that it is their express wish that the Agreement, as well as all documents, notices and legal proceedings entered into, given or instituted pursuant hereto or relating directly or indirectly hereto, be drawn up in English.</w:t>
      </w:r>
    </w:p>
    <w:p>
      <w:pPr>
        <w:spacing w:after="0" w:line="17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Les parties reconnaissent avoir expressément souhaité que la convention («Agreement»), ainsi que tous les documents, avis et procédures judiciaires, éxécutés, donnés ou intentés en vertu de, ou liés directement ou indirectement à la présente convention, soient rédigés en langue anglaise.</w:t>
      </w:r>
    </w:p>
    <w:p>
      <w:pPr>
        <w:sectPr>
          <w:pgSz w:w="11900" w:h="16975" w:orient="portrait"/>
          <w:cols w:equalWidth="0" w:num="1">
            <w:col w:w="11400"/>
          </w:cols>
          <w:pgMar w:left="240" w:top="125" w:right="259" w:bottom="0" w:gutter="0" w:footer="0" w:header="0"/>
        </w:sectPr>
      </w:pPr>
    </w:p>
    <w:bookmarkStart w:id="289" w:name="page290"/>
    <w:bookmarkEnd w:id="289"/>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Information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may be securities law implications for you if you sell shares of Common Stock acquired through the Plan through a broker other than a broker appointed under the Plan or the sale does not take place through the facilities of a stock exchange outside of Canada on which the shares of Common Stock are listed.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Information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Because the grant of the Option under the Plan is being made to fewer than 150 Norwegian employees, it is exempt from the requirement to publish a prospectus under local securities requirements and the EU Prospectus Directive as implemented in Norway.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 Consent</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By completing the enrollment process and submitting the Agreement, I confirm that I have read and understood the documents relating to the rights to purchase Shares (the Plan, the Agreement, and this Appendix) which were provided to me in the English language. I accept the terms of these documents accordingly.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Consentement Relatif à la Langue Utilisée</w:t>
      </w:r>
    </w:p>
    <w:p>
      <w:pPr>
        <w:spacing w:after="0" w:line="225"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En complétant et renvoyant le présent du Contrat, je confirme avoir lu et compris les documents relatifs aux droits d’acquisition d’Actions Ordinaires qui m’ont été remis en langue anglaise (le Plan, le Contrat, Annexe). J’accepte les conditions afférentes à ces documents en connaissance de cause.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Reporting Information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French residents may hold Shares outside of France, provided that they declare all foreign accounts, whether open, current or closed, on their annual income tax return.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Disclaimer</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participation in the Plan is exempt or excluded from the requirement to publish a prospectus under the EU Prospectus Directive as implemented in France.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Information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you remit proceeds in excess of €1[Options Granted] out of or into Germany, such cross-border payment must be reported monthly to the State Central Bank. In the event that you make or receive a payment in excess of this amount, you are responsible for obtaining the appropriate form from a German bank and complying with applicable reporting requirements. In addition, you must also report on an annual basis in the event that you hold Shares exceeding 10% of the total voting capital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Disclaimer</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participation in the Plan is exempt or excluded from the requirement to publish a prospectus under the EU Prospectus Directive as implemented in Germany.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Warning: The content of the this document has not been reviewed by any regulatory authority in Hong Kong. You are advised to exercise caution in relation to the offer. If you are in any doubt about any of the contents of this Agreement, the Plan or any Plan prospectus, you should obtain independent professional advice. The Option and any Shares to be issued pursuant to the Option do not constitute a public offering of securities under Hong Kong law and are available only to employees, directors and consultants of the Company and its affiliates. The Plan, the Agreement and other incidental communication materials have not been prepared in accordance with and are not intended to constitute a “prospectus” for a public offering of securities under the applicable companies and securities legislation in Hong Kong. The Agreement and the incidental communication materials are intended only for the personal use of each Plan participant and not for distribution to any other person.</w:t>
      </w:r>
    </w:p>
    <w:p>
      <w:pPr>
        <w:sectPr>
          <w:pgSz w:w="11900" w:h="16910" w:orient="portrait"/>
          <w:cols w:equalWidth="0" w:num="1">
            <w:col w:w="11360"/>
          </w:cols>
          <w:pgMar w:left="240" w:top="341" w:right="299" w:bottom="0" w:gutter="0" w:footer="0" w:header="0"/>
        </w:sectPr>
      </w:pPr>
    </w:p>
    <w:bookmarkStart w:id="290" w:name="page291"/>
    <w:bookmarkEnd w:id="290"/>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Shares of stock issued at exercise of the Option are accepted as a personal investment. In the event your Option is exercised and shares of Stock are issued to you within six months of the Date of Grant, you agree that the Shares may not be offered to the public or otherwise disposed of prior to the six-month anniversary of the Date of Grant.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Restrictions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By accepting the Option, you acknowledge that you understand and agree that any proceeds you may receive from the sale of Shares or from any dividends paid on such Shares must be repatriated to India within a reasonable time following the receipt of such proceeds (i.e., within 90 days of receipt of proceeds from the sale of shares of Stock or 180 days of receipt of dividends). You must maintain the foreign inward remittance certificate received from the bank where the foreign currency is deposited in the event that the Reserve Bank of India or the Employer requests proof of repatriation. It is your responsibility to comply with applicable exchange control laws in India.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Notification Obligation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you are a director, shadow director or secretary of the Company’s Irish subsidiary, you must notify the Irish subsidiary in writing within five business days of receiving or disposing of an interest in the Company (e.g., Options),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civil partner or children under the age of 18 (whose interests will be attributed to the director, shadow director or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Disclaimer</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grant of the Option is exempt or excluded from the requirement to publish a prospectus under the EU Prospectus Directive as implemented in Ireland.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Notification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Option is exempt from securities reporting and disclosure requirements with the Israel Securities Authority.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Notification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Option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intended to qualify for tax qualified treatment under Section 102 of the Israeli Ordinance and Income Tax Rules.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Disclaimer</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participation in the Plan is exempt or excluded from the requirement to publish a prospectus under the EU Prospectus Directive as implemented in the Netherlands.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Rules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You should be aware of the Dutch insider-trading rules, which may impact the sale of Shares acquired under the Plan. In particular, you may be prohibited from effectuating certain transactions if you have inside information about the Company.</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 parent, subsidiary or affiliate in the Netherlands who has inside information as described herein.</w:t>
      </w:r>
    </w:p>
    <w:p>
      <w:pPr>
        <w:spacing w:after="0" w:line="18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Given the broad scope of the definition of inside information, certain Option recipients working at a parent, subsidiary or affiliate of the Company in the Netherlands may have inside information and, thus, would be prohibited from effectuating a transaction in securities in the Netherlands at a time when recipient has such inside information.</w:t>
      </w:r>
    </w:p>
    <w:p>
      <w:pPr>
        <w:sectPr>
          <w:pgSz w:w="11900" w:h="16918" w:orient="portrait"/>
          <w:cols w:equalWidth="0" w:num="1">
            <w:col w:w="11400"/>
          </w:cols>
          <w:pgMar w:left="240" w:top="337" w:right="259" w:bottom="0" w:gutter="0" w:footer="0" w:header="0"/>
        </w:sectPr>
      </w:pPr>
    </w:p>
    <w:bookmarkStart w:id="291" w:name="page292"/>
    <w:bookmarkEnd w:id="291"/>
    <w:p>
      <w:pPr>
        <w:spacing w:after="0"/>
        <w:rPr>
          <w:sz w:val="20"/>
          <w:szCs w:val="20"/>
          <w:color w:val="auto"/>
        </w:rPr>
      </w:pPr>
      <w:r>
        <w:rPr>
          <w:rFonts w:ascii="Arial" w:cs="Arial" w:eastAsia="Arial" w:hAnsi="Arial"/>
          <w:sz w:val="18"/>
          <w:szCs w:val="18"/>
          <w:i w:val="1"/>
          <w:iCs w:val="1"/>
          <w:color w:val="auto"/>
        </w:rPr>
        <w:t>If you are uncertain whether the insider-trading rules apply to you, you should consult your personal legal advisor.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grant of the Option under the Plan is offered on a private basis and is therefore exempt from registration in Singapore.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Notification Obligation</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you are a director, associate director or shadow director of the Company’s Singapore subsidiary, you are subject to certain notification requirements under the Singapore Companies Act. Among these requirements is an obligation to notify the Company’s Singapore subsidiary in writing when you receive an interest (e.g., the Option) in the Company or any parent, subsidiary or affiliate. These notifications must be made within two days of acquiring or disposing of any interest in the Company or any parent, subsidiary or affiliate. In addition, a notification of your interests in the Company or any parent, subsidiary or affiliate must be made within two days of becoming a director.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Option granted pursuant to this Agreement do not qualify under Spanish regulations as a security. No “offer of securities to the public,” as defined under Spanish law, has taken place or will take place in the Spanish territory in connection with the grant of the Option. The Agreement has not been, nor will it be, registered with the Comisión Nacional del Mercado de Valores, and does not constitute a public offering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understand that to participate in the Plan, you must comply with exchange control regulations in Spain. In this regard, you understand that if you send funds outside of Spain for the exercise of the Option or receives cash dividends or cash proceeds from the sale of Shares, you must comply with all applicable foreign exchange regulations and notification requirements and provide any required information to the local financial institution through which you transfer the funds.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you acquire Shares under the Plan and wishes to transfer the share certificates to Spain, you understand that you must declare the importation of such securities to the Dirección General de Política Comercial e Inversiones Exteriores (i.e., the Bureau for Commercial Policy and Foreign Investments, which is a department of the Ministry of Economy).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Notice</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Agreement does not constitute an approved prospectus for the purposes of section 85(1) of the Financial Services and Markets Act 2000 (“FSMA”) and no offer of transferable securities to the public (for the purposes of section 102B of FSMA) is being made in connection with the Plan. The Plan and the Option are exclusively available in the UK to bona fide employees and former employees of the Company or its UK related subsidiaries.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10GEN, INC. 2008 STOCK INCENTIVE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 AND COMMON STOCK PURCHASE AGREEMENT</w:t>
      </w:r>
    </w:p>
    <w:p>
      <w:pPr>
        <w:spacing w:after="0" w:line="211" w:lineRule="exact"/>
        <w:rPr>
          <w:sz w:val="20"/>
          <w:szCs w:val="20"/>
          <w:color w:val="auto"/>
        </w:rPr>
      </w:pPr>
    </w:p>
    <w:p>
      <w:pPr>
        <w:ind w:left="660"/>
        <w:spacing w:after="0"/>
        <w:tabs>
          <w:tab w:leader="none" w:pos="3720" w:val="left"/>
          <w:tab w:leader="none" w:pos="4000" w:val="left"/>
        </w:tabs>
        <w:rPr>
          <w:sz w:val="20"/>
          <w:szCs w:val="20"/>
          <w:color w:val="auto"/>
        </w:rPr>
      </w:pPr>
      <w:r>
        <w:rPr>
          <w:rFonts w:ascii="Arial" w:cs="Arial" w:eastAsia="Arial" w:hAnsi="Arial"/>
          <w:sz w:val="18"/>
          <w:szCs w:val="18"/>
          <w:color w:val="auto"/>
        </w:rPr>
        <w:t>THIS AGREEMENT is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between MongoDB, Inc. (the “Company”), and [First Name Last Name]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-10160</wp:posOffset>
            </wp:positionV>
            <wp:extent cx="4857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WHEREAS, the Company granted Purchaser a stock option on [Grant Date] (the “Date of Grant”) pursuant to a stock option agreement (the “Option Agreement”) under which Purchaser has the right to purchase up to [Options Granted] shares of the Company’s Class A Common Stock (the “Option Shares”);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Option is exercisable with respect to certain of the Option Shares as of the date hereof; and</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WHEREAS, pursuant to the Option Agreement, Purchaser desires to purchase shares of the Company as herein described, on the terms and conditions set forth in this Agreement, the Option Agreement and the 10Gen, Inc. 2008 Stock Incentive Plan (the “Plan”). Certain capitalized terms used in this Agreement are defined in the Plan.</w:t>
      </w:r>
    </w:p>
    <w:p>
      <w:pPr>
        <w:sectPr>
          <w:pgSz w:w="11900" w:h="16838" w:orient="portrait"/>
          <w:cols w:equalWidth="0" w:num="1">
            <w:col w:w="11380"/>
          </w:cols>
          <w:pgMar w:left="240" w:top="342" w:right="279" w:bottom="0" w:gutter="0" w:footer="0" w:header="0"/>
        </w:sectPr>
      </w:pPr>
    </w:p>
    <w:bookmarkStart w:id="292" w:name="page293"/>
    <w:bookmarkEnd w:id="292"/>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 between the parties as follows:</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u w:val="single" w:color="auto"/>
          <w:color w:val="auto"/>
        </w:rPr>
        <w:t>SECTION 22.</w:t>
      </w:r>
      <w:r>
        <w:rPr>
          <w:sz w:val="20"/>
          <w:szCs w:val="20"/>
          <w:color w:val="auto"/>
        </w:rPr>
        <w:tab/>
      </w:r>
      <w:r>
        <w:rPr>
          <w:rFonts w:ascii="Arial" w:cs="Arial" w:eastAsia="Arial" w:hAnsi="Arial"/>
          <w:sz w:val="17"/>
          <w:szCs w:val="17"/>
          <w:b w:val="1"/>
          <w:bCs w:val="1"/>
          <w:u w:val="single" w:color="auto"/>
          <w:color w:val="auto"/>
        </w:rPr>
        <w:t>PURCHASE OF SHARES</w:t>
      </w:r>
      <w:r>
        <w:rPr>
          <w:rFonts w:ascii="Arial" w:cs="Arial" w:eastAsia="Arial" w:hAnsi="Arial"/>
          <w:sz w:val="17"/>
          <w:szCs w:val="17"/>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Pursuant to the terms of the Option Agreement, Purchaser hereby agrees to purchase from the Company and the Company agrees to sell and</w:t>
      </w:r>
    </w:p>
    <w:p>
      <w:pPr>
        <w:spacing w:after="0" w:line="46" w:lineRule="exact"/>
        <w:rPr>
          <w:rFonts w:ascii="Arial" w:cs="Arial" w:eastAsia="Arial" w:hAnsi="Arial"/>
          <w:sz w:val="16"/>
          <w:szCs w:val="16"/>
          <w:color w:val="auto"/>
        </w:rPr>
      </w:pPr>
    </w:p>
    <w:p>
      <w:pPr>
        <w:ind w:left="1300"/>
        <w:spacing w:after="0" w:line="255" w:lineRule="auto"/>
        <w:rPr>
          <w:rFonts w:ascii="Arial" w:cs="Arial" w:eastAsia="Arial" w:hAnsi="Arial"/>
          <w:sz w:val="16"/>
          <w:szCs w:val="16"/>
          <w:color w:val="auto"/>
        </w:rPr>
      </w:pPr>
      <w:r>
        <w:rPr>
          <w:rFonts w:ascii="Arial" w:cs="Arial" w:eastAsia="Arial" w:hAnsi="Arial"/>
          <w:sz w:val="18"/>
          <w:szCs w:val="18"/>
          <w:color w:val="auto"/>
        </w:rPr>
        <w:t>issue to Purchaser [ ] shares of the Company’s Class A common stock (the “Common Stock”) for the Exercise Price per share specified in the Notice of Stock Option Grant payable by personal check, cashier’s check, money order or otherwise as permitted by the Option Agreement. Payment shall be delivered at the Closing, as such term is defined below.</w:t>
      </w:r>
    </w:p>
    <w:p>
      <w:pPr>
        <w:spacing w:after="0" w:line="190" w:lineRule="exact"/>
        <w:rPr>
          <w:rFonts w:ascii="Arial" w:cs="Arial" w:eastAsia="Arial" w:hAnsi="Arial"/>
          <w:sz w:val="16"/>
          <w:szCs w:val="16"/>
          <w:color w:val="auto"/>
        </w:rPr>
      </w:pPr>
    </w:p>
    <w:p>
      <w:pPr>
        <w:ind w:left="1300" w:right="280" w:hanging="644"/>
        <w:spacing w:after="0" w:line="277" w:lineRule="auto"/>
        <w:tabs>
          <w:tab w:leader="none" w:pos="1307"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closing (the “Closing”) under this Agreement shall occur at the offices of the Company as of the date hereof, or such other time and place as may be designated by the Company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-730885</wp:posOffset>
            </wp:positionV>
            <wp:extent cx="25717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23.REPURCHASE RIGHT.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shares of the Stock purchased by Purchaser pursuant to this Agreement that have not vested under the terms of the Option Agreement, together with any shares of Common Stock issued as a dividend or other distribution on, in exchange for or upon the conversion of such unvested Stock (collectively, the “Subject Shares”) shall be subject to the following right of repurchase by the Company (the “Repurchase Right”). The Company shall have the right, within ninety (90) days after the termination of Purchaser’s services to the Company (the “Termination Date”), to purchase from Purchaser all Subject Shares as of the Termination Date.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repurchase price shall be the Exercise Price per share paid by Purchaser for such shares pursuant to this Agreement. For purposes of this Section 2, the date the Company exercises its Repurchase Right shall be deemed to be the Termination Date. The Repurchase Right under this Section 2 shall lapse with respect to the Subject Shares in accordance with the vesting schedule in the Option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24.EXERCISE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shall be deemed to have exercised its Repurchase Right automatically for all Subject Shares as of the Termination Date, unless within ninety (90) days thereafter, the Company notifies the holder of the Subject Shares pursuant to Section 16 that it will not exercise its Repurchase Rights as to some or all of the Subject Shares. The certificate(s) representing the shares to be repurchased shall be delivered to the Company properly endorsed for transfer. The Company shall, concurrently with the receipt of such certificate(s), pay to Purchaser the repurchase price determined according to Section 2, above. The repurchase price shall be paid by certified or cashier’s check or by cancellation of any purchase money indebtedness of Purchaser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25.WAIVER, ASSIGNMENT, EXPIRATION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If the Company waives or fails to exercise the Repurchase Right as to all of the shares subject thereto, the Company may, in the discretion of its Board of Directors, assign the Repurchase Right to any other holder or holders of preferred or common stock of the Company in such proportions as such Board of Directors may determine. In the event of such an assignment, the Board may require that the assignee pay to the Company in cash an amount equal to the fair market value of the Repurchase Right. The Company shall promptly, prior to expiration of the ninety (90) day period referred to in Section 2 above, notify Purchaser of the number of shares subject to the Repurchase Right assigned to such stockholders and shall notify both Purchaser and the assignees of the time, place and date for settlement of such purchase, which must be made within ninety (90) days from the Termination Date. In the event that the Company and/or such assignees do not elect to exercise the Repurchase Right as to all or part of the shares subject to it, the Repurchase Right shall expire as to all shares which the Company and/or such assignees have not elected to purchase.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26.ESCROW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73" w:lineRule="auto"/>
        <w:tabs>
          <w:tab w:leader="none" w:pos="1297"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To ensure that Purchaser’s unvested Shares are delivered to the Company upon its exercise of its Repurchase Right, Purchaser agrees at the Closing under this Agreement, to deliver to and deposit with the escrow agent (the “Escrow Agent”) named in the Joint Escrow Instructions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certificate(s) evidencing the unvested Shares and an Assignment Separate from Certificate executed by Purchaser (with date and number of shares in blank)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The certificate(s) evidencing the unvested Shares and the Assignment Separate from Certificate shall be delivered to the Escrow Agent and held under the Joint Escrow Instructions, which shall be delivered to the Escrow Agent at the Closing under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97" w:lineRule="auto"/>
        <w:tabs>
          <w:tab w:leader="none" w:pos="130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Within thirty (30) days after the last day of each successive completed calendar quarter after the Closing Date, if Purchaser so requests, the Escrow Agent shall deliver to Purchaser certificates representing so many shares of Common Stock as are no longer subject to the Repurchase Right (less such shares as have been previously delivered). Ninety (90) days after the Termination Date, the Company shall direct the Escrow Agent to deliver to Purchaser a certificate or certificates representing the number of shares not repurchased by the Company or its assignees pursuant to exercise of the Repurchase Right (less such shares as have been previously delivered).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27.ADJUSTMENT OF SHARES</w:t>
      </w:r>
      <w:r>
        <w:rPr>
          <w:rFonts w:ascii="Arial" w:cs="Arial" w:eastAsia="Arial" w:hAnsi="Arial"/>
          <w:sz w:val="18"/>
          <w:szCs w:val="18"/>
          <w:b w:val="1"/>
          <w:bCs w:val="1"/>
          <w:color w:val="auto"/>
        </w:rPr>
        <w:t>.</w:t>
      </w:r>
    </w:p>
    <w:p>
      <w:pPr>
        <w:sectPr>
          <w:pgSz w:w="11900" w:h="16870" w:orient="portrait"/>
          <w:cols w:equalWidth="0" w:num="1">
            <w:col w:w="11400"/>
          </w:cols>
          <w:pgMar w:left="240" w:top="125" w:right="259" w:bottom="0" w:gutter="0" w:footer="0" w:header="0"/>
        </w:sectPr>
      </w:pPr>
    </w:p>
    <w:bookmarkStart w:id="293" w:name="page294"/>
    <w:bookmarkEnd w:id="293"/>
    <w:p>
      <w:pPr>
        <w:spacing w:after="0" w:line="137"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Subject to the provisions of the Certificate of Incorporation of the Company, if (a) there is any stock dividend or liquidating dividend of cash and/or property, stock split or other change in the character or amount of any of the outstanding securities of the Company, or (b) there is any consolidation, merger or sale of all or substantially all of the assets of the Company, then, in such event, any and all new, substituted or additional securities or other property to which Purchaser is entitled by reason of Purchaser’s ownership of the shares shall be immediately subject to the Repurchase Right and the Right of First Refusal, as defined below, with the same force and effect as the shares subject to the Repurchase Right and the Right of First Refusal. While the total repurchase price shall remain the same after each such event, the repurchase price per share upon exercise of the Repurchase Right shall be appropriately and equitably adjusted as determined by the Board of Directors of the Company. Appropriate adjustments shall also be made to the number and/or class of shares subject to the Repurchase Right and the Right of First Refusal to reflect the exchange or distribution of such securities. In the event of a merger or consolidation of the Company with or into another entity or any other corporate reorganization, the Repurchase Right and Right of First Refusal may be exercised by the Company’s successor.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28.THE COMPANY’S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any shares of Common Stock registered in the name of Purchaser may be sold or transferred, such shares shall first be offered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 (the “Right of First Refusal”):</w:t>
      </w:r>
    </w:p>
    <w:p>
      <w:pPr>
        <w:spacing w:after="0" w:line="211" w:lineRule="exact"/>
        <w:rPr>
          <w:sz w:val="20"/>
          <w:szCs w:val="20"/>
          <w:color w:val="auto"/>
        </w:rPr>
      </w:pPr>
    </w:p>
    <w:p>
      <w:pPr>
        <w:ind w:left="1300" w:right="20" w:hanging="644"/>
        <w:spacing w:after="0" w:line="255" w:lineRule="auto"/>
        <w:tabs>
          <w:tab w:leader="none" w:pos="1297"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Purchaser shall promptly deliver a notice (“Notice”) to the Company stating (i) Purchaser’s bona fide intention to sell or transfer such shares, (ii) the number of such shares to be sold or transferred, and the basic terms and conditions of such sale or transfer, (iii) the price for which Purchaser proposes to sell or transfer such shares, (iv) the name of the proposed purchaser or transferee, and (v) proof satisfactory to the Company that the proposed sale or transfer will not violate any applicable U.S. federal, state or foreign securities laws. The Notice shall be signed by both Purchaser and the proposed purchaser or transferee and must constitute a binding commitment subject to the Company’s Right of First Refusal as set forth herein.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hanging="644"/>
        <w:spacing w:after="0" w:line="272" w:lineRule="auto"/>
        <w:tabs>
          <w:tab w:leader="none" w:pos="1307"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Within thirty (30) days after receipt of the Notice, the Company may elect to purchase all or any portion of the shares to which the Notice refers, at the price per share specified in the Notice. If the Company elects not to purchase all or any portion of the shares, the Company may assign its right to purchase all or any portion of the shares. The assignees may elect within thirty (30) days after receipt by the Company of the Notice to purchase all or any portion of the shares to which the Notice refers, at the price per share specified in the Notice. An election to purchase shall be made by written notice to Purchaser. Payment for shares purchased pursuant to this Section 7 shall be made within thirty (30) days after receipt of the Notice by the Company and, at the option of the Company, may be made by cancellation of all or a portion of outstanding indebtedness, if any, or in cash or both.</w:t>
      </w:r>
    </w:p>
    <w:p>
      <w:pPr>
        <w:spacing w:after="0" w:line="177" w:lineRule="exact"/>
        <w:rPr>
          <w:rFonts w:ascii="Arial" w:cs="Arial" w:eastAsia="Arial" w:hAnsi="Arial"/>
          <w:sz w:val="17"/>
          <w:szCs w:val="17"/>
          <w:color w:val="auto"/>
        </w:rPr>
      </w:pPr>
    </w:p>
    <w:p>
      <w:pPr>
        <w:ind w:left="1300" w:right="120" w:hanging="644"/>
        <w:spacing w:after="0" w:line="255" w:lineRule="auto"/>
        <w:tabs>
          <w:tab w:leader="none" w:pos="131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If all or any portion of the shares to which the Notice refers are not elected to be purchased, as provided in subparagraph 7(b), Purchaser may sell those shares to any person named in the Notice at the price specified in the Notice, provided that such sale or transfer is consummated within sixty (60) days of the date of said Notice to the Company, and provided, further, that any such sale is made in compliance with applicable U.S. federal, state and foreign securities laws and not in violation of any other contractual restrictions to which Purchaser is bound. The third-party purchaser shall be bound by, and shall acquire the shares of stock subject to, the provisions of this Agreement, including the Company’s Right of First Refusal.</w:t>
      </w:r>
    </w:p>
    <w:p>
      <w:pPr>
        <w:spacing w:after="0" w:line="193"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proposed transfer on terms and conditions different from those set forth in the Notice, as well as any subsequent proposed transfer shall again be subject to the Company’s Right of First Refusal and shall require compliance with the procedures described in this Section 7.</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1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Purchaser agrees to cooperate affirmatively with the Company, to the extent reasonably requested by the Company, to enforce rights and obligations pursuant to this Agreement.</w:t>
      </w:r>
    </w:p>
    <w:p>
      <w:pPr>
        <w:spacing w:after="0" w:line="170" w:lineRule="exact"/>
        <w:rPr>
          <w:rFonts w:ascii="Arial" w:cs="Arial" w:eastAsia="Arial" w:hAnsi="Arial"/>
          <w:sz w:val="18"/>
          <w:szCs w:val="18"/>
          <w:color w:val="auto"/>
        </w:rPr>
      </w:pPr>
    </w:p>
    <w:p>
      <w:pPr>
        <w:ind w:left="1300" w:right="420" w:hanging="644"/>
        <w:spacing w:after="0" w:line="286" w:lineRule="auto"/>
        <w:tabs>
          <w:tab w:leader="none" w:pos="1304" w:val="left"/>
        </w:tabs>
        <w:numPr>
          <w:ilvl w:val="0"/>
          <w:numId w:val="256"/>
        </w:numPr>
        <w:rPr>
          <w:rFonts w:ascii="Arial" w:cs="Arial" w:eastAsia="Arial" w:hAnsi="Arial"/>
          <w:sz w:val="17"/>
          <w:szCs w:val="17"/>
          <w:color w:val="auto"/>
        </w:rPr>
      </w:pPr>
      <w:r>
        <w:rPr>
          <w:rFonts w:ascii="Arial" w:cs="Arial" w:eastAsia="Arial" w:hAnsi="Arial"/>
          <w:sz w:val="17"/>
          <w:szCs w:val="17"/>
          <w:color w:val="auto"/>
        </w:rPr>
        <w:t>Notwithstanding the above, neither the Company nor any assignee of the Company under this Section 7 shall have any right under this Section 7 at any time subsequent to the closing of a public offering of the common stock of the Company pursuant to a registration statement declared effective under the U.S. Securities Act of 1933, as amended (the “Securities Act”).</w:t>
      </w:r>
    </w:p>
    <w:p>
      <w:pPr>
        <w:spacing w:after="0" w:line="165" w:lineRule="exact"/>
        <w:rPr>
          <w:rFonts w:ascii="Arial" w:cs="Arial" w:eastAsia="Arial" w:hAnsi="Arial"/>
          <w:sz w:val="17"/>
          <w:szCs w:val="17"/>
          <w:color w:val="auto"/>
        </w:rPr>
      </w:pPr>
    </w:p>
    <w:p>
      <w:pPr>
        <w:ind w:left="1300" w:right="20" w:hanging="644"/>
        <w:spacing w:after="0" w:line="259" w:lineRule="auto"/>
        <w:tabs>
          <w:tab w:leader="none" w:pos="132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This Section 7 shall not apply to (i) a transfer by will or intestate succession, or (ii) a transfer to one or more members of Purchaser’s Immediate Family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Purchaser. The transferee shall execute a copy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29.PURCHASER’S RIGHTS AFTER EXERCISE OF REPURCHASE RIGHT OR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If the Company makes available, at the time and place and in the amount and form provided in this Agreement, the consideration for the Common Stock to be repurchased in accordance with the provisions of Sections 2 and 7 of this Agreement, then from and after such time the person from whom such</w:t>
      </w:r>
    </w:p>
    <w:p>
      <w:pPr>
        <w:sectPr>
          <w:pgSz w:w="11900" w:h="16976" w:orient="portrait"/>
          <w:cols w:equalWidth="0" w:num="1">
            <w:col w:w="11420"/>
          </w:cols>
          <w:pgMar w:left="240" w:top="342" w:right="239" w:bottom="0" w:gutter="0" w:footer="0" w:header="0"/>
        </w:sectPr>
      </w:pPr>
    </w:p>
    <w:bookmarkStart w:id="294" w:name="page295"/>
    <w:bookmarkEnd w:id="294"/>
    <w:p>
      <w:pPr>
        <w:spacing w:after="0" w:line="1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shares are to be repurchased shall no longer have any rights as a holder of such shares (other than the right to receive payment of such consideration in accordance with this Agreement). Such shares shall be deemed to have been repurchased in accordance with the applicable provisions hereof, whether or not the certificate(s) therefor have been delivered as required by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30.TRANSFER BY PURCHASER TO CERTAIN PEOPLE</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line="255" w:lineRule="auto"/>
        <w:tabs>
          <w:tab w:leader="none" w:pos="129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Purchaser may not transfer, assign, encumber or otherwise dispose of any Subject Shares without the Company’s written consent, except that Purchaser may transfer Subject Shares to one or more members of Purchaser’s Immediate Family (as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 Purchaser. The transferee shall execute a copy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93" w:lineRule="exact"/>
        <w:rPr>
          <w:rFonts w:ascii="Arial" w:cs="Arial" w:eastAsia="Arial" w:hAnsi="Arial"/>
          <w:sz w:val="18"/>
          <w:szCs w:val="18"/>
          <w:color w:val="auto"/>
        </w:rPr>
      </w:pPr>
    </w:p>
    <w:p>
      <w:pPr>
        <w:ind w:left="1300" w:right="60" w:hanging="644"/>
        <w:spacing w:after="0" w:line="342" w:lineRule="auto"/>
        <w:tabs>
          <w:tab w:leader="none" w:pos="1307" w:val="left"/>
        </w:tabs>
        <w:numPr>
          <w:ilvl w:val="0"/>
          <w:numId w:val="257"/>
        </w:numPr>
        <w:rPr>
          <w:rFonts w:ascii="Arial" w:cs="Arial" w:eastAsia="Arial" w:hAnsi="Arial"/>
          <w:sz w:val="16"/>
          <w:szCs w:val="16"/>
          <w:color w:val="auto"/>
        </w:rPr>
      </w:pPr>
      <w:r>
        <w:rPr>
          <w:rFonts w:ascii="Arial" w:cs="Arial" w:eastAsia="Arial" w:hAnsi="Arial"/>
          <w:sz w:val="16"/>
          <w:szCs w:val="16"/>
          <w:color w:val="auto"/>
        </w:rPr>
        <w:t>For purposes of this Agreement, Immediate Family means any child, stepchild, grandchild, parent, stepparent, grandparent, spouse, sibling, mother-in-law, father-in-law, son-in-law, daughter-in-law, brother-in-law or sister-in-law, and shall include adoptive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31.LEGEND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All certificates representing the Common Stock purchased under this Agreement shall, where applicable, have endorsed thereon the following legends and any other legends required by applicable securities laws:</w:t>
      </w:r>
    </w:p>
    <w:p>
      <w:pPr>
        <w:spacing w:after="0" w:line="170"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REGISTRATION AND QUALIFICATION UNDER U.S. FEDERAL AND STATE AND APPLICABLE FOREIGN SECURITIES LAWS IS NOT REQUIRED.</w:t>
      </w:r>
    </w:p>
    <w:p>
      <w:pPr>
        <w:spacing w:after="0" w:line="17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the Option is an ISO, then the following legend should be included:</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SHARES REPRESENTED BY THIS CERTIFICATE WERE ISSUED UPON EXERCISE OF AN INCENTIVE STOCK OPTION, AND THE COMPANY MUST BE NOTIFIED IF THE SHARES SHALL BE TRANSFERRED BEFORE THE LATER OF THE TWO (2) YEAR ANNIVERSARY OF THE DATE OF GRANT OF THE OPTION OR THE ONE (1) YEAR ANNIVERSARY OF THE DATE ON WHICH THE OPTION WAS EXERCISED. THE REGISTERED HOLDER MAY RECOGNIZE ORDINARY INCOME IF THE SHARES ARE TRANSFERRED BEFORE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32.PURCHASER’S INVESTMENT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91" w:lineRule="auto"/>
        <w:tabs>
          <w:tab w:leader="none" w:pos="1297" w:val="left"/>
        </w:tabs>
        <w:numPr>
          <w:ilvl w:val="0"/>
          <w:numId w:val="258"/>
        </w:numPr>
        <w:rPr>
          <w:rFonts w:ascii="Arial" w:cs="Arial" w:eastAsia="Arial" w:hAnsi="Arial"/>
          <w:sz w:val="16"/>
          <w:szCs w:val="16"/>
          <w:color w:val="auto"/>
        </w:rPr>
      </w:pPr>
      <w:r>
        <w:rPr>
          <w:rFonts w:ascii="Arial" w:cs="Arial" w:eastAsia="Arial" w:hAnsi="Arial"/>
          <w:sz w:val="16"/>
          <w:szCs w:val="16"/>
          <w:color w:val="auto"/>
        </w:rPr>
        <w:t>This Agreement is made with Purchaser in reliance upon Purchaser’s representation to the Company, which by Purchaser’s acceptance hereof Purchaser confirms, that the Common Stock which Purchaser will receive will be acquired with Purchaser’s own funds for investment for an indefinite period for Purchaser’s own account, not as a nominee or agent, and not with a view to the sale or distribution of any part thereof, and that Purchaser has no present intention of selling, granting participation in, or otherwise distributing the same, but subject, nevertheless, to any requirement of law that the disposition of Purchaser’s property shall at all times be within Purchaser’s control. By executing this Agreement, Purchaser further represents that Purchaser does not have any contract, understanding or agreement with any person to sell, transfer, or grant participation to such person or to any third person, with respect to any of the Common Stock.</w:t>
      </w:r>
    </w:p>
    <w:p>
      <w:pPr>
        <w:spacing w:after="0" w:line="167" w:lineRule="exact"/>
        <w:rPr>
          <w:rFonts w:ascii="Arial" w:cs="Arial" w:eastAsia="Arial" w:hAnsi="Arial"/>
          <w:sz w:val="16"/>
          <w:szCs w:val="16"/>
          <w:color w:val="auto"/>
        </w:rPr>
      </w:pPr>
    </w:p>
    <w:p>
      <w:pPr>
        <w:jc w:val="both"/>
        <w:ind w:left="1300" w:right="200" w:hanging="644"/>
        <w:spacing w:after="0" w:line="264" w:lineRule="auto"/>
        <w:tabs>
          <w:tab w:leader="none" w:pos="1307" w:val="left"/>
        </w:tabs>
        <w:numPr>
          <w:ilvl w:val="0"/>
          <w:numId w:val="258"/>
        </w:numPr>
        <w:rPr>
          <w:rFonts w:ascii="Arial" w:cs="Arial" w:eastAsia="Arial" w:hAnsi="Arial"/>
          <w:sz w:val="18"/>
          <w:szCs w:val="18"/>
          <w:color w:val="auto"/>
        </w:rPr>
      </w:pPr>
      <w:r>
        <w:rPr>
          <w:rFonts w:ascii="Arial" w:cs="Arial" w:eastAsia="Arial" w:hAnsi="Arial"/>
          <w:sz w:val="18"/>
          <w:szCs w:val="18"/>
          <w:color w:val="auto"/>
        </w:rPr>
        <w:t>Purchaser understands that the Common Stock will not be registered or qualified under applicable U.S. federal, state or foreign securities laws on the ground that the sale provided for in this Agreement is exempt from registration or qualification under applicable U.S. federal, state or foreign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1"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that the Company’s reliance on such exemption is predicated on Purchaser’s representations set forth herein.</w:t>
      </w:r>
    </w:p>
    <w:p>
      <w:pPr>
        <w:sectPr>
          <w:pgSz w:w="11900" w:h="16851" w:orient="portrait"/>
          <w:cols w:equalWidth="0" w:num="1">
            <w:col w:w="11400"/>
          </w:cols>
          <w:pgMar w:left="240" w:top="125" w:right="259" w:bottom="0" w:gutter="0" w:footer="0" w:header="0"/>
          <w:type w:val="continuous"/>
        </w:sectPr>
      </w:pPr>
    </w:p>
    <w:bookmarkStart w:id="295" w:name="page296"/>
    <w:bookmarkEnd w:id="295"/>
    <w:p>
      <w:pPr>
        <w:ind w:left="1300" w:right="20" w:hanging="644"/>
        <w:spacing w:after="0" w:line="255" w:lineRule="auto"/>
        <w:tabs>
          <w:tab w:leader="none" w:pos="131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Purchaser agrees that in no event shall Purchaser make a disposition of any of the Common Stock (including a disposition under Section 9 of this Agreement), unless and until (i) Purchaser shall have notified the Company of the proposed disposition and shall have furnished the Company with a statement of the circumstances surrounding the proposed disposition and (ii) Purchaser shall have furnished the Company with an opinion of counsel satisfactory to the Company to the effect that (A) such disposition will not require registration or qualification of such Common Stock under applicable U.S. federal, state or foreign securities laws or (B) appropriate action necessary for compliance with the U.S. federal, state or foreign securities laws has been taken or (iii) the Company shall have waived, expressly and in writing, its rights under clauses (i) and (ii) of this Section.</w:t>
      </w:r>
    </w:p>
    <w:p>
      <w:pPr>
        <w:spacing w:after="0" w:line="189" w:lineRule="exact"/>
        <w:rPr>
          <w:rFonts w:ascii="Arial" w:cs="Arial" w:eastAsia="Arial" w:hAnsi="Arial"/>
          <w:sz w:val="18"/>
          <w:szCs w:val="18"/>
          <w:color w:val="auto"/>
        </w:rPr>
      </w:pPr>
    </w:p>
    <w:p>
      <w:pPr>
        <w:ind w:left="1300" w:right="120" w:hanging="644"/>
        <w:spacing w:after="0" w:line="290" w:lineRule="auto"/>
        <w:tabs>
          <w:tab w:leader="none" w:pos="1307" w:val="left"/>
        </w:tabs>
        <w:numPr>
          <w:ilvl w:val="0"/>
          <w:numId w:val="259"/>
        </w:numPr>
        <w:rPr>
          <w:rFonts w:ascii="Arial" w:cs="Arial" w:eastAsia="Arial" w:hAnsi="Arial"/>
          <w:sz w:val="16"/>
          <w:szCs w:val="16"/>
          <w:color w:val="auto"/>
        </w:rPr>
      </w:pPr>
      <w:r>
        <w:rPr>
          <w:rFonts w:ascii="Arial" w:cs="Arial" w:eastAsia="Arial" w:hAnsi="Arial"/>
          <w:sz w:val="16"/>
          <w:szCs w:val="16"/>
          <w:color w:val="auto"/>
        </w:rPr>
        <w:t>With respect to a transaction occurring prior to such date as the Plan and Common Stock thereunder are covered by a valid Form S-8 or similar U.S. federal registration statement, this Subsection shall apply unless the transaction is covered by the exemption in California Corporations Code section 25102(o) or a similar broad-based exemption. In connection with the investment representations made herein, Purchaser represents that Purchaser is able to fend for himself or herself in the transactions contemplated by this Agreement, has such knowledge and experience in financial and business matters as to be capable of evaluating the merits and risks of Purchaser’s investment, has the ability to bear the economic risks of Purchaser’s investment and has been furnished with and has had access to such information as would be made available in the form of a registration statement together with such additional information as is necessary to verify the accuracy of the information supplied and to have all questions answered by the Company.</w:t>
      </w:r>
    </w:p>
    <w:p>
      <w:pPr>
        <w:spacing w:after="0" w:line="166" w:lineRule="exact"/>
        <w:rPr>
          <w:rFonts w:ascii="Arial" w:cs="Arial" w:eastAsia="Arial" w:hAnsi="Arial"/>
          <w:sz w:val="16"/>
          <w:szCs w:val="16"/>
          <w:color w:val="auto"/>
        </w:rPr>
      </w:pPr>
    </w:p>
    <w:p>
      <w:pPr>
        <w:ind w:left="1300" w:right="160" w:hanging="644"/>
        <w:spacing w:after="0" w:line="293" w:lineRule="auto"/>
        <w:tabs>
          <w:tab w:leader="none" w:pos="131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Purchaser understands that if the Company does not register with the Securities and Exchange Commission pursuant to section 12 of the U.S. Securities Exchange Act of 1934, as amended, or if a registration statement covering the Common Stock (or a filing pursuant to the exemption from registration under Regulation A of the Securities Act) under the Securities Act is not in effect when Purchaser desires to sell the Common Stock, Purchaser may be required to hold the Common Stock for an indeterminate period. Purchaser also acknowledges that Purchaser understands that any sale of the Common Stock which might be made by Purchaser in reliance upon Rule 144 under the Securities Act may be made only in limited amounts in accordance with the terms and conditions of that Rule.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33.NO DUTY TO TRANSFER IN VIOLATION OF THIS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Company shall not be required (a) to transfer on its books any shares of Common Stock of the Company which shall have been sold or transferred in violation of any of the provisions set forth in this Agreement or (b) to treat as owner of such shares or to accord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right to vote as such owner or to pay dividends to any transferee to whom such shares shall have been so transferred.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34.RIGHTS OF 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20" w:hanging="644"/>
        <w:spacing w:after="0" w:line="277" w:lineRule="auto"/>
        <w:tabs>
          <w:tab w:leader="none" w:pos="129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Except as otherwise provided herein, Purchaser shall, during the term of this Agreement, exercise all rights and privileges of a stockholder of the Company with respect to the Common Stock.</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60"/>
        </w:numPr>
        <w:rPr>
          <w:rFonts w:ascii="Arial" w:cs="Arial" w:eastAsia="Arial" w:hAnsi="Arial"/>
          <w:sz w:val="18"/>
          <w:szCs w:val="18"/>
          <w:color w:val="auto"/>
        </w:rPr>
      </w:pPr>
      <w:r>
        <w:rPr>
          <w:rFonts w:ascii="Arial" w:cs="Arial" w:eastAsia="Arial" w:hAnsi="Arial"/>
          <w:sz w:val="18"/>
          <w:szCs w:val="18"/>
          <w:color w:val="auto"/>
        </w:rPr>
        <w:t>Nothing in this Agreement shall be construed as a right by Purchaser to be retained by the Company, or a parent or subsidiary of the Company in any capacity. The Company reserves the right to terminate Purchaser’s Service at any time and for any reason without thereby incurring any liability to Purchaser.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35.RESALE RESTRICTIONS/MARKET STAND-OFF</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Purchaser hereby agrees that in connection with any underwritten public offering by the Company of its equity securities pursuant to an effective registration statement filed under the Securities Act, including the Company’s initial public offering, Purchaser shall not, directly or indirectly, engage in any transaction prohibited by the underwriter, or sell, make any short sale of, contract to sell, transfer the economic risk of ownership in, loan, hypothecate, pledge, grant any option for the purchase of, or otherwise dispose or transfer for value or agree to engage in any of the foregoing transactions with respect to any Common Stock without the prior written consent of the Company or its underwriters, for such period of time after the effective date of such registration statement as may be requested by the Company or such underwriters. Such period of time shall not exceed one hundred eighty (180) days; provided, however, that if either (a) during the last seventeen (17) days of such one hundred eighty (180) day period, the Company issues an earnings release or material news or a material event relating to the Company occurs or (b) prior to the expiration of such one hundred eighty (180) day period, the Company announces that it will release earnings results during the sixteen (16) day period beginning on the last day of the one hundred eighty (180) day period, then the restrictions imposed during such one hundred eighty (180) day period shall continue to apply until the expiration of the eighteen (18) day period beginning on the issuance of the earnings release or the occurrence of the material news or material event; and provided, further, that in the event the Company or the underwriter requests that the one hundred eighty (180) day period be extended or modified pursuant to then-applicable law, rules, regulations or trading policies, the restrictions imposed during the one hundred eighty (180) day period shall continue to apply to the extent requested by the Company or the underwriter to comply with such law, rules, regulations or trading policies. Purchaser hereby agrees to execute and deliver such other agreements as may be reasonably requested by the Company or the underwriter which are consistent with the foregoing or which are necessary to give further effect thereto. To enforce the provisions of this Section, the Company may impose stop-transfer instructions with respect to the Common Stock until the end of the applicable stand-off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296" w:name="page297"/>
    <w:bookmarkEnd w:id="296"/>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36.OTHER NECESSARY ACTIONS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37.NOTICE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deposit in the United States Post Office or the equivalent office in any jurisdiction in which Purchaser is resident with postage and fees prepaid, addressed to the other party hereto at the address last known or at such other address as such party may designate by ten (10) days’ advance written notice to the other party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38.SUCCESSORS AND ASSIGNS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This Agreement shall inure to the benefit of the successors and assigns of the Company and, subject to the restrictions on transfer herein set forth, be binding upon Purchaser and Purchaser’s heirs, executors, administrators, successors and assigns. The failure of the Company in any instance to exercise the Repurchase Right or Right of First Refusal described herein shall not constitute a waiver of any other Repurchase Right or Right of First Refusal that may subsequently arise under the provisions of this Agreement. No waiver of any breach or condition of this Agreement shall be deemed to be a waiver of any other or subsequent breach or condition, whether of a like or different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39.APPLICABLE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as such laws are applied to contracts entered into and performed in such 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40.NO STATE QUALIFICATION</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SALE OF THE SECURITIES WHICH ARE THE SUBJECT OF THIS AGREEMENT HAS NOT BEEN QUALIFIED WITH THE COMMISSIONER OF CORPORATIONS OF THE STATE OF NEW YORK,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41.NO ORAL MODIFICATION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modification of this Agreement shall be valid unless made in writing and signed by the parties hereto.</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42.ENTIRE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Agreement, the Option Agreement and the Plan constitute the entire complete and final agreement between the parties hereto with regard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MongoDB, INC.</w:t>
      </w:r>
      <w:r>
        <w:rPr>
          <w:sz w:val="20"/>
          <w:szCs w:val="20"/>
          <w:color w:val="auto"/>
        </w:rPr>
        <w:tab/>
      </w:r>
      <w:r>
        <w:rPr>
          <w:rFonts w:ascii="Arial" w:cs="Arial" w:eastAsia="Arial" w:hAnsi="Arial"/>
          <w:sz w:val="16"/>
          <w:szCs w:val="16"/>
          <w:color w:val="auto"/>
        </w:rPr>
        <w:t>[First Name Last Name]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30784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-10160</wp:posOffset>
            </wp:positionV>
            <wp:extent cx="51435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Company]</w:t>
      </w:r>
    </w:p>
    <w:p>
      <w:pPr>
        <w:sectPr>
          <w:pgSz w:w="11900" w:h="16889" w:orient="portrait"/>
          <w:cols w:equalWidth="0" w:num="1">
            <w:col w:w="11360"/>
          </w:cols>
          <w:pgMar w:left="240" w:top="338" w:right="299" w:bottom="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Escrow Agent for MongoDB, Inc. (the “Company”), and [First Name Last Name] (the “Purchaser”), you are authorized and directed to hold the Assignment Separate from Certificate form(s) executed by Purchaser and the certificate(s) of stock representing Purchaser’s unvested shares purchased in accordance with the terms of the notice of exercise and common stock purchase agreement (the “Agreement”) and stock option agreement (the “Option Agreement”) entered into between the Company and Purchaser, in accordance with the following instructions:</w:t>
      </w:r>
    </w:p>
    <w:p>
      <w:pPr>
        <w:spacing w:after="0" w:line="17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1.In the event that the Company elects to exercise the Repurchase Right as described in Section 2 of the Agreement, Purchaser and the Company hereby irrevocably authorize and direct you to close the transaction contemplated, and to promptly deliver the stock certificates.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2.At the closing, you are directed (a) to date the Assignment Separate from Certificate form(s) necessary for the transfer in question, (b) to fill in the number of shares being transferred, and (c) to deliver the form(s), together with the certificate or certificates evidencing the shares to be transferred, to the Company. The Company shall simultaneously deliver to you the repurchase price for the number of shares being purchased pursuant to the exercise of the Repurchase Right.</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3.Purchaser irrevocably authorizes the Company to deposit with you any certificates evidencing shares to be held by you under this letter and any additions and substitutions to the shares as defined in the Agreement. Purchaser irrevocably appoints you as his or her attorneyinfact and agent for the term of this escrow to execute, with respect to the shares of stock, all documents necessary or appropriate to make such securities negotiable and to complete any transaction contemplated by these Joint Escrow Instructions. Subject to the provisions of this Section 3, Purchaser shall exercise all rights and privileges, including but not limited to, the right to vote and to receive dividends (if any), of a stockholder of the Company while the shares are held by you.</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4.In accordance with the terms of Section 5 of the Agreement, you may, from time to time, deliver to Purchaser a certificate or certificates representing shares that are no longer subject to the Repurchase Right.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5.This escrow shall terminate upon the release of all shares held under the terms and provisions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6.If at the time of termination of this escrow you should have in your possession any documents, securities or other property belonging to Purchaser, you shall deliver them to Purchaser and shall be discharged from all further obligations under these Joint Escrow Instructions.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7.Your duties under these Joint Escrow Instructions may be altered, amended, modified or revoked only by a writing signed by all of the parties.</w:t>
      </w:r>
    </w:p>
    <w:p>
      <w:pPr>
        <w:spacing w:after="0" w:line="24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8.You shall be obligated to perform the duties described in these Joint Escrow Instructions and shall be protected in relying or refraining from acting on any instrument reasonably believed by you to be genuine and to have been signed or presented by the proper party or parties. You shall not be personally liable for any act or omission as Escrow Agent or as attorney-in-fact of Purchaser while acting in good faith and in the exercise of your own good judgment, and any act or omission by you pursuant to the advice of your own attorneys shall be conclusive evidence of such good faith.</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9.You are expressly authorized to disregard any and all warnings given by any of the parties hereto or by any other person or corporation, excepting only orders or process of courts of law, and are expressly authorized to comply with and obey orders, judgments or decrees of any court. In case you obey or comply with any such order, judgment or decree of any court, you shall not be liable to any of the parties under these Joint Escrow Instructions or to any other person, firm or corporation by reason of such compliance, notwithstanding any such order, judgment or decree being subsequently reversed, modified, annulled, set aside, vacated or found to have been entered without jurisdiction.</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10.You shall not be liable in any respect on account of the identity, authority or rights of the parties executing or delivering or purporting to execute or deliver the Agreement or any documents or papers deposited or called for under these Joint Escrow Instructions.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11.You shall not be liable for the outlawing of any rights under any statute of limitations with respect to these Joint Escrow Instructions or any documents deposited with you.</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12.You shall be entitled to employ such legal counsel and other experts as you may deem necessary properly to advise you in connection with your obligations under these Joint Escrow Instructions and may rely upon the advice of such counsel.</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13.Your responsibilities as Escrow Agent under these Joint Escrow Instructions shall terminate if you shall cease to be employed by the Company or if you shall resign by written notice to each party. In the event of any such termination, the Company shall appoint any officer of the Company as successor Escrow Agent.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14.If you reasonably require other or further instruments in connection with these Joint Escrow Instructions or obligations under these Joint Escrow Instructions, the parties shall furnish such instruments.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15.It is understood and agreed that should any dispute arise with respect to the delivery and/or ownership or right of possession of the securities held by you under these Joint Escrow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298" w:name="page299"/>
    <w:bookmarkEnd w:id="298"/>
    <w:p>
      <w:pPr>
        <w:ind w:right="120"/>
        <w:spacing w:after="0" w:line="286" w:lineRule="auto"/>
        <w:rPr>
          <w:sz w:val="20"/>
          <w:szCs w:val="20"/>
          <w:color w:val="auto"/>
        </w:rPr>
      </w:pPr>
      <w:r>
        <w:rPr>
          <w:rFonts w:ascii="Arial" w:cs="Arial" w:eastAsia="Arial" w:hAnsi="Arial"/>
          <w:sz w:val="17"/>
          <w:szCs w:val="17"/>
          <w:color w:val="auto"/>
        </w:rPr>
        <w:t>Instructions, you are authorized and directed to retain in your possession without liability to anyone all or any part of the securities until the dispute is settled either by mutual written agreement of the parties or by a final order, decree or judgment of a court of competent jurisdiction after the time for appeal has expired and no appeal has been perfected. You are under no duty whatsoever to institute or defend against any such proceedings.</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16.Any notice required or permitted under these Joint Escrow Instructions shall be given in writing and will be deemed effectively given upon personal delivery or upon deposit in the United States Post Office, by registered or certified mail with postage and fees prepaid, addressed to each of the other parties.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17.By signing these Joint Escrow Instructions, you become a party only for the purpose of these Joint Escrow Instructions; you do not become a party to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18.This instrument shall be governed by and construed in accordance with the laws of the State of New York.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19.This instrument shall be binding upon and inure to the benefit of the parties hereto and their respective successors and permitted assigns.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Very truly yours,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MongoDB, INC.</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426"/>
        </w:trPr>
        <w:tc>
          <w:tcPr>
            <w:tcW w:w="572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3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 Last Name] (PURCHASER)</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Signature</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LETTER IF YOU ARE EXERCISING PRIOR TO VESTING (“EARLY EXERCISE”). IF YOU ARE NOT EARLY EXERCISING, DO NOT COMPLETE THIS 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FOR VALUE RECEIVED, [First Name Last Name] sells, assigns and transfers to MongoDB, Inc. (the “Company”) or its assignee [print the number of shares] ([# of shares]) shares of the Common Stock of the Company (the “Shares”), standing in his or her name on the books of the Company represented</w:t>
      </w:r>
    </w:p>
    <w:p>
      <w:pPr>
        <w:ind w:right="520"/>
        <w:spacing w:after="0" w:line="261" w:lineRule="auto"/>
        <w:rPr>
          <w:sz w:val="20"/>
          <w:szCs w:val="20"/>
          <w:color w:val="auto"/>
        </w:rPr>
      </w:pPr>
      <w:r>
        <w:rPr>
          <w:rFonts w:ascii="Arial" w:cs="Arial" w:eastAsia="Arial" w:hAnsi="Arial"/>
          <w:sz w:val="18"/>
          <w:szCs w:val="18"/>
          <w:color w:val="auto"/>
        </w:rPr>
        <w:t>by Certificate No. and irrevocably constitutes and appoints [Name/Title of Escrow Agent] as Attorney to transfer the Shares on the books of the Company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-173990</wp:posOffset>
            </wp:positionV>
            <wp:extent cx="3429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4" w:lineRule="exact"/>
        <w:rPr>
          <w:sz w:val="20"/>
          <w:szCs w:val="20"/>
          <w:color w:val="auto"/>
        </w:rPr>
      </w:pPr>
    </w:p>
    <w:p>
      <w:pPr>
        <w:ind w:left="660"/>
        <w:spacing w:after="0"/>
        <w:tabs>
          <w:tab w:leader="none" w:pos="2060" w:val="left"/>
          <w:tab w:leader="none" w:pos="2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-10160</wp:posOffset>
            </wp:positionV>
            <wp:extent cx="74295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Name Last Name]</w:t>
      </w:r>
    </w:p>
    <w:p>
      <w:pPr>
        <w:spacing w:after="0" w:line="200" w:lineRule="exact"/>
        <w:rPr>
          <w:sz w:val="20"/>
          <w:szCs w:val="20"/>
          <w:color w:val="auto"/>
        </w:rPr>
      </w:pPr>
    </w:p>
    <w:p>
      <w:pPr>
        <w:spacing w:after="0" w:line="25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Spousal Consent (if applicable)</w:t>
      </w:r>
    </w:p>
    <w:p>
      <w:pPr>
        <w:spacing w:after="0" w:line="225" w:lineRule="exact"/>
        <w:rPr>
          <w:sz w:val="20"/>
          <w:szCs w:val="20"/>
          <w:color w:val="auto"/>
        </w:rPr>
      </w:pPr>
    </w:p>
    <w:p>
      <w:pPr>
        <w:ind w:right="180" w:firstLine="2133"/>
        <w:spacing w:after="0" w:line="277" w:lineRule="auto"/>
        <w:rPr>
          <w:sz w:val="20"/>
          <w:szCs w:val="20"/>
          <w:color w:val="auto"/>
        </w:rPr>
      </w:pPr>
      <w:r>
        <w:rPr>
          <w:rFonts w:ascii="Arial" w:cs="Arial" w:eastAsia="Arial" w:hAnsi="Arial"/>
          <w:sz w:val="18"/>
          <w:szCs w:val="18"/>
          <w:color w:val="auto"/>
        </w:rPr>
        <w:t>(Purchaser’s spouse) indicates by the execution of this Assignment his or her consent to be bound by the terms herein as to his or her interests, whether as community property or otherwise, if any, in the Shares.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FORM IF YOU ARE EXERCISING PRIOR TO VESTING (“EARLY EXERCISE”). IF YOU ARE NOT EARLY EXERCISING, DO NOT COMPLETE THIS FORM. PLEASE DO NOT FILL IN ANY BLANKS OTHER THAN THE SIGNATURE LINE. THE PURPOSE OF THIS ASSIGNMENT IS TO ENABLE THE COMPANY TO EXERCISE ITS “REPURCHASE RIGHT” SET FORTH IN THE NOTICE OF EXERCISE AND COMMON STOCK PURCHASE AGREEMENT WITHOUT REQUIRING ADDITIONAL SIGNATURES.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SEPARATE FROM CERTIFICATE</w:t>
      </w:r>
    </w:p>
    <w:p>
      <w:pPr>
        <w:sectPr>
          <w:pgSz w:w="11900" w:h="16838" w:orient="portrait"/>
          <w:cols w:equalWidth="0" w:num="1">
            <w:col w:w="11420"/>
          </w:cols>
          <w:pgMar w:left="240" w:top="585" w:right="239" w:bottom="0" w:gutter="0" w:footer="0" w:header="0"/>
        </w:sectPr>
      </w:pPr>
    </w:p>
    <w:bookmarkStart w:id="299" w:name="page300"/>
    <w:bookmarkEnd w:id="299"/>
    <w:p>
      <w:pPr>
        <w:jc w:val="center"/>
        <w:ind w:right="40"/>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ACKNOWLEDGMENT OF AND AGREEMENT TO BE BOUND</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BY THE NOTICE OF EXERCISE AND COMMON STOCK PURCHASE AGREEMENT</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MONGODB, INC.</w:t>
      </w:r>
    </w:p>
    <w:p>
      <w:pPr>
        <w:spacing w:after="0" w:line="21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undersigned, as transferee of shares of MongoDB, Inc. hereby acknowledges that he or she has read and reviewed the terms of the Notice of Exercise and Common Stock Purchase Agreement of MongoDB, Inc. and hereby agrees to be bound by the terms and conditions thereof, as if the undersigned had executed said Agreement as an original party thereto.</w:t>
      </w:r>
    </w:p>
    <w:p>
      <w:pPr>
        <w:spacing w:after="0" w:line="181" w:lineRule="exact"/>
        <w:rPr>
          <w:sz w:val="20"/>
          <w:szCs w:val="20"/>
          <w:color w:val="auto"/>
        </w:rPr>
      </w:pPr>
    </w:p>
    <w:p>
      <w:pPr>
        <w:ind w:left="660"/>
        <w:spacing w:after="0"/>
        <w:tabs>
          <w:tab w:leader="none" w:pos="2060" w:val="left"/>
          <w:tab w:leader="none" w:pos="2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-10160</wp:posOffset>
            </wp:positionV>
            <wp:extent cx="74295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19"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(Printed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OR QUALIFIED UNDER THE U.S. SECURITIES ACT OF 1933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GRANT (UK EMPLOYEES)</w:t>
      </w:r>
    </w:p>
    <w:p>
      <w:pPr>
        <w:spacing w:after="0" w:line="21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MongoDB, Inc. (the “Company”) hereby grants you the following Option to purchase shares of its Class A common stock (“Shares”). The terms and conditions of this Option are set forth in the Stock Option Agreement and the 10Gen, Inc. 2008 Stock Incentive Plan and UK Addendum (together referred to herein as the “Plan”), both of which are attached to and made a part of this document.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9080" w:type="dxa"/>
            <w:vAlign w:val="bottom"/>
          </w:tcPr>
          <w:p>
            <w:pPr>
              <w:ind w:left="500"/>
              <w:spacing w:after="0"/>
              <w:rPr>
                <w:sz w:val="20"/>
                <w:szCs w:val="20"/>
                <w:color w:val="auto"/>
              </w:rPr>
            </w:pPr>
            <w:r>
              <w:rPr>
                <w:rFonts w:ascii="Arial" w:cs="Arial" w:eastAsia="Arial" w:hAnsi="Arial"/>
                <w:sz w:val="18"/>
                <w:szCs w:val="18"/>
                <w:color w:val="auto"/>
              </w:rPr>
              <w:t>[Date of Grant]</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9080" w:type="dxa"/>
            <w:vAlign w:val="bottom"/>
          </w:tcPr>
          <w:p>
            <w:pPr>
              <w:ind w:left="500"/>
              <w:spacing w:after="0"/>
              <w:rPr>
                <w:sz w:val="20"/>
                <w:szCs w:val="20"/>
                <w:color w:val="auto"/>
              </w:rPr>
            </w:pPr>
            <w:r>
              <w:rPr>
                <w:rFonts w:ascii="Arial" w:cs="Arial" w:eastAsia="Arial" w:hAnsi="Arial"/>
                <w:sz w:val="18"/>
                <w:szCs w:val="18"/>
                <w:color w:val="auto"/>
              </w:rPr>
              <w:t>[First Name Last Name]</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Number of Option Shares:</w:t>
            </w:r>
          </w:p>
        </w:tc>
        <w:tc>
          <w:tcPr>
            <w:tcW w:w="9080" w:type="dxa"/>
            <w:vAlign w:val="bottom"/>
          </w:tcPr>
          <w:p>
            <w:pPr>
              <w:ind w:left="500"/>
              <w:spacing w:after="0"/>
              <w:rPr>
                <w:sz w:val="20"/>
                <w:szCs w:val="20"/>
                <w:color w:val="auto"/>
              </w:rPr>
            </w:pPr>
            <w:r>
              <w:rPr>
                <w:rFonts w:ascii="Arial" w:cs="Arial" w:eastAsia="Arial" w:hAnsi="Arial"/>
                <w:sz w:val="18"/>
                <w:szCs w:val="18"/>
                <w:color w:val="auto"/>
              </w:rPr>
              <w:t>[Options Granted]</w:t>
            </w:r>
          </w:p>
        </w:tc>
      </w:tr>
      <w:tr>
        <w:trPr>
          <w:trHeight w:val="418"/>
        </w:trPr>
        <w:tc>
          <w:tcPr>
            <w:tcW w:w="2380" w:type="dxa"/>
            <w:vAlign w:val="bottom"/>
          </w:tcPr>
          <w:p>
            <w:pPr>
              <w:spacing w:after="0"/>
              <w:rPr>
                <w:sz w:val="20"/>
                <w:szCs w:val="20"/>
                <w:color w:val="auto"/>
              </w:rPr>
            </w:pPr>
            <w:r>
              <w:rPr>
                <w:rFonts w:ascii="Arial" w:cs="Arial" w:eastAsia="Arial" w:hAnsi="Arial"/>
                <w:sz w:val="18"/>
                <w:szCs w:val="18"/>
                <w:i w:val="1"/>
                <w:iCs w:val="1"/>
                <w:color w:val="auto"/>
              </w:rPr>
              <w:t>Exercise Price per Share:</w:t>
            </w:r>
          </w:p>
        </w:tc>
        <w:tc>
          <w:tcPr>
            <w:tcW w:w="9080" w:type="dxa"/>
            <w:vAlign w:val="bottom"/>
          </w:tcPr>
          <w:p>
            <w:pPr>
              <w:ind w:left="500"/>
              <w:spacing w:after="0"/>
              <w:rPr>
                <w:sz w:val="20"/>
                <w:szCs w:val="20"/>
                <w:color w:val="auto"/>
              </w:rPr>
            </w:pPr>
            <w:r>
              <w:rPr>
                <w:rFonts w:ascii="Arial" w:cs="Arial" w:eastAsia="Arial" w:hAnsi="Arial"/>
                <w:sz w:val="18"/>
                <w:szCs w:val="18"/>
                <w:color w:val="auto"/>
                <w:w w:val="91"/>
              </w:rPr>
              <w:t>[Exercise Price] (The Exercise Price per Share of an Option shall not be less than one hundred percent (100%) of the</w:t>
            </w:r>
          </w:p>
        </w:tc>
      </w:tr>
      <w:tr>
        <w:trPr>
          <w:trHeight w:val="216"/>
        </w:trPr>
        <w:tc>
          <w:tcPr>
            <w:tcW w:w="2380" w:type="dxa"/>
            <w:vAlign w:val="bottom"/>
          </w:tcPr>
          <w:p>
            <w:pPr>
              <w:spacing w:after="0"/>
              <w:rPr>
                <w:sz w:val="18"/>
                <w:szCs w:val="18"/>
                <w:color w:val="auto"/>
              </w:rPr>
            </w:pPr>
          </w:p>
        </w:tc>
        <w:tc>
          <w:tcPr>
            <w:tcW w:w="9080" w:type="dxa"/>
            <w:vAlign w:val="bottom"/>
          </w:tcPr>
          <w:p>
            <w:pPr>
              <w:ind w:left="500"/>
              <w:spacing w:after="0"/>
              <w:rPr>
                <w:sz w:val="20"/>
                <w:szCs w:val="20"/>
                <w:color w:val="auto"/>
              </w:rPr>
            </w:pPr>
            <w:r>
              <w:rPr>
                <w:rFonts w:ascii="Arial" w:cs="Arial" w:eastAsia="Arial" w:hAnsi="Arial"/>
                <w:sz w:val="18"/>
                <w:szCs w:val="18"/>
                <w:color w:val="auto"/>
                <w:w w:val="93"/>
              </w:rPr>
              <w:t>Fair Market Value of a Share on the date of grant. If Optionee is a Ten-Percent Stockholder, the Exercise Price per</w:t>
            </w:r>
          </w:p>
        </w:tc>
      </w:tr>
      <w:tr>
        <w:trPr>
          <w:trHeight w:val="230"/>
        </w:trPr>
        <w:tc>
          <w:tcPr>
            <w:tcW w:w="2380" w:type="dxa"/>
            <w:vAlign w:val="bottom"/>
          </w:tcPr>
          <w:p>
            <w:pPr>
              <w:spacing w:after="0"/>
              <w:rPr>
                <w:sz w:val="20"/>
                <w:szCs w:val="20"/>
                <w:color w:val="auto"/>
              </w:rPr>
            </w:pPr>
          </w:p>
        </w:tc>
        <w:tc>
          <w:tcPr>
            <w:tcW w:w="9080" w:type="dxa"/>
            <w:vAlign w:val="bottom"/>
          </w:tcPr>
          <w:p>
            <w:pPr>
              <w:ind w:left="500"/>
              <w:spacing w:after="0"/>
              <w:rPr>
                <w:sz w:val="20"/>
                <w:szCs w:val="20"/>
                <w:color w:val="auto"/>
              </w:rPr>
            </w:pPr>
            <w:r>
              <w:rPr>
                <w:rFonts w:ascii="Arial" w:cs="Arial" w:eastAsia="Arial" w:hAnsi="Arial"/>
                <w:sz w:val="18"/>
                <w:szCs w:val="18"/>
                <w:color w:val="auto"/>
              </w:rPr>
              <w:t>Share must be at least one hundred ten percent (110%) of Fair Market Value.)</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Vesting Start Date:</w:t>
            </w:r>
          </w:p>
        </w:tc>
        <w:tc>
          <w:tcPr>
            <w:tcW w:w="9080" w:type="dxa"/>
            <w:vAlign w:val="bottom"/>
          </w:tcPr>
          <w:p>
            <w:pPr>
              <w:ind w:left="500"/>
              <w:spacing w:after="0"/>
              <w:rPr>
                <w:sz w:val="20"/>
                <w:szCs w:val="20"/>
                <w:color w:val="auto"/>
              </w:rPr>
            </w:pPr>
            <w:r>
              <w:rPr>
                <w:rFonts w:ascii="Arial" w:cs="Arial" w:eastAsia="Arial" w:hAnsi="Arial"/>
                <w:sz w:val="18"/>
                <w:szCs w:val="18"/>
                <w:color w:val="auto"/>
              </w:rPr>
              <w:t>[Vesting Start Date]</w:t>
            </w:r>
          </w:p>
        </w:tc>
      </w:tr>
      <w:tr>
        <w:trPr>
          <w:trHeight w:val="432"/>
        </w:trPr>
        <w:tc>
          <w:tcPr>
            <w:tcW w:w="2380" w:type="dxa"/>
            <w:vAlign w:val="bottom"/>
          </w:tcPr>
          <w:p>
            <w:pPr>
              <w:spacing w:after="0"/>
              <w:rPr>
                <w:sz w:val="20"/>
                <w:szCs w:val="20"/>
                <w:color w:val="auto"/>
              </w:rPr>
            </w:pPr>
            <w:r>
              <w:rPr>
                <w:rFonts w:ascii="Arial" w:cs="Arial" w:eastAsia="Arial" w:hAnsi="Arial"/>
                <w:sz w:val="18"/>
                <w:szCs w:val="18"/>
                <w:i w:val="1"/>
                <w:iCs w:val="1"/>
                <w:color w:val="auto"/>
              </w:rPr>
              <w:t>Type of Option:</w:t>
            </w:r>
          </w:p>
        </w:tc>
        <w:tc>
          <w:tcPr>
            <w:tcW w:w="9080" w:type="dxa"/>
            <w:vAlign w:val="bottom"/>
          </w:tcPr>
          <w:p>
            <w:pPr>
              <w:ind w:left="500"/>
              <w:spacing w:after="0"/>
              <w:rPr>
                <w:sz w:val="20"/>
                <w:szCs w:val="20"/>
                <w:color w:val="auto"/>
              </w:rPr>
            </w:pPr>
            <w:r>
              <w:rPr>
                <w:rFonts w:ascii="Arial" w:cs="Arial" w:eastAsia="Arial" w:hAnsi="Arial"/>
                <w:sz w:val="18"/>
                <w:szCs w:val="18"/>
                <w:color w:val="auto"/>
              </w:rPr>
              <w:t>Type of Grant: UK Unapproved Option</w:t>
            </w:r>
          </w:p>
        </w:tc>
      </w:tr>
      <w:tr>
        <w:trPr>
          <w:trHeight w:val="418"/>
        </w:trPr>
        <w:tc>
          <w:tcPr>
            <w:tcW w:w="2380" w:type="dxa"/>
            <w:vAlign w:val="bottom"/>
          </w:tcPr>
          <w:p>
            <w:pPr>
              <w:spacing w:after="0"/>
              <w:rPr>
                <w:sz w:val="20"/>
                <w:szCs w:val="20"/>
                <w:color w:val="auto"/>
              </w:rPr>
            </w:pPr>
            <w:r>
              <w:rPr>
                <w:rFonts w:ascii="Arial" w:cs="Arial" w:eastAsia="Arial" w:hAnsi="Arial"/>
                <w:sz w:val="18"/>
                <w:szCs w:val="18"/>
                <w:i w:val="1"/>
                <w:iCs w:val="1"/>
                <w:color w:val="auto"/>
              </w:rPr>
              <w:t>Vesting Schedule:</w:t>
            </w:r>
          </w:p>
        </w:tc>
        <w:tc>
          <w:tcPr>
            <w:tcW w:w="9080" w:type="dxa"/>
            <w:vAlign w:val="bottom"/>
          </w:tcPr>
          <w:p>
            <w:pPr>
              <w:ind w:left="500"/>
              <w:spacing w:after="0"/>
              <w:rPr>
                <w:sz w:val="20"/>
                <w:szCs w:val="20"/>
                <w:color w:val="auto"/>
              </w:rPr>
            </w:pPr>
            <w:r>
              <w:rPr>
                <w:rFonts w:ascii="Arial" w:cs="Arial" w:eastAsia="Arial" w:hAnsi="Arial"/>
                <w:sz w:val="18"/>
                <w:szCs w:val="18"/>
                <w:color w:val="auto"/>
                <w:w w:val="93"/>
              </w:rPr>
              <w:t>The Option vests with respect to the first 25% of the Shares when the Optionee completes 12 months of continuous</w:t>
            </w:r>
          </w:p>
        </w:tc>
      </w:tr>
      <w:tr>
        <w:trPr>
          <w:trHeight w:val="216"/>
        </w:trPr>
        <w:tc>
          <w:tcPr>
            <w:tcW w:w="2380" w:type="dxa"/>
            <w:vAlign w:val="bottom"/>
          </w:tcPr>
          <w:p>
            <w:pPr>
              <w:spacing w:after="0"/>
              <w:rPr>
                <w:sz w:val="18"/>
                <w:szCs w:val="18"/>
                <w:color w:val="auto"/>
              </w:rPr>
            </w:pPr>
          </w:p>
        </w:tc>
        <w:tc>
          <w:tcPr>
            <w:tcW w:w="9080" w:type="dxa"/>
            <w:vAlign w:val="bottom"/>
          </w:tcPr>
          <w:p>
            <w:pPr>
              <w:ind w:left="500"/>
              <w:spacing w:after="0" w:line="216" w:lineRule="exact"/>
              <w:rPr>
                <w:sz w:val="20"/>
                <w:szCs w:val="20"/>
                <w:color w:val="auto"/>
              </w:rPr>
            </w:pPr>
            <w:r>
              <w:rPr>
                <w:rFonts w:ascii="Arial" w:cs="Arial" w:eastAsia="Arial" w:hAnsi="Arial"/>
                <w:sz w:val="18"/>
                <w:szCs w:val="18"/>
                <w:color w:val="auto"/>
                <w:w w:val="98"/>
              </w:rPr>
              <w:t>Service after the Vesting Start Date, and with respect to an additional 1/48</w:t>
            </w:r>
            <w:r>
              <w:rPr>
                <w:rFonts w:ascii="Arial" w:cs="Arial" w:eastAsia="Arial" w:hAnsi="Arial"/>
                <w:sz w:val="23"/>
                <w:szCs w:val="23"/>
                <w:color w:val="auto"/>
                <w:w w:val="98"/>
                <w:vertAlign w:val="superscript"/>
              </w:rPr>
              <w:t>th</w:t>
            </w:r>
            <w:r>
              <w:rPr>
                <w:rFonts w:ascii="Arial" w:cs="Arial" w:eastAsia="Arial" w:hAnsi="Arial"/>
                <w:sz w:val="18"/>
                <w:szCs w:val="18"/>
                <w:color w:val="auto"/>
                <w:w w:val="98"/>
              </w:rPr>
              <w:t xml:space="preserve"> of the Shares when the Optionee</w:t>
            </w:r>
          </w:p>
        </w:tc>
      </w:tr>
      <w:tr>
        <w:trPr>
          <w:trHeight w:val="230"/>
        </w:trPr>
        <w:tc>
          <w:tcPr>
            <w:tcW w:w="2380" w:type="dxa"/>
            <w:vAlign w:val="bottom"/>
          </w:tcPr>
          <w:p>
            <w:pPr>
              <w:spacing w:after="0"/>
              <w:rPr>
                <w:sz w:val="20"/>
                <w:szCs w:val="20"/>
                <w:color w:val="auto"/>
              </w:rPr>
            </w:pPr>
          </w:p>
        </w:tc>
        <w:tc>
          <w:tcPr>
            <w:tcW w:w="9080" w:type="dxa"/>
            <w:vAlign w:val="bottom"/>
          </w:tcPr>
          <w:p>
            <w:pPr>
              <w:ind w:left="500"/>
              <w:spacing w:after="0"/>
              <w:rPr>
                <w:sz w:val="20"/>
                <w:szCs w:val="20"/>
                <w:color w:val="auto"/>
              </w:rPr>
            </w:pPr>
            <w:r>
              <w:rPr>
                <w:rFonts w:ascii="Arial" w:cs="Arial" w:eastAsia="Arial" w:hAnsi="Arial"/>
                <w:sz w:val="18"/>
                <w:szCs w:val="18"/>
                <w:color w:val="auto"/>
              </w:rPr>
              <w:t>completes each full month of continuous Service thereafter.</w:t>
            </w:r>
          </w:p>
        </w:tc>
      </w:tr>
      <w:tr>
        <w:trPr>
          <w:trHeight w:val="418"/>
        </w:trPr>
        <w:tc>
          <w:tcPr>
            <w:tcW w:w="2380" w:type="dxa"/>
            <w:vAlign w:val="bottom"/>
          </w:tcPr>
          <w:p>
            <w:pPr>
              <w:spacing w:after="0"/>
              <w:rPr>
                <w:sz w:val="24"/>
                <w:szCs w:val="24"/>
                <w:color w:val="auto"/>
              </w:rPr>
            </w:pPr>
          </w:p>
        </w:tc>
        <w:tc>
          <w:tcPr>
            <w:tcW w:w="9080" w:type="dxa"/>
            <w:vAlign w:val="bottom"/>
          </w:tcPr>
          <w:p>
            <w:pPr>
              <w:jc w:val="center"/>
              <w:ind w:right="2310"/>
              <w:spacing w:after="0"/>
              <w:rPr>
                <w:sz w:val="20"/>
                <w:szCs w:val="20"/>
                <w:color w:val="auto"/>
              </w:rPr>
            </w:pPr>
            <w:r>
              <w:rPr>
                <w:rFonts w:ascii="Arial" w:cs="Arial" w:eastAsia="Arial" w:hAnsi="Arial"/>
                <w:sz w:val="18"/>
                <w:szCs w:val="18"/>
                <w:color w:val="auto"/>
                <w:w w:val="95"/>
              </w:rPr>
              <w:t>10GEN, INC.</w:t>
            </w:r>
          </w:p>
        </w:tc>
      </w:tr>
      <w:tr>
        <w:trPr>
          <w:trHeight w:val="230"/>
        </w:trPr>
        <w:tc>
          <w:tcPr>
            <w:tcW w:w="2380" w:type="dxa"/>
            <w:vAlign w:val="bottom"/>
          </w:tcPr>
          <w:p>
            <w:pPr>
              <w:spacing w:after="0"/>
              <w:rPr>
                <w:sz w:val="20"/>
                <w:szCs w:val="20"/>
                <w:color w:val="auto"/>
              </w:rPr>
            </w:pPr>
          </w:p>
        </w:tc>
        <w:tc>
          <w:tcPr>
            <w:tcW w:w="9080" w:type="dxa"/>
            <w:vAlign w:val="bottom"/>
          </w:tcPr>
          <w:p>
            <w:pPr>
              <w:jc w:val="center"/>
              <w:ind w:right="2330"/>
              <w:spacing w:after="0"/>
              <w:rPr>
                <w:sz w:val="20"/>
                <w:szCs w:val="20"/>
                <w:color w:val="auto"/>
              </w:rPr>
            </w:pPr>
            <w:r>
              <w:rPr>
                <w:rFonts w:ascii="Arial" w:cs="Arial" w:eastAsia="Arial" w:hAnsi="Arial"/>
                <w:sz w:val="18"/>
                <w:szCs w:val="18"/>
                <w:color w:val="auto"/>
                <w:w w:val="95"/>
              </w:rPr>
              <w:t>NOTICE OF STOCK OPTION GRANT</w:t>
            </w:r>
          </w:p>
        </w:tc>
      </w:tr>
      <w:tr>
        <w:trPr>
          <w:trHeight w:val="432"/>
        </w:trPr>
        <w:tc>
          <w:tcPr>
            <w:tcW w:w="2380" w:type="dxa"/>
            <w:vAlign w:val="bottom"/>
          </w:tcPr>
          <w:p>
            <w:pPr>
              <w:spacing w:after="0"/>
              <w:rPr>
                <w:sz w:val="24"/>
                <w:szCs w:val="24"/>
                <w:color w:val="auto"/>
              </w:rPr>
            </w:pPr>
          </w:p>
        </w:tc>
        <w:tc>
          <w:tcPr>
            <w:tcW w:w="9080" w:type="dxa"/>
            <w:vAlign w:val="bottom"/>
          </w:tcPr>
          <w:p>
            <w:pPr>
              <w:jc w:val="center"/>
              <w:ind w:right="2330"/>
              <w:spacing w:after="0"/>
              <w:rPr>
                <w:sz w:val="20"/>
                <w:szCs w:val="20"/>
                <w:color w:val="auto"/>
              </w:rPr>
            </w:pPr>
            <w:r>
              <w:rPr>
                <w:rFonts w:ascii="Arial" w:cs="Arial" w:eastAsia="Arial" w:hAnsi="Arial"/>
                <w:sz w:val="18"/>
                <w:szCs w:val="18"/>
                <w:color w:val="auto"/>
                <w:w w:val="99"/>
              </w:rPr>
              <w:t>1</w:t>
            </w:r>
          </w:p>
        </w:tc>
      </w:tr>
      <w:tr>
        <w:trPr>
          <w:trHeight w:val="132"/>
        </w:trPr>
        <w:tc>
          <w:tcPr>
            <w:tcW w:w="2380" w:type="dxa"/>
            <w:vAlign w:val="bottom"/>
            <w:tcBorders>
              <w:bottom w:val="single" w:sz="8" w:color="808080"/>
            </w:tcBorders>
          </w:tcPr>
          <w:p>
            <w:pPr>
              <w:spacing w:after="0"/>
              <w:rPr>
                <w:sz w:val="11"/>
                <w:szCs w:val="11"/>
                <w:color w:val="auto"/>
              </w:rPr>
            </w:pPr>
          </w:p>
        </w:tc>
        <w:tc>
          <w:tcPr>
            <w:tcW w:w="90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220" w:firstLine="648"/>
        <w:spacing w:after="0" w:line="291" w:lineRule="auto"/>
        <w:rPr>
          <w:sz w:val="20"/>
          <w:szCs w:val="20"/>
          <w:color w:val="auto"/>
        </w:rPr>
      </w:pPr>
      <w:r>
        <w:rPr>
          <w:rFonts w:ascii="Arial" w:cs="Arial" w:eastAsia="Arial" w:hAnsi="Arial"/>
          <w:sz w:val="16"/>
          <w:szCs w:val="16"/>
          <w:b w:val="1"/>
          <w:bCs w:val="1"/>
          <w:color w:val="auto"/>
        </w:rPr>
        <w:t>By signing this document, you acknowledge receipt of a copy of the Plan, and agree that (a) you have carefully read, fully understand and agree to all of the terms and conditions described in the attached Stock Option Agreement, the Plan document and UK Addendum and “Notice of Exercise and Common Stock Purchase Agreement” (the “Exercise Notice”); (b) you hereby make the purchaser’s investment representations contained in the Exercise Notice with respect to the grant of this Option; (c) you understand and agree that the Stock Option Agreement, including its cover sheet and attachments, constitutes the entire understanding between you and the Company regarding this Option, and that any prior agreements, commitments or negotiations concerning this Option are replaced and superseded; and (d) you have been given an opportunity to consult your own legal and tax counsel with respect to all matters relating to this Option prior to signing this cover sheet and that you have either consulted such counsel or voluntarily declined to consult such counsel.</w:t>
      </w:r>
    </w:p>
    <w:p>
      <w:pPr>
        <w:sectPr>
          <w:pgSz w:w="11900" w:h="16838" w:orient="portrait"/>
          <w:cols w:equalWidth="0" w:num="1">
            <w:col w:w="11460"/>
          </w:cols>
          <w:pgMar w:left="240" w:top="125" w:right="199" w:bottom="0" w:gutter="0" w:footer="0" w:header="0"/>
        </w:sectPr>
      </w:pPr>
    </w:p>
    <w:bookmarkStart w:id="300" w:name="page301"/>
    <w:bookmarkEnd w:id="300"/>
    <w:p>
      <w:pPr>
        <w:spacing w:after="0" w:line="55" w:lineRule="exact"/>
        <w:rPr>
          <w:sz w:val="20"/>
          <w:szCs w:val="20"/>
          <w:color w:val="auto"/>
        </w:rPr>
      </w:pPr>
    </w:p>
    <w:p>
      <w:pPr>
        <w:spacing w:after="0"/>
        <w:tabs>
          <w:tab w:leader="none" w:pos="5780" w:val="left"/>
        </w:tabs>
        <w:rPr>
          <w:sz w:val="20"/>
          <w:szCs w:val="20"/>
          <w:color w:val="auto"/>
        </w:rPr>
      </w:pPr>
      <w:r>
        <w:rPr>
          <w:rFonts w:ascii="Arial" w:cs="Arial" w:eastAsia="Arial" w:hAnsi="Arial"/>
          <w:sz w:val="18"/>
          <w:szCs w:val="18"/>
          <w:b w:val="1"/>
          <w:bCs w:val="1"/>
          <w:color w:val="auto"/>
        </w:rPr>
        <w:t>[FIRST NAME LAST NAME]</w:t>
      </w:r>
      <w:r>
        <w:rPr>
          <w:sz w:val="20"/>
          <w:szCs w:val="20"/>
          <w:color w:val="auto"/>
        </w:rPr>
        <w:tab/>
      </w:r>
      <w:r>
        <w:rPr>
          <w:rFonts w:ascii="Arial" w:cs="Arial" w:eastAsia="Arial" w:hAnsi="Arial"/>
          <w:sz w:val="18"/>
          <w:szCs w:val="18"/>
          <w:b w:val="1"/>
          <w:bCs w:val="1"/>
          <w:color w:val="auto"/>
        </w:rPr>
        <w:t>MONGODB, INC.</w:t>
      </w:r>
    </w:p>
    <w:p>
      <w:pPr>
        <w:spacing w:after="0" w:line="229"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Its: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STOCK OPTION GRANT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 (UK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1.KIND OF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Option is intended to be an unapproved option for the purposes of section 471, ITEPA.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2.VESTING.</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Subject to the terms and conditions of the Plan and this Stock Option Agreement (the “Agreement”), your Option and the Shares shall vest in accordance with the schedule set forth in the Notice of Stock Option Grant. If your Service as an Employee terminates for any reason, vesting of your Shares subject to this Option immediately stops and your Option will lapse immediately as to the number of Shares that are not vested as of the date your Service as an Employee terminates, unless the Board in its absolute discretion determines otherwise prior to the date of termination.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3.TERM.</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Your Option will expire in any event at the close of business at Company headquarters on the date that is ten (10) years after the Date of Grant (the “Expiration Date”). Also, your Option will expire earlier if your Service terminates,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4.REGULAR TERMINATION.</w:t>
      </w:r>
    </w:p>
    <w:p>
      <w:pPr>
        <w:spacing w:after="0" w:line="229" w:lineRule="exact"/>
        <w:rPr>
          <w:sz w:val="20"/>
          <w:szCs w:val="20"/>
          <w:color w:val="auto"/>
        </w:rPr>
      </w:pPr>
    </w:p>
    <w:p>
      <w:pPr>
        <w:ind w:left="1300" w:right="60" w:hanging="644"/>
        <w:spacing w:after="0" w:line="259" w:lineRule="auto"/>
        <w:tabs>
          <w:tab w:leader="none" w:pos="1297"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your Service terminates for any reason except death or Disability, the vested portion of your Option will expire at the close of business at Company headquarters on the date three (3) months after your termination of Service. During that three (3) month period, you may exercise the portion of your Option that was vested on your termination date. Notwithstanding the foregoing, the Option may not be exercised after the Expiration Date determined under Section 3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5.DEATH.</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 die while in Service with the Company, the vested portion of your Option will expire at the close of business at Company headquarters on the date twelve (12) months after the date of your death. During that twelve (12) month period, your estate, legatees or heirs may exercise that portion of your Option that was vested on the date of your death. Notwithstanding the foregoing, the Option may not be exercised after the Expiration Date determined under Section 3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6.DISABILITY.</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If your Service terminates because of a Disability, the vested portion of your Option will expire at the close of business at Company headquarters on the date twelve (12) months after your termination date. During that twelve (12) month period, you may exercise that portion of your Option that was vested on the date of your Disability. “Disability” means that you are unable to engage in any substantial gainful activity by reason of any medically determinable physical or mental impairment. Notwithstanding the foregoing, the Option may not be exercised after the Expiration Date determined under Section 3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7.EXERCISING YOUR OPTION.</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 xml:space="preserve">To exercise your Option, you must execute the Notice of Exercise and Common Stock Purchase Agreement (the “Exercise Notice”),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You must submit this form, together with full payment, to the Company. Your exercise will be effective when it is received by the Company. If you exercise your Option prior to vesting as provided in Section 8, you must also sign an Assignment Separate from Certificate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If someone else wants to exercise your Option after your death, that person must prove to the Company’s satisfaction that he or she is entitled to do 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8.EXERCISE OF OPTION BEFORE VESTING.</w:t>
      </w:r>
    </w:p>
    <w:p>
      <w:pPr>
        <w:spacing w:after="0" w:line="22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 xml:space="preserve">If you wish, you may exercise your Option before it is vested (“Early Exercise”). The Company may in its sole and absolute discretion prohibit you from undertaking an Early Exercise at any time prior to the expiration of six (6) months from the Date of Grant. Your Option Shares will be subject to a repurchase right which shall lapse according to the same vesting schedule applicable had you not exercised your Option. The repurchase right allows the Company to repurchase the unvested Shares for the Exercise Price. If you exercise this Option before it is vested, and may be liable to pay tax in the United States you should consider making an election under Section 83(b) of the Internal Revenue Code (the “83(b) Election”). </w:t>
      </w:r>
      <w:r>
        <w:rPr>
          <w:rFonts w:ascii="Arial" w:cs="Arial" w:eastAsia="Arial" w:hAnsi="Arial"/>
          <w:sz w:val="17"/>
          <w:szCs w:val="17"/>
          <w:i w:val="1"/>
          <w:iCs w:val="1"/>
          <w:color w:val="auto"/>
        </w:rPr>
        <w:t>The 83(b) Election must be filed</w:t>
      </w:r>
      <w:r>
        <w:rPr>
          <w:rFonts w:ascii="Arial" w:cs="Arial" w:eastAsia="Arial" w:hAnsi="Arial"/>
          <w:sz w:val="17"/>
          <w:szCs w:val="17"/>
          <w:color w:val="auto"/>
        </w:rPr>
        <w:t xml:space="preserve"> </w:t>
      </w:r>
      <w:r>
        <w:rPr>
          <w:rFonts w:ascii="Arial" w:cs="Arial" w:eastAsia="Arial" w:hAnsi="Arial"/>
          <w:sz w:val="17"/>
          <w:szCs w:val="17"/>
          <w:i w:val="1"/>
          <w:iCs w:val="1"/>
          <w:color w:val="auto"/>
        </w:rPr>
        <w:t>within thirty (30) days after the date you exercise all or any portion of your Option in which you are not vested.</w:t>
      </w:r>
    </w:p>
    <w:p>
      <w:pPr>
        <w:sectPr>
          <w:pgSz w:w="11900" w:h="16894" w:orient="portrait"/>
          <w:cols w:equalWidth="0" w:num="1">
            <w:col w:w="11400"/>
          </w:cols>
          <w:pgMar w:left="240" w:top="121" w:right="259" w:bottom="0" w:gutter="0" w:footer="0" w:header="0"/>
        </w:sectPr>
      </w:pPr>
    </w:p>
    <w:bookmarkStart w:id="301" w:name="page302"/>
    <w:bookmarkEnd w:id="301"/>
    <w:p>
      <w:pPr>
        <w:spacing w:after="0" w:line="137" w:lineRule="exact"/>
        <w:rPr>
          <w:sz w:val="20"/>
          <w:szCs w:val="20"/>
          <w:color w:val="auto"/>
        </w:rPr>
      </w:pPr>
    </w:p>
    <w:p>
      <w:pPr>
        <w:ind w:right="980" w:firstLine="648"/>
        <w:spacing w:after="0" w:line="282" w:lineRule="auto"/>
        <w:rPr>
          <w:sz w:val="20"/>
          <w:szCs w:val="20"/>
          <w:color w:val="auto"/>
        </w:rPr>
      </w:pPr>
      <w:r>
        <w:rPr>
          <w:rFonts w:ascii="Arial" w:cs="Arial" w:eastAsia="Arial" w:hAnsi="Arial"/>
          <w:sz w:val="18"/>
          <w:szCs w:val="18"/>
          <w:b w:val="1"/>
          <w:bCs w:val="1"/>
          <w:color w:val="auto"/>
        </w:rPr>
        <w:t>YOU SHOULD CONSULT A TAX AND/OR FINANCIAL ADVISOR APPROPRIATELY QUALIFIED IN THE UK BEFORE EXERCISING PRIOR TO VESTING.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9.PAYMENT FORMS.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When you exercise your Option, you must include payment of the Exercise Price for the Shares you are purchasing in cash or cash equivalents. Alternatively, you may pay all or part of the Exercise Price by surrendering, or attesting to ownership of, Shares already owned by you, unless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 To the extent that a public market for the Shares exists and to the extent permitted by applicable law, in each case as determined by the Company, you also may exercise your Option by delivery (on a form prescribed by the Company) of an irrevocable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direction to a securities broker to sell Shares and to deliver all or part of the sale proceeds to the Company in payment of the aggregate Exercise Price and, if requested, applicable withholding taxes. The Company will provide the forms necessary to make such a cashless exercise. The Board may permit such other payment forms as it deems appropriate, subject to applicable laws, regulations and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10.TAX WITHHOLDING AND REPORTING.</w:t>
      </w:r>
    </w:p>
    <w:p>
      <w:pPr>
        <w:spacing w:after="0" w:line="229" w:lineRule="exact"/>
        <w:rPr>
          <w:sz w:val="20"/>
          <w:szCs w:val="20"/>
          <w:color w:val="auto"/>
        </w:rPr>
      </w:pPr>
    </w:p>
    <w:p>
      <w:pPr>
        <w:ind w:left="1300" w:right="40" w:hanging="644"/>
        <w:spacing w:after="0" w:line="272" w:lineRule="auto"/>
        <w:tabs>
          <w:tab w:leader="none" w:pos="1297" w:val="left"/>
        </w:tabs>
        <w:numPr>
          <w:ilvl w:val="0"/>
          <w:numId w:val="262"/>
        </w:numPr>
        <w:rPr>
          <w:rFonts w:ascii="Arial" w:cs="Arial" w:eastAsia="Arial" w:hAnsi="Arial"/>
          <w:sz w:val="17"/>
          <w:szCs w:val="17"/>
          <w:color w:val="auto"/>
        </w:rPr>
      </w:pPr>
      <w:r>
        <w:rPr>
          <w:rFonts w:ascii="Arial" w:cs="Arial" w:eastAsia="Arial" w:hAnsi="Arial"/>
          <w:sz w:val="17"/>
          <w:szCs w:val="17"/>
          <w:color w:val="auto"/>
        </w:rPr>
        <w:t>You will not be allowed to exercise this Option unless you pay, or make acceptable arrangements to pay, any state, federal, local or foreign taxes and social security contributions required to be withheld as a result of the Option exercise or the sale of Shares acquired upon exercise of this Option or which the Company (or, if different, your employer) is required to pay on your behalf, including but not limited to the Tax Liabilities. You hereby authorize withholding from payroll or any other payment due you from the Company or your employer to satisfy any such withholding tax obligation. The acceptable arrangements for payment of the Tax Liabilities may include as a condition of grant, exercise or other dealing in the Option (as appropriate) entering into an election whereby the employer’s liability for secondary national insurance contributions is transferred to you on terms set out in the election and approved by HMRC.</w:t>
      </w:r>
    </w:p>
    <w:p>
      <w:pPr>
        <w:spacing w:after="0" w:line="177" w:lineRule="exact"/>
        <w:rPr>
          <w:rFonts w:ascii="Arial" w:cs="Arial" w:eastAsia="Arial" w:hAnsi="Arial"/>
          <w:sz w:val="17"/>
          <w:szCs w:val="17"/>
          <w:color w:val="auto"/>
        </w:rPr>
      </w:pPr>
    </w:p>
    <w:p>
      <w:pPr>
        <w:ind w:left="1300" w:right="20" w:hanging="644"/>
        <w:spacing w:after="0" w:line="302" w:lineRule="auto"/>
        <w:tabs>
          <w:tab w:leader="none" w:pos="1307" w:val="left"/>
        </w:tabs>
        <w:numPr>
          <w:ilvl w:val="0"/>
          <w:numId w:val="262"/>
        </w:numPr>
        <w:rPr>
          <w:rFonts w:ascii="Arial" w:cs="Arial" w:eastAsia="Arial" w:hAnsi="Arial"/>
          <w:sz w:val="16"/>
          <w:szCs w:val="16"/>
          <w:color w:val="auto"/>
        </w:rPr>
      </w:pPr>
      <w:r>
        <w:rPr>
          <w:rFonts w:ascii="Arial" w:cs="Arial" w:eastAsia="Arial" w:hAnsi="Arial"/>
          <w:sz w:val="16"/>
          <w:szCs w:val="16"/>
          <w:color w:val="auto"/>
        </w:rPr>
        <w:t>In the event that the Company determines that the Shares to be acquired on exercise of the Option are “restricted securities” for the purposes of Part 7, Chapter 2 ITEPA you shall as a condition of grant, exercise or other dealing in the Option, enter into an election with the Company (or your employer, if different) pursuant to section 431 ITEPA (or any other election as the relevant company may direct for the same purpose) electing that the market value of the Shares acquired be calculated as if they were not “restricted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11.RIGHT OF FIRST REFUSAL.</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12.RESALE RESTRICTIONS/MARKET STAND-OFF.</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13.TRANSFER OF OPTION.</w:t>
      </w:r>
    </w:p>
    <w:p>
      <w:pPr>
        <w:spacing w:after="0" w:line="22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 You may, however, dispose of this Option in your will. Regardless of any marital property settlement agreement, the Company is not obligated to honor an Exercise Notice from your spouse or former spouse, nor is the Company obligated to recognize such individual’s interest in your Option in any other way.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14.RETENTION RIGHTS.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Agreement and the grant and vesting of the Option does not give you the right to be retained by the Company in any capacity. The Company reserves the right to terminate your Service at any time and for any reason without thereby incurring any liability to you, or being subject to any claim by you pursuant to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15.STOCKHOLDER RIGHTS.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w:t>
      </w:r>
    </w:p>
    <w:p>
      <w:pPr>
        <w:sectPr>
          <w:pgSz w:w="11900" w:h="16976" w:orient="portrait"/>
          <w:cols w:equalWidth="0" w:num="1">
            <w:col w:w="11420"/>
          </w:cols>
          <w:pgMar w:left="240" w:top="338" w:right="239" w:bottom="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t>except as described in the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16.ADJUSTMENTS.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certificates representing the Shares issued upon exercise of this Option shall, where applicable, have endorsed thereon the following legends:</w:t>
      </w:r>
    </w:p>
    <w:p>
      <w:pPr>
        <w:spacing w:after="0" w:line="248"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OTHER JURISDICTION, AND MAY BE OFFERED AND SOLD ONLY IF REGISTERED AND QUALIFIED PURSUANT TO THE RELEVANT PROVISIONS OF U.S. FEDERAL, STATE AND FOREIGN SECURITIES LAWS OR IF THE COMPANY IS PROVIDED AN OPINION OF COUNSEL SATISFACTORY TO THE COMPANY THAT REGISTRATION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QUALIFICATION UNDER U.S. FEDERAL, STATE AND FOREIGN SECURITIES LAWS IS NOT REQUIRED.</w:t>
      </w:r>
    </w:p>
    <w:p>
      <w:pPr>
        <w:spacing w:after="0" w:line="225"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18.TAX DISCLAIMER.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agree that you are responsible for consulting your own tax advisor as to the tax consequences associated with your Option. The tax</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rules governing options are complex, change frequently and depend on the individual taxpayer’s situation. Although the Company will make available to you general tax information about stock options, you agree that the Company shall not be held liable or responsible for making such information available to you and any tax or financial consequences that you may incur in connection with your Option.</w:t>
      </w:r>
    </w:p>
    <w:p>
      <w:pPr>
        <w:spacing w:after="0" w:line="19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gives no assurance that adverse tax consequences will not occur and specifically assumes no responsibility therefor. By accepting this Option, you acknowledge that any tax liability or other adverse tax consequences to you resulting from the grant of the Option will be the responsibility of, and will be borne entirely by, you. YOU ARE THEREFORE ENCOURAGED TO CONSULT YOUR OWN TAX ADVISOR BEFORE ACCEPTING THE GRANT OF THIS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19.THE PLAN AND OTHER AGREEMENTS.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text of the Plan is incorporated in this Agreement by reference. Certain capitalized terms used in this Agreement are defined in the Plan. The Notice of Stock Option Grant, this Agreement, including its attachments, and the Plan constitute the entire understanding between you and the Company regarding this Option. Any prior agreements, commitments or negotiations concerning this Option are superseded.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20.MISCELLANEOUS PROVISIONS.</w:t>
      </w:r>
    </w:p>
    <w:p>
      <w:pPr>
        <w:spacing w:after="0" w:line="229" w:lineRule="exact"/>
        <w:rPr>
          <w:sz w:val="20"/>
          <w:szCs w:val="20"/>
          <w:color w:val="auto"/>
        </w:rPr>
      </w:pPr>
    </w:p>
    <w:p>
      <w:pPr>
        <w:ind w:left="1300" w:right="180" w:hanging="644"/>
        <w:spacing w:after="0" w:line="302" w:lineRule="auto"/>
        <w:tabs>
          <w:tab w:leader="none" w:pos="1297" w:val="left"/>
        </w:tabs>
        <w:numPr>
          <w:ilvl w:val="0"/>
          <w:numId w:val="263"/>
        </w:numPr>
        <w:rPr>
          <w:rFonts w:ascii="Arial" w:cs="Arial" w:eastAsia="Arial" w:hAnsi="Arial"/>
          <w:sz w:val="16"/>
          <w:szCs w:val="16"/>
          <w:color w:val="auto"/>
        </w:rPr>
      </w:pPr>
      <w:r>
        <w:rPr>
          <w:rFonts w:ascii="Arial" w:cs="Arial" w:eastAsia="Arial" w:hAnsi="Arial"/>
          <w:sz w:val="16"/>
          <w:szCs w:val="16"/>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Exercise Price and the vesting schedule, will be at the sole discretion of the Company.</w:t>
      </w:r>
    </w:p>
    <w:p>
      <w:pPr>
        <w:spacing w:after="0" w:line="225" w:lineRule="exact"/>
        <w:rPr>
          <w:sz w:val="20"/>
          <w:szCs w:val="20"/>
          <w:color w:val="auto"/>
        </w:rPr>
      </w:pPr>
    </w:p>
    <w:p>
      <w:pPr>
        <w:ind w:left="1300" w:right="20" w:hanging="644"/>
        <w:spacing w:after="0" w:line="286" w:lineRule="auto"/>
        <w:tabs>
          <w:tab w:leader="none" w:pos="1307"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300" w:right="460" w:hanging="644"/>
        <w:spacing w:after="0" w:line="277" w:lineRule="auto"/>
        <w:tabs>
          <w:tab w:leader="none" w:pos="131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ectPr>
          <w:pgSz w:w="11900" w:h="16838" w:orient="portrait"/>
          <w:cols w:equalWidth="0" w:num="1">
            <w:col w:w="11400"/>
          </w:cols>
          <w:pgMar w:left="240" w:top="125" w:right="259" w:bottom="0" w:gutter="0" w:footer="0" w:header="0"/>
        </w:sectPr>
      </w:pPr>
    </w:p>
    <w:bookmarkStart w:id="303" w:name="page304"/>
    <w:bookmarkEnd w:id="303"/>
    <w:p>
      <w:pPr>
        <w:ind w:left="1300" w:right="60" w:hanging="644"/>
        <w:spacing w:after="0" w:line="264" w:lineRule="auto"/>
        <w:tabs>
          <w:tab w:leader="none" w:pos="1307" w:val="left"/>
        </w:tabs>
        <w:numPr>
          <w:ilvl w:val="0"/>
          <w:numId w:val="265"/>
        </w:numPr>
        <w:rPr>
          <w:rFonts w:ascii="Arial" w:cs="Arial" w:eastAsia="Arial" w:hAnsi="Arial"/>
          <w:sz w:val="18"/>
          <w:szCs w:val="18"/>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181" w:lineRule="exact"/>
        <w:rPr>
          <w:rFonts w:ascii="Arial" w:cs="Arial" w:eastAsia="Arial" w:hAnsi="Arial"/>
          <w:sz w:val="18"/>
          <w:szCs w:val="18"/>
          <w:color w:val="auto"/>
        </w:rPr>
      </w:pPr>
    </w:p>
    <w:p>
      <w:pPr>
        <w:ind w:left="1300" w:right="80" w:hanging="644"/>
        <w:spacing w:after="0" w:line="268" w:lineRule="auto"/>
        <w:tabs>
          <w:tab w:leader="none" w:pos="131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(or, if you are a UK resident Employee, your National Insurance number), salary, nationality, job title, any Shares or directorships held in the Company and details of all options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including the transfer of your personal Data outside of the EU. You understand and acknowledge that the recipients of Data may be located in the United Kingdom,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21.APPLICABLE LAW.</w:t>
      </w:r>
    </w:p>
    <w:p>
      <w:pPr>
        <w:spacing w:after="0" w:line="229"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This Agreement will be interpreted and enforced under the laws of the State of New York (without regard to their choice of law provisions) save in relation to UK taxation legislation which will be interpreted and enforced in accordance with the laws of England and Wales.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10GEN, INC. 2008 STOCK INCENTIVE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 AND COMMON STOCK PURCHASE AGREEMENT</w:t>
      </w:r>
    </w:p>
    <w:p>
      <w:pPr>
        <w:spacing w:after="0" w:line="211" w:lineRule="exact"/>
        <w:rPr>
          <w:sz w:val="20"/>
          <w:szCs w:val="20"/>
          <w:color w:val="auto"/>
        </w:rPr>
      </w:pPr>
    </w:p>
    <w:p>
      <w:pPr>
        <w:ind w:left="660"/>
        <w:spacing w:after="0"/>
        <w:tabs>
          <w:tab w:leader="none" w:pos="3940" w:val="left"/>
        </w:tabs>
        <w:rPr>
          <w:sz w:val="20"/>
          <w:szCs w:val="20"/>
          <w:color w:val="auto"/>
        </w:rPr>
      </w:pPr>
      <w:r>
        <w:rPr>
          <w:rFonts w:ascii="Arial" w:cs="Arial" w:eastAsia="Arial" w:hAnsi="Arial"/>
          <w:sz w:val="18"/>
          <w:szCs w:val="18"/>
          <w:color w:val="auto"/>
        </w:rPr>
        <w:t>THIS AGREEMENT is dated as of</w:t>
      </w:r>
      <w:r>
        <w:rPr>
          <w:sz w:val="20"/>
          <w:szCs w:val="20"/>
          <w:color w:val="auto"/>
        </w:rPr>
        <w:tab/>
      </w:r>
      <w:r>
        <w:rPr>
          <w:rFonts w:ascii="Arial" w:cs="Arial" w:eastAsia="Arial" w:hAnsi="Arial"/>
          <w:sz w:val="16"/>
          <w:szCs w:val="16"/>
          <w:color w:val="auto"/>
        </w:rPr>
        <w:t>, between MongoDB, Inc. (the “Company”), and [First Name Last Name]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-10160</wp:posOffset>
            </wp:positionV>
            <wp:extent cx="4572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WHEREAS, the Company granted Purchaser a stock option on [Date of Grant] (the “Date of Grant”) pursuant to a stock option agreement (the “Option Agreement”) under which Purchaser has the right to purchase up to [Options Granted] shares of the Company’s Class A Common Stock (the “Option Shares”);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Option is exercisable with respect to certain of the Option Shares as of the date hereof; and</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WHEREAS, pursuant to the Option Agreement, Purchaser desires to purchase shares of the Company as herein described, on the terms and conditions set forth in this Agreement, the Option Agreement and the 10Gen, Inc. 2008 Stock Incentive Plan and UK Addendum (together referred to herein as the “Plan”). Certain capitalized terms used in this Agreement are defined in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 between the parties as follows:</w:t>
      </w:r>
    </w:p>
    <w:p>
      <w:pPr>
        <w:spacing w:after="0" w:line="221"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b w:val="1"/>
          <w:bCs w:val="1"/>
          <w:u w:val="single" w:color="auto"/>
          <w:color w:val="auto"/>
        </w:rPr>
        <w:t>SECTION 22.</w:t>
      </w:r>
      <w:r>
        <w:rPr>
          <w:sz w:val="20"/>
          <w:szCs w:val="20"/>
          <w:color w:val="auto"/>
        </w:rPr>
        <w:tab/>
      </w:r>
      <w:r>
        <w:rPr>
          <w:rFonts w:ascii="Arial" w:cs="Arial" w:eastAsia="Arial" w:hAnsi="Arial"/>
          <w:sz w:val="17"/>
          <w:szCs w:val="17"/>
          <w:b w:val="1"/>
          <w:bCs w:val="1"/>
          <w:u w:val="single" w:color="auto"/>
          <w:color w:val="auto"/>
        </w:rPr>
        <w:t>PURCHASE OF SHARES</w:t>
      </w:r>
      <w:r>
        <w:rPr>
          <w:rFonts w:ascii="Arial" w:cs="Arial" w:eastAsia="Arial" w:hAnsi="Arial"/>
          <w:sz w:val="17"/>
          <w:szCs w:val="17"/>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Pursuant to the terms of the Option Agreement, Purchaser hereby agrees to purchase from the Company and the Company agrees to sell and</w:t>
      </w:r>
    </w:p>
    <w:p>
      <w:pPr>
        <w:spacing w:after="0" w:line="46" w:lineRule="exact"/>
        <w:rPr>
          <w:sz w:val="20"/>
          <w:szCs w:val="20"/>
          <w:color w:val="auto"/>
        </w:rPr>
      </w:pPr>
    </w:p>
    <w:p>
      <w:pPr>
        <w:ind w:left="1300"/>
        <w:spacing w:after="0"/>
        <w:tabs>
          <w:tab w:leader="none" w:pos="2980" w:val="left"/>
        </w:tabs>
        <w:rPr>
          <w:sz w:val="20"/>
          <w:szCs w:val="20"/>
          <w:color w:val="auto"/>
        </w:rPr>
      </w:pPr>
      <w:r>
        <w:rPr>
          <w:rFonts w:ascii="Arial" w:cs="Arial" w:eastAsia="Arial" w:hAnsi="Arial"/>
          <w:sz w:val="18"/>
          <w:szCs w:val="18"/>
          <w:color w:val="auto"/>
        </w:rPr>
        <w:t>issue to Purchaser</w:t>
      </w:r>
      <w:r>
        <w:rPr>
          <w:sz w:val="20"/>
          <w:szCs w:val="20"/>
          <w:color w:val="auto"/>
        </w:rPr>
        <w:tab/>
      </w:r>
      <w:r>
        <w:rPr>
          <w:rFonts w:ascii="Arial" w:cs="Arial" w:eastAsia="Arial" w:hAnsi="Arial"/>
          <w:sz w:val="16"/>
          <w:szCs w:val="16"/>
          <w:color w:val="auto"/>
        </w:rPr>
        <w:t>shares of the Company’s Class A common stock (the “Common Stock”) for the Exercise Price per share specified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1682115</wp:posOffset>
            </wp:positionH>
            <wp:positionV relativeFrom="paragraph">
              <wp:posOffset>-19050</wp:posOffset>
            </wp:positionV>
            <wp:extent cx="20002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00025" cy="8890"/>
                    </a:xfrm>
                    <a:prstGeom prst="rect">
                      <a:avLst/>
                    </a:prstGeom>
                    <a:noFill/>
                  </pic:spPr>
                </pic:pic>
              </a:graphicData>
            </a:graphic>
          </wp:anchor>
        </w:drawing>
      </w:r>
    </w:p>
    <w:p>
      <w:pPr>
        <w:ind w:left="1300" w:right="120"/>
        <w:spacing w:after="0" w:line="255" w:lineRule="auto"/>
        <w:rPr>
          <w:sz w:val="20"/>
          <w:szCs w:val="20"/>
          <w:color w:val="auto"/>
        </w:rPr>
      </w:pPr>
      <w:r>
        <w:rPr>
          <w:rFonts w:ascii="Arial" w:cs="Arial" w:eastAsia="Arial" w:hAnsi="Arial"/>
          <w:sz w:val="18"/>
          <w:szCs w:val="18"/>
          <w:color w:val="auto"/>
        </w:rPr>
        <w:t>the Notice of Stock Option Grant together with any tax or social security contribution withholding liability payable by personal check, cashier’s check, money order or otherwise as permitted by the Option Agreement. Payment shall be delivered at the Closing, as such term is defined below.</w:t>
      </w:r>
    </w:p>
    <w:p>
      <w:pPr>
        <w:spacing w:after="0" w:line="190" w:lineRule="exact"/>
        <w:rPr>
          <w:sz w:val="20"/>
          <w:szCs w:val="20"/>
          <w:color w:val="auto"/>
        </w:rPr>
      </w:pPr>
    </w:p>
    <w:p>
      <w:pPr>
        <w:ind w:left="1300" w:hanging="644"/>
        <w:spacing w:after="0" w:line="259" w:lineRule="auto"/>
        <w:tabs>
          <w:tab w:leader="none" w:pos="1307"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Pursuant to the terms of the Option Agreement, if so required by the Company and not previously provided Purchaser hereby delivers to the Company as a condition of exercise of the Option an executed election jointly with Purchaser’s employer, electing that the employer’s liability for national insurance contributions arising on the exercise of the Option be transferred to Purchaser on the terms set out in the election and approved by HMRC.</w:t>
      </w:r>
    </w:p>
    <w:p>
      <w:pPr>
        <w:spacing w:after="0" w:line="186" w:lineRule="exact"/>
        <w:rPr>
          <w:rFonts w:ascii="Arial" w:cs="Arial" w:eastAsia="Arial" w:hAnsi="Arial"/>
          <w:sz w:val="18"/>
          <w:szCs w:val="18"/>
          <w:color w:val="auto"/>
        </w:rPr>
      </w:pPr>
    </w:p>
    <w:p>
      <w:pPr>
        <w:ind w:left="1300" w:right="200" w:hanging="644"/>
        <w:spacing w:after="0" w:line="277" w:lineRule="auto"/>
        <w:tabs>
          <w:tab w:leader="none" w:pos="131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If so required by the Company and not previously provided, Purchaser herewith delivers to the Company as a condition of exercise of the Option an executed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OF EXERCISE AND COMMON STOCK PURCHASE AGREEMENT</w:t>
      </w:r>
    </w:p>
    <w:p>
      <w:pPr>
        <w:sectPr>
          <w:pgSz w:w="11900" w:h="16838" w:orient="portrait"/>
          <w:cols w:equalWidth="0" w:num="1">
            <w:col w:w="11400"/>
          </w:cols>
          <w:pgMar w:left="240" w:top="125" w:right="259" w:bottom="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election pursuant to section 431, ITEPA electing that the market value of Shares acquired on exercise of the Option be calculated as if such Shares were not “restricted securities” for the purposes of Part 7, Chapter 2, ITEPA.</w:t>
      </w:r>
    </w:p>
    <w:p>
      <w:pPr>
        <w:spacing w:after="0" w:line="170" w:lineRule="exact"/>
        <w:rPr>
          <w:sz w:val="20"/>
          <w:szCs w:val="20"/>
          <w:color w:val="auto"/>
        </w:rPr>
      </w:pPr>
    </w:p>
    <w:p>
      <w:pPr>
        <w:ind w:left="1300" w:right="300" w:hanging="644"/>
        <w:spacing w:after="0" w:line="277" w:lineRule="auto"/>
        <w:tabs>
          <w:tab w:leader="none" w:pos="130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closing (the “Closing”) under this Agreement shall occur at the offices of the Company as of the date hereof, or such other time and place as may be designated by the Company (the “Closing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23.REPURCHASE RIGHT.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All shares of the Stock purchased by Purchaser pursuant to this Agreement that have not vested under the terms of the Option Agreement, together with any shares of Common Stock issued as a dividend or other distribution on, in exchange for or upon the conversion of such unvested Stock (collectively, the “Subject Shares”) shall be subject to the following right of repurchase by the Company (the “Repurchase Right”). The Company shall have the right, within ninety (90) days after the termination of Purchaser’s services to the Company (the “Termination Date”), to purchase from Purchaser all Subject Shares as of the Termination Date. The repurchase price shall be the Exercise Price per share paid by Purchaser for such shares pursuant to this Agreement. For purposes of this Section 2, the date the Company exercises its Repurchase Right shall be deemed to be the Termination Date. The Repurchase Right under this Section 2 shall lapse with respect to the Subject Shares in accordance with the vesting schedule in the Option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24.EXERCISE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shall be deemed to have exercised its Repurchase Right automatically for all Subject Shares as of the Termination Date, unless within ninety (90) days thereafter, the Company notifies the holder of the Subject Shares pursuant to Section 16 that it will not exercise its Repurchase Rights as to some or all of the Subject Shares. The certificate(s) representing the shares to be repurchased shall be delivered to the Company properly endorsed for transfer. The Company shall, concurrently with the receipt of such certificate(s), pay to Purchaser the repurchase price determined according to Section 2, above. The repurchase price shall be paid by certified or cashier’s check or by cancellation of any purchase money indebtedness of Purchaser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25.WAIVER, ASSIGNMENT, EXPIRATION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If the Company waives or fails to exercise the Repurchase Right as to all of the shares subject thereto, the Company may, in the discretion of its Board of Directors, assign the Repurchase Right to any other holder or holders of preferred or common stock of the Company in such proportions as such Board of Directors may determine. In the event of such an assignment, the Board may require that the assignee pay to the Company in cash an amount equal to the fair market value of the Repurchase Right. The Company shall promptly, prior to expiration of the ninety (90) day period referred to in Section 2 above, notify Purchaser of the number of shares subject to the Repurchase Right assigned to such stockholders and shall notify both Purchaser and the assignees of the time, place and date for settlement of such purchase, which must be made within ninety (90) days from the Termination Date. In the event that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 and/or such assignees do not elect to exercise the Repurchase Right as to all or part of the shares subject to it, the Repurchase Right shall expire as to all shares which the Company and/or such assignees have not elected to purchase.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26.ESCROW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40" w:hanging="644"/>
        <w:spacing w:after="0" w:line="273" w:lineRule="auto"/>
        <w:tabs>
          <w:tab w:leader="none" w:pos="1297" w:val="left"/>
        </w:tabs>
        <w:numPr>
          <w:ilvl w:val="0"/>
          <w:numId w:val="269"/>
        </w:numPr>
        <w:rPr>
          <w:rFonts w:ascii="Arial" w:cs="Arial" w:eastAsia="Arial" w:hAnsi="Arial"/>
          <w:sz w:val="17"/>
          <w:szCs w:val="17"/>
          <w:color w:val="auto"/>
        </w:rPr>
      </w:pPr>
      <w:r>
        <w:rPr>
          <w:rFonts w:ascii="Arial" w:cs="Arial" w:eastAsia="Arial" w:hAnsi="Arial"/>
          <w:sz w:val="17"/>
          <w:szCs w:val="17"/>
          <w:color w:val="auto"/>
        </w:rPr>
        <w:t xml:space="preserve">To ensure that Purchaser’s unvested Shares are delivered to the Company upon its exercise of its Repurchase Right, Purchaser agrees at the Closing under this Agreement, to deliver to and deposit with the escrow agent (the “Escrow Agent”) named in the Joint Escrow Instructions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certificate(s) evidencing the unvested Shares and an Assignment Separate from Certificate executed by Purchaser (with date and number of shares in blank)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The certificate(s) evidencing the unvested Shares and the Assignment Separate from Certificate shall be delivered to the Escrow Agent and held under the Joint Escrow Instructions, which shall be delivered to the Escrow Agent at the Closing under this Agreement.</w:t>
      </w:r>
    </w:p>
    <w:p>
      <w:pPr>
        <w:spacing w:after="0" w:line="178" w:lineRule="exact"/>
        <w:rPr>
          <w:rFonts w:ascii="Arial" w:cs="Arial" w:eastAsia="Arial" w:hAnsi="Arial"/>
          <w:sz w:val="17"/>
          <w:szCs w:val="17"/>
          <w:color w:val="auto"/>
        </w:rPr>
      </w:pPr>
    </w:p>
    <w:p>
      <w:pPr>
        <w:ind w:left="1300" w:right="100" w:hanging="644"/>
        <w:spacing w:after="0" w:line="297" w:lineRule="auto"/>
        <w:tabs>
          <w:tab w:leader="none" w:pos="1307"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Within thirty (30) days after the last day of each successive completed calendar quarter after the Closing Date, if Purchaser so requests, the Escrow Agent shall deliver to Purchaser certificates representing so many shares of Common Stock as are no longer subject to the Repurchase Right (less such shares as have been previously delivered). Ninety (90) days after the Termination Date, the Company shall direct the Escrow Agent to deliver to Purchaser a certificate or certificates representing the number of shares not repurchased by the Company or its assignees pursuant to exercise of the Repurchase Right (less such shares as have been previously delivered).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27.ADJUSTMENT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Subject to the provisions of the Certificate of Incorporation of the Company, if (a) there is any stock dividend or liquidating dividend of cash and/or property, stock split or other change in the character or amount of any of the outstanding securities of the Company, or (b) there is any consolidation, merger or sale of all or substantially all of the assets of the Company, then, in such event, any and all new, substituted or additional securities or other property to which Purchaser is entitled by reason of Purchaser’s ownership of the shares shall be immediately subject to the Repurchase Right and the Right of First Refusal, as defined below, with the same force and effect as the shares subject to the Repurchase Right and the Right of First Refusal. While the total repurchase price shall remain the same after each such event, the repurchase price per share upon exercise of the Repurchase Right shall be appropriately and equitably adjusted as determined by the Board of Directors of the Company. Appropriate adjustments shall also be made to the number and/or class of shares subject to the Repurchase Right and the Right of First Refusal to reflect the exchange or distribution of such securities. In the event of a merger or</w:t>
      </w:r>
    </w:p>
    <w:p>
      <w:pPr>
        <w:sectPr>
          <w:pgSz w:w="11900" w:h="16838" w:orient="portrait"/>
          <w:cols w:equalWidth="0" w:num="1">
            <w:col w:w="11420"/>
          </w:cols>
          <w:pgMar w:left="240" w:top="125" w:right="239" w:bottom="0" w:gutter="0" w:footer="0" w:header="0"/>
        </w:sectPr>
      </w:pPr>
    </w:p>
    <w:bookmarkStart w:id="305" w:name="page306"/>
    <w:bookmarkEnd w:id="305"/>
    <w:p>
      <w:pPr>
        <w:spacing w:after="0" w:line="10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consolidation of the Company with or into another entity or any other corporate reorganization, the Repurchase Right and Right of First Refusal may be exercised by the Company’s successor.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28.THE COMPANY’S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any shares of Common Stock registered in the name of Purchaser may be sold or transferred, such shares shall first be offered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 (the “Right of First Refusal”):</w:t>
      </w:r>
    </w:p>
    <w:p>
      <w:pPr>
        <w:spacing w:after="0" w:line="211" w:lineRule="exact"/>
        <w:rPr>
          <w:sz w:val="20"/>
          <w:szCs w:val="20"/>
          <w:color w:val="auto"/>
        </w:rPr>
      </w:pPr>
    </w:p>
    <w:p>
      <w:pPr>
        <w:ind w:left="1300" w:right="20" w:hanging="644"/>
        <w:spacing w:after="0" w:line="255" w:lineRule="auto"/>
        <w:tabs>
          <w:tab w:leader="none" w:pos="1297" w:val="left"/>
        </w:tabs>
        <w:numPr>
          <w:ilvl w:val="0"/>
          <w:numId w:val="270"/>
        </w:numPr>
        <w:rPr>
          <w:rFonts w:ascii="Arial" w:cs="Arial" w:eastAsia="Arial" w:hAnsi="Arial"/>
          <w:sz w:val="18"/>
          <w:szCs w:val="18"/>
          <w:color w:val="auto"/>
        </w:rPr>
      </w:pPr>
      <w:r>
        <w:rPr>
          <w:rFonts w:ascii="Arial" w:cs="Arial" w:eastAsia="Arial" w:hAnsi="Arial"/>
          <w:sz w:val="18"/>
          <w:szCs w:val="18"/>
          <w:color w:val="auto"/>
        </w:rPr>
        <w:t>Purchaser shall promptly deliver a notice (“Notice”) to the Company stating (i) Purchaser’s bona fide intention to sell or transfer such shares, (ii) the number of such shares to be sold or transferred, and the basic terms and conditions of such sale or transfer, (iii) the price for which Purchaser proposes to sell or transfer such shares, (iv) the name of the proposed purchaser or transferee, and (v) proof satisfactory to the Company that the proposed sale or transfer will not violate any applicable U.S. federal, state or foreign securities laws. The Notice shall be signed by both Purchaser and the proposed purchaser or transferee and must constitute a binding commitment subject to the Company’s Right of First Refusal as set forth herein.</w:t>
      </w:r>
    </w:p>
    <w:p>
      <w:pPr>
        <w:spacing w:after="0" w:line="193" w:lineRule="exact"/>
        <w:rPr>
          <w:rFonts w:ascii="Arial" w:cs="Arial" w:eastAsia="Arial" w:hAnsi="Arial"/>
          <w:sz w:val="18"/>
          <w:szCs w:val="18"/>
          <w:color w:val="auto"/>
        </w:rPr>
      </w:pPr>
    </w:p>
    <w:p>
      <w:pPr>
        <w:ind w:left="1300" w:right="60" w:hanging="644"/>
        <w:spacing w:after="0" w:line="272" w:lineRule="auto"/>
        <w:tabs>
          <w:tab w:leader="none" w:pos="1307"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Within thirty (30) days after receipt of the Notice, the Company may elect to purchase all or any portion of the shares to which the Notice refers, at the price per share specified in the Notice. If the Company elects not to purchase all or any portion of the shares, the Company may assign its right to purchase all or any portion of the shares. The assignees may elect within thirty (30) days after receipt by the Company of the Notice to purchase all or any portion of the shares to which the Notice refers, at the price per share specified in the Notice. An election to purchase shall be made by written notice to Purchaser. Payment for shares purchased pursuant to this Section 7 shall be made within thirty (30) days after receipt of the Notice by the Company and, at the option of the Company, may be made by cancellation of all or a portion of outstanding indebtedness, if any, or in cash or both.</w:t>
      </w:r>
    </w:p>
    <w:p>
      <w:pPr>
        <w:spacing w:after="0" w:line="177" w:lineRule="exact"/>
        <w:rPr>
          <w:rFonts w:ascii="Arial" w:cs="Arial" w:eastAsia="Arial" w:hAnsi="Arial"/>
          <w:sz w:val="17"/>
          <w:szCs w:val="17"/>
          <w:color w:val="auto"/>
        </w:rPr>
      </w:pPr>
    </w:p>
    <w:p>
      <w:pPr>
        <w:ind w:left="1300" w:right="120" w:hanging="644"/>
        <w:spacing w:after="0" w:line="255" w:lineRule="auto"/>
        <w:tabs>
          <w:tab w:leader="none" w:pos="131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all or any portion of the shares to which the Notice refers are not elected to be purchased, as provided in subparagraph 7(b), Purchaser may sell those shares to any person named in the Notice at the price specified in the Notice, provided that such sale or transfer is consummated within sixty (60) days of the date of said Notice to the Company, and provided, further, that any such sale is made in compliance with applicable U.S. federal, state and foreign securities laws and not in violation of any other contractual restrictions to which Purchaser is bound. The third-party purchaser shall be bound by, and shall acquire the shares of stock subject to, the provisions of this Agreement, including the Company’s Right of First Refusal.</w:t>
      </w:r>
    </w:p>
    <w:p>
      <w:pPr>
        <w:spacing w:after="0" w:line="193"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Any proposed transfer on terms and conditions different from those set forth in the Notice, as well as any subsequent proposed transfer shall again be subject to the Company’s Right of First Refusal and shall require compliance with the procedures described in this Section 7.</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80" w:hanging="644"/>
        <w:spacing w:after="0" w:line="277" w:lineRule="auto"/>
        <w:tabs>
          <w:tab w:leader="none" w:pos="131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Purchaser agrees to cooperate affirmatively with the Company, to the extent reasonably requested by the Company, to enforce rights and obligations pursuant to this Agreement.</w:t>
      </w:r>
    </w:p>
    <w:p>
      <w:pPr>
        <w:spacing w:after="0" w:line="170" w:lineRule="exact"/>
        <w:rPr>
          <w:rFonts w:ascii="Arial" w:cs="Arial" w:eastAsia="Arial" w:hAnsi="Arial"/>
          <w:sz w:val="18"/>
          <w:szCs w:val="18"/>
          <w:color w:val="auto"/>
        </w:rPr>
      </w:pPr>
    </w:p>
    <w:p>
      <w:pPr>
        <w:ind w:left="1300" w:right="420" w:hanging="644"/>
        <w:spacing w:after="0" w:line="286" w:lineRule="auto"/>
        <w:tabs>
          <w:tab w:leader="none" w:pos="1304" w:val="left"/>
        </w:tabs>
        <w:numPr>
          <w:ilvl w:val="0"/>
          <w:numId w:val="271"/>
        </w:numPr>
        <w:rPr>
          <w:rFonts w:ascii="Arial" w:cs="Arial" w:eastAsia="Arial" w:hAnsi="Arial"/>
          <w:sz w:val="17"/>
          <w:szCs w:val="17"/>
          <w:color w:val="auto"/>
        </w:rPr>
      </w:pPr>
      <w:r>
        <w:rPr>
          <w:rFonts w:ascii="Arial" w:cs="Arial" w:eastAsia="Arial" w:hAnsi="Arial"/>
          <w:sz w:val="17"/>
          <w:szCs w:val="17"/>
          <w:color w:val="auto"/>
        </w:rPr>
        <w:t>Notwithstanding the above, neither the Company nor any assignee of the Company under this Section 7 shall have any right under this Section 7 at any time subsequent to the closing of a public offering of the common stock of the Company pursuant to a registration statement declared effective under the U.S. Securities Act of 1933, as amended (the “Securities Act”).</w:t>
      </w:r>
    </w:p>
    <w:p>
      <w:pPr>
        <w:spacing w:after="0" w:line="165" w:lineRule="exact"/>
        <w:rPr>
          <w:rFonts w:ascii="Arial" w:cs="Arial" w:eastAsia="Arial" w:hAnsi="Arial"/>
          <w:sz w:val="17"/>
          <w:szCs w:val="17"/>
          <w:color w:val="auto"/>
        </w:rPr>
      </w:pPr>
    </w:p>
    <w:p>
      <w:pPr>
        <w:ind w:left="1300" w:right="20" w:hanging="644"/>
        <w:spacing w:after="0" w:line="257" w:lineRule="auto"/>
        <w:tabs>
          <w:tab w:leader="none" w:pos="132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 xml:space="preserve">This Section 7 shall not apply to (i) a transfer by will or intestate succession, or (ii) a transfer to one or more members of Purchaser’s Immediate Family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 Purchaser. The transferee shall execute a copy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29.PURCHASER’S RIGHTS AFTER EXERCISE OF REPURCHASE RIGHT OR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the Company makes available, at the time and place and in the amount and form provided in this Agreement, the consideration for the Common Stock to be repurchased in accordance with the provisions of Sections 2 and 7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to have been repurchased in accordance with the applicable provisions hereof, whether or not the certificate(s) therefor have been delivered as required by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30.TRANSFER BY PURCHASER TO CERTAIN PEOPLE</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302" w:lineRule="auto"/>
        <w:tabs>
          <w:tab w:leader="none" w:pos="1297"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Notwithstanding anything herein to the contrary, Purchaser may not transfer, assign, encumber or otherwise dispose of any Subject Shares without the Company’s written consent, except that Purchaser may transfer Subject Shares to one or more members of Purchaser’s Immediate Family (as defined below), or to a trust established by Purchaser for the benefit of Purchaser and/or one or more members of Purchaser’s Immediate Family, provided that the transferee agrees in writing on a form prescribed by the Company to be bound by all of the</w:t>
      </w:r>
    </w:p>
    <w:p>
      <w:pPr>
        <w:sectPr>
          <w:pgSz w:w="11900" w:h="16944" w:orient="portrait"/>
          <w:cols w:equalWidth="0" w:num="1">
            <w:col w:w="11420"/>
          </w:cols>
          <w:pgMar w:left="240" w:top="125" w:right="239" w:bottom="0" w:gutter="0" w:footer="0" w:header="0"/>
        </w:sectPr>
      </w:pPr>
    </w:p>
    <w:bookmarkStart w:id="306" w:name="page307"/>
    <w:bookmarkEnd w:id="306"/>
    <w:p>
      <w:pPr>
        <w:spacing w:after="0" w:line="95" w:lineRule="exact"/>
        <w:rPr>
          <w:sz w:val="20"/>
          <w:szCs w:val="20"/>
          <w:color w:val="auto"/>
        </w:rPr>
      </w:pPr>
    </w:p>
    <w:p>
      <w:pPr>
        <w:ind w:left="1300" w:right="260"/>
        <w:spacing w:after="0" w:line="277" w:lineRule="auto"/>
        <w:rPr>
          <w:sz w:val="20"/>
          <w:szCs w:val="20"/>
          <w:color w:val="auto"/>
        </w:rPr>
      </w:pPr>
      <w:r>
        <w:rPr>
          <w:rFonts w:ascii="Arial" w:cs="Arial" w:eastAsia="Arial" w:hAnsi="Arial"/>
          <w:sz w:val="18"/>
          <w:szCs w:val="18"/>
          <w:color w:val="auto"/>
        </w:rPr>
        <w:t xml:space="preserve">provisions of this Agreement to the same extent as they apply to Purchaser. The transferee shall execute a copy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70" w:lineRule="exact"/>
        <w:rPr>
          <w:sz w:val="20"/>
          <w:szCs w:val="20"/>
          <w:color w:val="auto"/>
        </w:rPr>
      </w:pPr>
    </w:p>
    <w:p>
      <w:pPr>
        <w:ind w:left="1300" w:right="60" w:hanging="644"/>
        <w:spacing w:after="0" w:line="277" w:lineRule="auto"/>
        <w:tabs>
          <w:tab w:leader="none" w:pos="130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For purposes of this Agreement, Immediate Family means any child, stepchild, grandchild, parent, stepparent, grandparent, spouse, sibling, mother-in-law, father-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in-law, son-in-law, daughter-in-law, brother-in-law or sister-in-law, and shall include adoptive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31.LEGEND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All certificates representing the Common Stock purchased under this Agreement shall, where applicable, have endorsed thereon the following legends and any other legends required by applicable securities laws:</w:t>
      </w:r>
    </w:p>
    <w:p>
      <w:pPr>
        <w:spacing w:after="0" w:line="17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9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32.PURCHASER’S INVESTMENT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55" w:lineRule="auto"/>
        <w:tabs>
          <w:tab w:leader="none" w:pos="1297"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This Agreement is made with Purchaser in reliance upon Purchaser’s representation to the Company, which by Purchaser’s acceptance hereof Purchaser confirms, that the Common Stock which Purchaser will receive will be acquired with Purchaser’s own funds for investment for an indefinite period for Purchaser’s own account, not as a nominee or agent, and not with a view to the sale or distribution of any part thereof, and that Purchaser has no present intention of selling, granting participation in, or otherwise distributing the same, but subject, nevertheless, to any requirement of law that the disposition of Purchaser’s property shall at all times be within Purchaser’s control. By executing this Agreement, Purchaser further represents that Purchaser does not have any contract, understanding or agreement with any person to sell, transfer, or grant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participation to such person or to any third person, with respect to any of the Common Stock.</w:t>
      </w:r>
    </w:p>
    <w:p>
      <w:pPr>
        <w:spacing w:after="0" w:line="225" w:lineRule="exact"/>
        <w:rPr>
          <w:sz w:val="20"/>
          <w:szCs w:val="20"/>
          <w:color w:val="auto"/>
        </w:rPr>
      </w:pPr>
    </w:p>
    <w:p>
      <w:pPr>
        <w:ind w:left="1300" w:right="200" w:hanging="644"/>
        <w:spacing w:after="0" w:line="259" w:lineRule="auto"/>
        <w:tabs>
          <w:tab w:leader="none" w:pos="1307"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Purchaser understands that the Common Stock will not be registered or qualified under applicable U.S. federal, state or foreign securities laws on the ground that the sale provided for in this Agreement is exempt from registration or qualification under applicable U.S. federal, state or foreign securities laws and that the Company’s reliance on such exemption is predicated on Purchaser’s representations set forth herein.</w:t>
      </w:r>
    </w:p>
    <w:p>
      <w:pPr>
        <w:spacing w:after="0" w:line="186" w:lineRule="exact"/>
        <w:rPr>
          <w:rFonts w:ascii="Arial" w:cs="Arial" w:eastAsia="Arial" w:hAnsi="Arial"/>
          <w:sz w:val="18"/>
          <w:szCs w:val="18"/>
          <w:color w:val="auto"/>
        </w:rPr>
      </w:pPr>
    </w:p>
    <w:p>
      <w:pPr>
        <w:ind w:left="1300" w:right="20" w:hanging="644"/>
        <w:spacing w:after="0" w:line="255" w:lineRule="auto"/>
        <w:tabs>
          <w:tab w:leader="none" w:pos="131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Purchaser agrees that in no event shall Purchaser make a disposition of any of the Common Stock (including a disposition under Section 9 of this Agreement), unless and until (i) Purchaser shall have notified the Company of the proposed disposition and shall have furnished the Company with a statement of the circumstances surrounding the proposed disposition and (ii) Purchaser shall have furnished the Company with an opinion of counsel satisfactory to the Company to the effect that (A) such disposition will not require registration or qualification of such Common Stock under applicable U.S. federal, state or foreign securities laws or (B) appropriate action necessary for compliance with the U.S. federal, state or foreign securities laws has been taken or (iii) the Company shall have waived, expressly and in writing, its rights under clauses (i) and (ii) of this Section.</w:t>
      </w:r>
    </w:p>
    <w:p>
      <w:pPr>
        <w:spacing w:after="0" w:line="189" w:lineRule="exact"/>
        <w:rPr>
          <w:rFonts w:ascii="Arial" w:cs="Arial" w:eastAsia="Arial" w:hAnsi="Arial"/>
          <w:sz w:val="18"/>
          <w:szCs w:val="18"/>
          <w:color w:val="auto"/>
        </w:rPr>
      </w:pPr>
    </w:p>
    <w:p>
      <w:pPr>
        <w:ind w:left="1300" w:right="120" w:hanging="644"/>
        <w:spacing w:after="0" w:line="290" w:lineRule="auto"/>
        <w:tabs>
          <w:tab w:leader="none" w:pos="1307" w:val="left"/>
        </w:tabs>
        <w:numPr>
          <w:ilvl w:val="0"/>
          <w:numId w:val="275"/>
        </w:numPr>
        <w:rPr>
          <w:rFonts w:ascii="Arial" w:cs="Arial" w:eastAsia="Arial" w:hAnsi="Arial"/>
          <w:sz w:val="16"/>
          <w:szCs w:val="16"/>
          <w:color w:val="auto"/>
        </w:rPr>
      </w:pPr>
      <w:r>
        <w:rPr>
          <w:rFonts w:ascii="Arial" w:cs="Arial" w:eastAsia="Arial" w:hAnsi="Arial"/>
          <w:sz w:val="16"/>
          <w:szCs w:val="16"/>
          <w:color w:val="auto"/>
        </w:rPr>
        <w:t>With respect to a transaction occurring prior to such date as the Plan and Common Stock thereunder are covered by a valid Form S-8 or similar U.S. federal registration statement, this Subsection shall apply unless the transaction is covered by the exemption in California Corporations Code section 25102(o) or a similar broad-based exemption. In connection with the investment representations made herein, Purchaser represents that Purchaser is able to fend for himself or herself in the transactions contemplated by this Agreement, has such knowledge and experience in financial and business matters as to be capable of evaluating the merits and risks of Purchaser’s investment, has the ability to bear the economic risks of Purchaser’s investment and has been furnished with and has had access to such information as would be made available in the form of a registration statement together with such additional information as is necessary to verify the accuracy of the information supplied and to have all questions answered by the Company.</w:t>
      </w:r>
    </w:p>
    <w:p>
      <w:pPr>
        <w:sectPr>
          <w:pgSz w:w="11900" w:h="16933" w:orient="portrait"/>
          <w:cols w:equalWidth="0" w:num="1">
            <w:col w:w="11400"/>
          </w:cols>
          <w:pgMar w:left="240" w:top="125" w:right="259" w:bottom="0" w:gutter="0" w:footer="0" w:header="0"/>
        </w:sectPr>
      </w:pPr>
    </w:p>
    <w:bookmarkStart w:id="307" w:name="page308"/>
    <w:bookmarkEnd w:id="307"/>
    <w:p>
      <w:pPr>
        <w:spacing w:after="0" w:line="31" w:lineRule="exact"/>
        <w:rPr>
          <w:sz w:val="20"/>
          <w:szCs w:val="20"/>
          <w:color w:val="auto"/>
        </w:rPr>
      </w:pPr>
    </w:p>
    <w:p>
      <w:pPr>
        <w:ind w:left="1300" w:right="160" w:hanging="644"/>
        <w:spacing w:after="0" w:line="276" w:lineRule="auto"/>
        <w:tabs>
          <w:tab w:leader="none" w:pos="131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Purchaser understands that if the Company does not register with the Securities and Exchange Commission pursuant to section 12 of the U.S. Securities Exchange Act of 1934, as amended, or if a registration statement covering the Common Stock (or a filing pursuant to the exemption from registration under Regulation A of the Securities Act) under the Securities Act is not in effect when Purchaser desires to sell the Common Stock, Purchaser may be required to hold the Common Stock for an indeterminate period. Purchaser also acknowledges that Purchaser understands that any sale of the Common Stock which might be made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77" w:lineRule="auto"/>
        <w:rPr>
          <w:sz w:val="20"/>
          <w:szCs w:val="20"/>
          <w:color w:val="auto"/>
        </w:rPr>
      </w:pPr>
      <w:r>
        <w:rPr>
          <w:rFonts w:ascii="Arial" w:cs="Arial" w:eastAsia="Arial" w:hAnsi="Arial"/>
          <w:sz w:val="18"/>
          <w:szCs w:val="18"/>
          <w:color w:val="auto"/>
        </w:rPr>
        <w:t>by Purchaser in reliance upon Rule 144 under the Securities Act may be made only in limited amounts in accordance with the terms and conditions of that Rule.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33.NO DUTY TO TRANSFER IN VIOLATION OF THIS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shall not be required (a) to transfer on its books any shares of Common Stock of the Company which shall have been sold or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34.RIGHTS OF 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20" w:hanging="644"/>
        <w:spacing w:after="0" w:line="277" w:lineRule="auto"/>
        <w:tabs>
          <w:tab w:leader="none" w:pos="129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Except as otherwise provided herein, Purchaser shall, during the term of this Agreement, exercise all rights and privileges of a stockholder of the Company with respect to the Common Stock.</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Nothing in this Agreement shall be construed as a right by Purchaser to be retained by the Company, or a parent or subsidiary of the Company in any capacity. The Company reserves the right to terminate Purchaser’s Service at any time and for any reason without thereby incurring any liability to Purchaser.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35.RESALE RESTRICTIONS/MARKET STAND-OFF</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Purchaser hereby agrees that in connection with any underwritten public offering by the Company of its equity securities pursuant to an effective registration statement filed under the Securities Act, including the Company’s initial public offering, Purchaser shall not, directly or indirectly, engage in any transaction prohibited by the underwriter, or sell, make any short sale of, contract to sell, transfer the economic risk of ownership in, loan, hypothecate, pledge, grant any option for the purchase of, or otherwise dispose or transfer for value or agree to engage in any of the foregoing transactions with respect to any Common Stock without the prior written consent of the Company or its underwriters, for such period of time after the effective date of such registration statement as may be requested by the Company or such underwriters. Such period of time shall not exceed one hundred eighty (180) days; provided, however, that if either (a) during the last seventeen (17) days of such one hundred eighty (180) day period, the Company issues an earnings release or material news or a material event relating to the Company occurs or (b) prior to the expiration of such one hundred eighty (180) day period, the Company announces that it will release earnings results during the sixteen (16) day period beginning on the last day of the one hundred eighty (180) day period, then the restrictions imposed during such one hundred eighty (180) day period shall continue to apply until the expiration of the eighteen (18) day period beginning on the issuance of the earnings release or the occurrence of the material news or material event; and provided, further, that in the event the Company or the underwriter requests that the one hundred eighty (180) day period be extended or modified pursuant to then-applicable law, rules, regulations or trading policies, the restrictions imposed during the one hundred eighty (180) day period shall continue to apply to the extent requested by the Company or the underwriter to comply with such law, rules, regulations or trading policies. Purchaser hereby agrees to execute and deliver such other agreements as may be reasonably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requested by the Company or the underwriter which are consistent with the foregoing or which are necessary to give further effect thereto. To enforce the provisions of this Section, the Company may impose stop-transfer instructions with respect to the Common Stock until the end of the applicable stand-off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36.OTHER NECESSARY ACTIONS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37.NOTICE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deposit in the United States Post Office or the equivalent office in any jurisdiction in which Purchaser is resident with postage and fees prepaid, addressed to the other party hereto at the address last known or at such other address as such party may designate by ten (10) days’ advance written notice to the other party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38.SUCCESSORS AND ASSIGNS</w:t>
      </w:r>
      <w:r>
        <w:rPr>
          <w:rFonts w:ascii="Arial" w:cs="Arial" w:eastAsia="Arial" w:hAnsi="Arial"/>
          <w:sz w:val="18"/>
          <w:szCs w:val="18"/>
          <w:b w:val="1"/>
          <w:bCs w:val="1"/>
          <w:color w:val="auto"/>
        </w:rPr>
        <w:t>.</w:t>
      </w:r>
    </w:p>
    <w:p>
      <w:pPr>
        <w:sectPr>
          <w:pgSz w:w="11900" w:h="16870" w:orient="portrait"/>
          <w:cols w:equalWidth="0" w:num="1">
            <w:col w:w="11400"/>
          </w:cols>
          <w:pgMar w:left="240" w:top="341" w:right="259" w:bottom="0" w:gutter="0" w:footer="0" w:header="0"/>
        </w:sectPr>
      </w:pPr>
    </w:p>
    <w:bookmarkStart w:id="308" w:name="page309"/>
    <w:bookmarkEnd w:id="308"/>
    <w:p>
      <w:pPr>
        <w:spacing w:after="0" w:line="13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This Agreement shall inure to the benefit of the successors and assigns of the Company and, subject to the restrictions on transfer herein set forth, be binding upon Purchaser and Purchaser’s heirs, executors, administrators, successors and assigns. The failure of the Company in any instance to exercise the Repurchase Right or Right of First Refusal described herein shall not constitute a waiver of any other Repurchase Right or Right of First Refusal that may subsequently arise under the provisions of this Agreement. No waiver of any breach or condition of this Agreement shall be deemed to be a waiver of any other or subsequent breach or condition, whether of a like or different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39.APPLICABLE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as such laws are applied to contracts entered into and performed in such state save in relation to the UK taxation legislation provisions applicable to this Agreement which will be interpreted and enforced in accordance with the laws of England and Wales.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40.NO STATE QUALIFICATION</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SALE OF THE SECURITIES WHICH ARE THE SUBJECT OF THIS AGREEMENT HAS NOT BEEN QUALIFIED WITH THE COMMISSIONER OF CORPORATIONS OF THE STATE OF NEW YORK, AND THE ISSUANCE OF SUCH SECURITIES OR THE PAYMENT OR RECEIPT OF ANY PART OF THE CONSIDERATION THEREFOR PRIOR TO SUCH QUALIFICATION IS UNLAWFUL, UNLESS THE SALE OF SECURITIES IS EXEMPT FROM QUALIFICATION BY SECTION 25100, 25102 OR 25105 OF THE CALIFORNIA CORPORATIONS CODE. THE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RIGHTS OF ALL PARTIES TO THIS AGREEMENT ARE EXPRESSLY CONDITIONED UPON SUCH QUALIFICATION BEING OBTAINED, UNLESS THE SALE IS SO EXEMPT.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41.NO ORAL MODIFICATION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modification of this Agreement shall be valid unless made in writing and signed by the parties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42.ENTIRE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Agreement, the Option Agreement and the Plan constitute the entire complete and final agreement between the parties hereto with regard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MongoDB, Inc.</w:t>
      </w:r>
      <w:r>
        <w:rPr>
          <w:sz w:val="20"/>
          <w:szCs w:val="20"/>
          <w:color w:val="auto"/>
        </w:rPr>
        <w:tab/>
      </w:r>
      <w:r>
        <w:rPr>
          <w:rFonts w:ascii="Arial" w:cs="Arial" w:eastAsia="Arial" w:hAnsi="Arial"/>
          <w:sz w:val="16"/>
          <w:szCs w:val="16"/>
          <w:color w:val="auto"/>
        </w:rPr>
        <w:t>[First Name Last Name]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6997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5715</wp:posOffset>
            </wp:positionV>
            <wp:extent cx="315595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JOINT ESCROW INSTRUCTIONS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As Escrow Agent for MongoDB, Inc. (the “Company”), and [First Name Last Name] (the “Purchaser”), you are authorized and directed to hold the Assignment Separate from Certificate form(s) executed by Purchaser and the certificate(s) of stock representing Purchaser’s unvested shares purchased in accordance with the terms of the notice of exercise and common stock purchase agreement (the “Agreement”) and stock option agreement (the “Option Agreement”) entered into between the Company and Purchaser, in accordance with the following instructions:</w:t>
      </w:r>
    </w:p>
    <w:p>
      <w:pPr>
        <w:spacing w:after="0" w:line="171"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1.In the event that the Company elects to exercise the Repurchase Right as described in Section 2 of the Agreement, Purchaser and the Company hereby irrevocably authorize and direct you to close the transaction contemplated, and to promptly deliver the stock certificates.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2.At the closing, you are directed (a) to date the Assignment Separate from Certificate form(s) necessary for the transfer in question, (b) to fill in the number of shares being transferred, and (c) to deliver the form(s), together with the certificate or certificates evidencing the shares to be transferred, to the</w:t>
      </w:r>
    </w:p>
    <w:p>
      <w:pPr>
        <w:sectPr>
          <w:pgSz w:w="11900" w:h="16975" w:orient="portrait"/>
          <w:cols w:equalWidth="0" w:num="1">
            <w:col w:w="11360"/>
          </w:cols>
          <w:pgMar w:left="240" w:top="341" w:right="299" w:bottom="0" w:gutter="0" w:footer="0" w:header="0"/>
        </w:sectPr>
      </w:pPr>
    </w:p>
    <w:bookmarkStart w:id="309" w:name="page310"/>
    <w:bookmarkEnd w:id="309"/>
    <w:p>
      <w:pPr>
        <w:ind w:right="280"/>
        <w:spacing w:after="0" w:line="277" w:lineRule="auto"/>
        <w:rPr>
          <w:sz w:val="20"/>
          <w:szCs w:val="20"/>
          <w:color w:val="auto"/>
        </w:rPr>
      </w:pPr>
      <w:r>
        <w:rPr>
          <w:rFonts w:ascii="Arial" w:cs="Arial" w:eastAsia="Arial" w:hAnsi="Arial"/>
          <w:sz w:val="18"/>
          <w:szCs w:val="18"/>
          <w:color w:val="auto"/>
        </w:rPr>
        <w:t>Company. The Company shall simultaneously deliver to you the repurchase price for the number of shares being purchased pursuant to the exercise of the Repurchase Right.</w:t>
      </w:r>
    </w:p>
    <w:p>
      <w:pPr>
        <w:spacing w:after="0" w:line="170"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3.Purchaser irrevocably authorizes the Company to deposit with you any certificates evidencing shares to be held by you under this letter and any additions and substitutions to the shares as defined in the Agreement. Purchaser irrevocably appoints you as his or her attorneyinfact and agent for the term of this escrow to execute, with respect to the shares of stock, all documents necessary or appropriate to make such securities negotiable and to complete any transaction contemplated by these Joint Escrow Instructions. Subject to the provisions of this Section 3, Purchaser shall exercise all rights and privileges, including but not limited to, the right to vote and to receive dividends (if any), of a stockholder of the Company while the shares are held by you.</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4.In accordance with the terms of Section 5 of the Agreement, you may, from time to time, deliver to Purchaser a certificate or certificates representing shares that are no longer subject to the Repurchase Right.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5.This escrow shall terminate upon the release of all shares held under the terms and provisions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6.If at the time of termination of this escrow you should have in your possession any documents, securities or other property belonging to Purchaser, you shall deliver them to Purchaser and shall be discharged from all further obligations under these Joint Escrow Instructions.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7.Your duties under these Joint Escrow Instructions may be altered, amended, modified or revoked only by a writing signed by all of the parties.</w:t>
      </w:r>
    </w:p>
    <w:p>
      <w:pPr>
        <w:spacing w:after="0" w:line="248" w:lineRule="exact"/>
        <w:rPr>
          <w:sz w:val="20"/>
          <w:szCs w:val="20"/>
          <w:color w:val="auto"/>
        </w:rPr>
      </w:pPr>
    </w:p>
    <w:p>
      <w:pPr>
        <w:jc w:val="both"/>
        <w:ind w:right="80" w:firstLine="648"/>
        <w:spacing w:after="0" w:line="279" w:lineRule="auto"/>
        <w:rPr>
          <w:sz w:val="20"/>
          <w:szCs w:val="20"/>
          <w:color w:val="auto"/>
        </w:rPr>
      </w:pPr>
      <w:r>
        <w:rPr>
          <w:rFonts w:ascii="Arial" w:cs="Arial" w:eastAsia="Arial" w:hAnsi="Arial"/>
          <w:sz w:val="17"/>
          <w:szCs w:val="17"/>
          <w:color w:val="auto"/>
        </w:rPr>
        <w:t>8.You shall be obligated to perform the duties described in these Joint Escrow Instructions and shall be protected in relying or refraining from acting on any instrument reasonably believed by you to be genuine and to have been signed or presented by the proper party or parties. You shall not be personally liable for any act or omission as Escrow Agent or as attorney-in-fact of Purchaser while acting in good faith and in the exercise of your own good judgment, and any act or omission by you pursuant to the advice of your own attorneys shall be conclusive evidence of such good faith.</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9.You are expressly authorized to disregard any and all warnings given by any of the parties hereto or by any other person or corporation, excepting only orders or process of courts of law, and are expressly authorized to comply with and obey orders, judgments or decrees of any court. In case you obey or comply with any such order, judgment or decree of any court, you shall not be liable to any of the parties under these Joint Escrow Instructions or to any other person, firm or corporation by reason of such compliance, notwithstanding any such order, judgment or decree being subsequently reversed, modified, annulled, set aside, vacated or found to have been entered without jurisdiction.</w:t>
      </w:r>
    </w:p>
    <w:p>
      <w:pPr>
        <w:spacing w:after="0" w:line="17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10.You shall not be liable in any respect on account of the identity, authority or rights of the parties executing or delivering or purporting to execute or deliver the Agreement or any documents or papers deposited or called for under these Joint Escrow Instructions.</w:t>
      </w:r>
    </w:p>
    <w:p>
      <w:pPr>
        <w:spacing w:after="0" w:line="170"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11.You shall not be liable for the outlawing of any rights under any statute of limitations with respect to these Joint Escrow Instructions or any documents deposited with you.</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12.You shall be entitled to employ such legal counsel and other experts as you may deem necessary properly to advise you in connection with your obligations under these Joint Escrow Instructions and may rely upon the advice of such counsel.</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13.Your responsibilities as Escrow Agent under these Joint Escrow Instructions shall terminate if you shall cease to be employed by the Company or if you shall resign by written notice to each party. In the event of any such termination, the Company shall appoint any officer of the Company as successor Escrow Agent.</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14.If you reasonably require other or further instruments in connection with these Joint Escrow Instructions or obligations under these Joint Escrow Instructions, the parties shall furnish such instruments.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15.It is understood and agreed that should any dispute arise with respect to the delivery and/or ownership or right of possession of the securities held by you under these Joint Escrow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Instructions, you are authorized and directed to retain in your possession without liability to anyone all or any part of the securities until the dispute is settled either by mutual written agreement of the parties or by a final order, decree or judgment of a court of competent jurisdiction after the time for appeal has expired and no appeal has been perfected. You are under no duty whatsoever to institute or defend against any such proceedings.</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16.Any notice required or permitted under these Joint Escrow Instructions shall be given in writing and will be deemed effectively given upon personal delivery or upon deposit in the United States Post Office, by registered or certified mail with postage and fees prepaid, addressed to each of the other parties.</w:t>
      </w:r>
    </w:p>
    <w:p>
      <w:pPr>
        <w:spacing w:after="0" w:line="181"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17.By signing these Joint Escrow Instructions, you become a party only for the purpose of these Joint Escrow Instructions; you do not become a party to the Agreement.</w:t>
      </w:r>
    </w:p>
    <w:p>
      <w:pPr>
        <w:sectPr>
          <w:pgSz w:w="11900" w:h="16838" w:orient="portrait"/>
          <w:cols w:equalWidth="0" w:num="1">
            <w:col w:w="11420"/>
          </w:cols>
          <w:pgMar w:left="240" w:top="125" w:right="239" w:bottom="0" w:gutter="0" w:footer="0" w:header="0"/>
        </w:sectPr>
      </w:pPr>
    </w:p>
    <w:bookmarkStart w:id="310" w:name="page311"/>
    <w:bookmarkEnd w:id="310"/>
    <w:p>
      <w:pPr>
        <w:ind w:left="660"/>
        <w:spacing w:after="0"/>
        <w:rPr>
          <w:sz w:val="20"/>
          <w:szCs w:val="20"/>
          <w:color w:val="auto"/>
        </w:rPr>
      </w:pPr>
      <w:r>
        <w:rPr>
          <w:rFonts w:ascii="Arial" w:cs="Arial" w:eastAsia="Arial" w:hAnsi="Arial"/>
          <w:sz w:val="18"/>
          <w:szCs w:val="18"/>
          <w:color w:val="auto"/>
        </w:rPr>
        <w:t>18.This instrument shall be governed by and construed in accordance with the laws of the State of New York.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19.This instrument shall be binding upon and inure to the benefit of the parties hereto and their respective successors and permitted assigns.</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MongoDB, Inc.</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640" w:type="dxa"/>
            <w:vAlign w:val="bottom"/>
            <w:gridSpan w:val="2"/>
          </w:tcPr>
          <w:p>
            <w:pPr>
              <w:ind w:left="21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780" w:type="dxa"/>
            <w:vAlign w:val="bottom"/>
            <w:gridSpan w:val="3"/>
          </w:tcPr>
          <w:p>
            <w:pPr>
              <w:ind w:left="2180"/>
              <w:spacing w:after="0"/>
              <w:rPr>
                <w:sz w:val="20"/>
                <w:szCs w:val="20"/>
                <w:color w:val="auto"/>
              </w:rPr>
            </w:pPr>
            <w:r>
              <w:rPr>
                <w:rFonts w:ascii="Arial" w:cs="Arial" w:eastAsia="Arial" w:hAnsi="Arial"/>
                <w:sz w:val="18"/>
                <w:szCs w:val="18"/>
                <w:color w:val="auto"/>
              </w:rPr>
              <w:t>Its:</w:t>
            </w:r>
          </w:p>
        </w:tc>
        <w:tc>
          <w:tcPr>
            <w:tcW w:w="0" w:type="dxa"/>
            <w:vAlign w:val="bottom"/>
          </w:tcPr>
          <w:p>
            <w:pPr>
              <w:spacing w:after="0"/>
              <w:rPr>
                <w:sz w:val="1"/>
                <w:szCs w:val="1"/>
                <w:color w:val="auto"/>
              </w:rPr>
            </w:pPr>
          </w:p>
        </w:tc>
      </w:tr>
      <w:tr>
        <w:trPr>
          <w:trHeight w:val="426"/>
        </w:trPr>
        <w:tc>
          <w:tcPr>
            <w:tcW w:w="3640" w:type="dxa"/>
            <w:vAlign w:val="bottom"/>
            <w:gridSpan w:val="2"/>
          </w:tcPr>
          <w:p>
            <w:pPr>
              <w:spacing w:after="0"/>
              <w:rPr>
                <w:sz w:val="20"/>
                <w:szCs w:val="20"/>
                <w:color w:val="auto"/>
              </w:rPr>
            </w:pPr>
            <w:r>
              <w:rPr>
                <w:rFonts w:ascii="Arial" w:cs="Arial" w:eastAsia="Arial" w:hAnsi="Arial"/>
                <w:sz w:val="18"/>
                <w:szCs w:val="18"/>
                <w:color w:val="auto"/>
              </w:rPr>
              <w:t>ESCROW AGENT:</w:t>
            </w:r>
          </w:p>
        </w:tc>
        <w:tc>
          <w:tcPr>
            <w:tcW w:w="2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[First Name Last Name] (PURCHASER)</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Signature</w:t>
            </w:r>
          </w:p>
        </w:tc>
        <w:tc>
          <w:tcPr>
            <w:tcW w:w="2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Signature</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LETTER IF YOU ARE EXERCISING PRIOR TO VESTING (“EARLY EXERCISE”). IF YOU ARE NOT EARLY EXERCISING, DO NOT COMPLETE THIS 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FOR VALUE RECEIVED, [First Name Last Name] sells, assigns and transfers to MongoDB, Inc. (the “Company”) or its assignee [print the number of shares] ([# of shares]) shares of the Common Stock of the Company (the “Shares”), standing in his or her name on the books of the Company represented</w:t>
      </w:r>
    </w:p>
    <w:p>
      <w:pPr>
        <w:ind w:right="520"/>
        <w:spacing w:after="0" w:line="261" w:lineRule="auto"/>
        <w:rPr>
          <w:sz w:val="20"/>
          <w:szCs w:val="20"/>
          <w:color w:val="auto"/>
        </w:rPr>
      </w:pPr>
      <w:r>
        <w:rPr>
          <w:rFonts w:ascii="Arial" w:cs="Arial" w:eastAsia="Arial" w:hAnsi="Arial"/>
          <w:sz w:val="18"/>
          <w:szCs w:val="18"/>
          <w:color w:val="auto"/>
        </w:rPr>
        <w:t>by Certificate No. and irrevocably constitutes and appoints [Name/Title of Escrow Agent] as Attorney to transfer the Shares on the books of the Company with full power of substitution in the premises.</w:t>
      </w:r>
    </w:p>
    <w:p>
      <w:pPr>
        <w:spacing w:after="0" w:line="184" w:lineRule="exact"/>
        <w:rPr>
          <w:sz w:val="20"/>
          <w:szCs w:val="20"/>
          <w:color w:val="auto"/>
        </w:rPr>
      </w:pPr>
    </w:p>
    <w:p>
      <w:pPr>
        <w:ind w:left="660"/>
        <w:spacing w:after="0"/>
        <w:tabs>
          <w:tab w:leader="none" w:pos="2100" w:val="left"/>
          <w:tab w:leader="none" w:pos="2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-10160</wp:posOffset>
            </wp:positionV>
            <wp:extent cx="74295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[First Name Last Name]</w:t>
      </w:r>
    </w:p>
    <w:p>
      <w:pPr>
        <w:spacing w:after="0" w:line="200" w:lineRule="exact"/>
        <w:rPr>
          <w:sz w:val="20"/>
          <w:szCs w:val="20"/>
          <w:color w:val="auto"/>
        </w:rPr>
      </w:pPr>
    </w:p>
    <w:p>
      <w:pPr>
        <w:spacing w:after="0" w:line="25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FORM IF YOU ARE EXERCISING PRIOR TO VESTING (“EARLY EXERCISE”). IF YOU ARE NOT EARLY EXERCISING, DO NOT COMPLETE THIS FORM. PLEASE DO NOT FILL IN ANY BLANKS OTHER THAN THE SIGNATURE LINE. THE PURPOSE OF THIS ASSIGNMENT IS TO ENABLE THE COMPANY TO EXERCISE ITS “REPURCHASE RIGHT” SET FORTH IN THE NOTICE OF EXERCISE AND COMMON STOCK PURCHASE AGREEMENT WITHOUT REQUIRING ADDITIONAL SIGNATURES.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10GEN,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SEPARATE FROM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Early Exercise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left="260" w:right="2060"/>
        <w:spacing w:after="0" w:line="275" w:lineRule="auto"/>
        <w:rPr>
          <w:sz w:val="20"/>
          <w:szCs w:val="20"/>
          <w:color w:val="auto"/>
        </w:rPr>
      </w:pPr>
      <w:r>
        <w:rPr>
          <w:rFonts w:ascii="Arial" w:cs="Arial" w:eastAsia="Arial" w:hAnsi="Arial"/>
          <w:sz w:val="18"/>
          <w:szCs w:val="18"/>
          <w:b w:val="1"/>
          <w:bCs w:val="1"/>
          <w:color w:val="auto"/>
        </w:rPr>
        <w:t>ACKNOWLEDGMENT OF AND AGREEMENT TO BE BOUND BY THE NOTICE OF EXERCISE AND COMMON STOCK PURCHASE AGREEMENT OF 10GEN, INC.</w:t>
      </w:r>
    </w:p>
    <w:p>
      <w:pPr>
        <w:spacing w:after="0" w:line="394"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undersigned, as transferee of shares of 10Gen, Inc. hereby acknowledges that he or she has read and reviewed the terms of the Notice of Exercise and Common Stock Purchase Agreement of 10Gen, Inc. and hereby agrees to be bound by the terms and conditions thereof, as if the undersigned had executed said Agreement as an original party thereto.</w:t>
      </w:r>
    </w:p>
    <w:p>
      <w:pPr>
        <w:spacing w:after="0" w:line="181" w:lineRule="exact"/>
        <w:rPr>
          <w:sz w:val="20"/>
          <w:szCs w:val="20"/>
          <w:color w:val="auto"/>
        </w:rPr>
      </w:pPr>
    </w:p>
    <w:p>
      <w:pPr>
        <w:ind w:left="660"/>
        <w:spacing w:after="0"/>
        <w:tabs>
          <w:tab w:leader="none" w:pos="2100" w:val="left"/>
          <w:tab w:leader="none" w:pos="2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-10160</wp:posOffset>
            </wp:positionV>
            <wp:extent cx="74295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311" w:name="page312"/>
    <w:bookmarkEnd w:id="311"/>
    <w:p>
      <w:pPr>
        <w:ind w:left="7520"/>
        <w:spacing w:after="0"/>
        <w:rPr>
          <w:sz w:val="20"/>
          <w:szCs w:val="20"/>
          <w:color w:val="auto"/>
        </w:rPr>
      </w:pPr>
      <w:r>
        <w:rPr>
          <w:rFonts w:ascii="Arial" w:cs="Arial" w:eastAsia="Arial" w:hAnsi="Arial"/>
          <w:sz w:val="18"/>
          <w:szCs w:val="18"/>
          <w:color w:val="auto"/>
        </w:rPr>
        <w:t>(Printed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360"/>
        <w:spacing w:after="0"/>
        <w:rPr>
          <w:sz w:val="20"/>
          <w:szCs w:val="20"/>
          <w:color w:val="auto"/>
        </w:rPr>
      </w:pPr>
      <w:r>
        <w:rPr>
          <w:rFonts w:ascii="Arial" w:cs="Arial" w:eastAsia="Arial" w:hAnsi="Arial"/>
          <w:sz w:val="17"/>
          <w:szCs w:val="17"/>
          <w:i w:val="1"/>
          <w:iCs w:val="1"/>
          <w:color w:val="auto"/>
        </w:rPr>
        <w:t>Early Exercise</w:t>
      </w:r>
    </w:p>
    <w:p>
      <w:pPr>
        <w:spacing w:after="0" w:line="2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OR QUALIFIED UNDER THE U.S. SECURITIES ACT OF 1933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GRANT (AUSTRALIAN EMPLOYEES)</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MongoDB, Inc. (the “Company”) hereby grants you the following Option to purchase shares of its Class A common stock (“Shares”). The terms and conditions of this Option are set forth in the Stock Option Agreement and the 10Gen, Inc. 2008 Stock Incentive Plan (the “Plan”), both of which are attached to and made a part of this document.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9220" w:type="dxa"/>
            <w:vAlign w:val="bottom"/>
          </w:tcPr>
          <w:p>
            <w:pPr>
              <w:ind w:left="320"/>
              <w:spacing w:after="0"/>
              <w:rPr>
                <w:sz w:val="20"/>
                <w:szCs w:val="20"/>
                <w:color w:val="auto"/>
              </w:rPr>
            </w:pPr>
            <w:r>
              <w:rPr>
                <w:rFonts w:ascii="Arial" w:cs="Arial" w:eastAsia="Arial" w:hAnsi="Arial"/>
                <w:sz w:val="18"/>
                <w:szCs w:val="18"/>
                <w:color w:val="auto"/>
              </w:rPr>
              <w:t>[Date of Grant]</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9220" w:type="dxa"/>
            <w:vAlign w:val="bottom"/>
          </w:tcPr>
          <w:p>
            <w:pPr>
              <w:ind w:left="320"/>
              <w:spacing w:after="0"/>
              <w:rPr>
                <w:sz w:val="20"/>
                <w:szCs w:val="20"/>
                <w:color w:val="auto"/>
              </w:rPr>
            </w:pPr>
            <w:r>
              <w:rPr>
                <w:rFonts w:ascii="Arial" w:cs="Arial" w:eastAsia="Arial" w:hAnsi="Arial"/>
                <w:sz w:val="18"/>
                <w:szCs w:val="18"/>
                <w:color w:val="auto"/>
              </w:rPr>
              <w:t>[First Name Last Name]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Number of Option Shares:</w:t>
            </w:r>
          </w:p>
        </w:tc>
        <w:tc>
          <w:tcPr>
            <w:tcW w:w="9220" w:type="dxa"/>
            <w:vAlign w:val="bottom"/>
          </w:tcPr>
          <w:p>
            <w:pPr>
              <w:ind w:left="320"/>
              <w:spacing w:after="0"/>
              <w:rPr>
                <w:sz w:val="20"/>
                <w:szCs w:val="20"/>
                <w:color w:val="auto"/>
              </w:rPr>
            </w:pPr>
            <w:r>
              <w:rPr>
                <w:rFonts w:ascii="Arial" w:cs="Arial" w:eastAsia="Arial" w:hAnsi="Arial"/>
                <w:sz w:val="18"/>
                <w:szCs w:val="18"/>
                <w:color w:val="auto"/>
              </w:rPr>
              <w:t>[Options Granted]</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Exercise Price per Share:</w:t>
            </w:r>
          </w:p>
        </w:tc>
        <w:tc>
          <w:tcPr>
            <w:tcW w:w="9220" w:type="dxa"/>
            <w:vAlign w:val="bottom"/>
          </w:tcPr>
          <w:p>
            <w:pPr>
              <w:ind w:left="320"/>
              <w:spacing w:after="0"/>
              <w:rPr>
                <w:sz w:val="20"/>
                <w:szCs w:val="20"/>
                <w:color w:val="auto"/>
              </w:rPr>
            </w:pPr>
            <w:r>
              <w:rPr>
                <w:rFonts w:ascii="Arial" w:cs="Arial" w:eastAsia="Arial" w:hAnsi="Arial"/>
                <w:sz w:val="18"/>
                <w:szCs w:val="18"/>
                <w:color w:val="auto"/>
                <w:w w:val="92"/>
              </w:rPr>
              <w:t>US[Exercise Price] (The Exercise Price per Share of an Option shall not be less than one hundred percent (100%) of the</w:t>
            </w:r>
          </w:p>
        </w:tc>
      </w:tr>
      <w:tr>
        <w:trPr>
          <w:trHeight w:val="216"/>
        </w:trPr>
        <w:tc>
          <w:tcPr>
            <w:tcW w:w="2240" w:type="dxa"/>
            <w:vAlign w:val="bottom"/>
          </w:tcPr>
          <w:p>
            <w:pPr>
              <w:spacing w:after="0"/>
              <w:rPr>
                <w:sz w:val="18"/>
                <w:szCs w:val="18"/>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w w:val="91"/>
              </w:rPr>
              <w:t>Fair Market Value of a Share on the date of grant. If Optionee is a Ten-Percent Stockholder, the Exercise Price per Share</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of an ISO or an NSO must be at least one hundred ten percent (110%) of Fair Market Value.)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Start Date:</w:t>
            </w:r>
          </w:p>
        </w:tc>
        <w:tc>
          <w:tcPr>
            <w:tcW w:w="9220" w:type="dxa"/>
            <w:vAlign w:val="bottom"/>
          </w:tcPr>
          <w:p>
            <w:pPr>
              <w:ind w:left="320"/>
              <w:spacing w:after="0"/>
              <w:rPr>
                <w:sz w:val="20"/>
                <w:szCs w:val="20"/>
                <w:color w:val="auto"/>
              </w:rPr>
            </w:pPr>
            <w:r>
              <w:rPr>
                <w:rFonts w:ascii="Arial" w:cs="Arial" w:eastAsia="Arial" w:hAnsi="Arial"/>
                <w:sz w:val="18"/>
                <w:szCs w:val="18"/>
                <w:color w:val="auto"/>
              </w:rPr>
              <w:t>[Vesting Start Date]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Type of Option:</w:t>
            </w:r>
          </w:p>
        </w:tc>
        <w:tc>
          <w:tcPr>
            <w:tcW w:w="9220" w:type="dxa"/>
            <w:vAlign w:val="bottom"/>
          </w:tcPr>
          <w:p>
            <w:pPr>
              <w:ind w:left="320"/>
              <w:spacing w:after="0"/>
              <w:rPr>
                <w:sz w:val="20"/>
                <w:szCs w:val="20"/>
                <w:color w:val="auto"/>
              </w:rPr>
            </w:pPr>
            <w:r>
              <w:rPr>
                <w:rFonts w:ascii="Arial" w:cs="Arial" w:eastAsia="Arial" w:hAnsi="Arial"/>
                <w:sz w:val="18"/>
                <w:szCs w:val="18"/>
                <w:color w:val="auto"/>
              </w:rPr>
              <w:t>Type of Grant: Australian Option</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Schedule:</w:t>
            </w:r>
          </w:p>
        </w:tc>
        <w:tc>
          <w:tcPr>
            <w:tcW w:w="9220" w:type="dxa"/>
            <w:vAlign w:val="bottom"/>
          </w:tcPr>
          <w:p>
            <w:pPr>
              <w:ind w:left="320"/>
              <w:spacing w:after="0"/>
              <w:rPr>
                <w:sz w:val="20"/>
                <w:szCs w:val="20"/>
                <w:color w:val="auto"/>
              </w:rPr>
            </w:pPr>
            <w:r>
              <w:rPr>
                <w:rFonts w:ascii="Arial" w:cs="Arial" w:eastAsia="Arial" w:hAnsi="Arial"/>
                <w:sz w:val="18"/>
                <w:szCs w:val="18"/>
                <w:color w:val="auto"/>
                <w:w w:val="96"/>
              </w:rPr>
              <w:t>The Option vests with respect to the first 25% of the Shares when the Optionee completes 12 months of continuous</w:t>
            </w:r>
          </w:p>
        </w:tc>
      </w:tr>
      <w:tr>
        <w:trPr>
          <w:trHeight w:val="216"/>
        </w:trPr>
        <w:tc>
          <w:tcPr>
            <w:tcW w:w="2240" w:type="dxa"/>
            <w:vAlign w:val="bottom"/>
          </w:tcPr>
          <w:p>
            <w:pPr>
              <w:spacing w:after="0"/>
              <w:rPr>
                <w:sz w:val="18"/>
                <w:szCs w:val="18"/>
                <w:color w:val="auto"/>
              </w:rPr>
            </w:pPr>
          </w:p>
        </w:tc>
        <w:tc>
          <w:tcPr>
            <w:tcW w:w="9220" w:type="dxa"/>
            <w:vAlign w:val="bottom"/>
          </w:tcPr>
          <w:p>
            <w:pPr>
              <w:ind w:left="320"/>
              <w:spacing w:after="0" w:line="216" w:lineRule="exact"/>
              <w:rPr>
                <w:sz w:val="20"/>
                <w:szCs w:val="20"/>
                <w:color w:val="auto"/>
              </w:rPr>
            </w:pPr>
            <w:r>
              <w:rPr>
                <w:rFonts w:ascii="Arial" w:cs="Arial" w:eastAsia="Arial" w:hAnsi="Arial"/>
                <w:sz w:val="18"/>
                <w:szCs w:val="18"/>
                <w:color w:val="auto"/>
                <w:w w:val="92"/>
              </w:rPr>
              <w:t>Service after the Vesting Start Date, and with respect to an additional 1/48</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xml:space="preserve"> of the Shares when the Optionee completes</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each full month of continuous Service thereafter.</w:t>
            </w:r>
          </w:p>
        </w:tc>
      </w:tr>
      <w:tr>
        <w:trPr>
          <w:trHeight w:val="418"/>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7"/>
              </w:rPr>
              <w:t>MONGODB, INC.</w:t>
            </w:r>
          </w:p>
        </w:tc>
      </w:tr>
      <w:tr>
        <w:trPr>
          <w:trHeight w:val="230"/>
        </w:trPr>
        <w:tc>
          <w:tcPr>
            <w:tcW w:w="2240" w:type="dxa"/>
            <w:vAlign w:val="bottom"/>
          </w:tcPr>
          <w:p>
            <w:pPr>
              <w:spacing w:after="0"/>
              <w:rPr>
                <w:sz w:val="20"/>
                <w:szCs w:val="20"/>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5"/>
              </w:rPr>
              <w:t>NOTICE OF STOCK OPTION GRANT</w:t>
            </w:r>
          </w:p>
        </w:tc>
      </w:tr>
      <w:tr>
        <w:trPr>
          <w:trHeight w:val="432"/>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9"/>
              </w:rPr>
              <w:t>1</w:t>
            </w:r>
          </w:p>
        </w:tc>
      </w:tr>
      <w:tr>
        <w:trPr>
          <w:trHeight w:val="132"/>
        </w:trPr>
        <w:tc>
          <w:tcPr>
            <w:tcW w:w="2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By signing this document, you acknowledge receipt of a copy of the Plan, and agree that (a) you have carefully read, fully understand and agree to all of the terms and conditions described in the attached Stock Option Agreement, the Plan document and “Notice of Exercise and Common Stock Purchase Agreement” (the “Exercise Notice”); (b) you hereby make the purchaser’s investment representations contained in the Exercise Notice with respect to the grant of this Option; (c) you understand and agree that the Stock Option Agreement, including its cover sheet and attachments, constitutes the entire understanding between you and the Company regarding this Option, and that any prior agreements, commitments or negotiations concerning this Option are replaced and superseded; and (d) you have been given an opportunity to consult your own legal and tax counsel with respect to all matters relating to this Option prior to signing this cover sheet and that you have either consulted such counsel or voluntarily declined to consult such counsel.</w:t>
      </w:r>
    </w:p>
    <w:p>
      <w:pPr>
        <w:spacing w:after="0" w:line="172"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[FIRST NAME LAST NAME]</w:t>
      </w:r>
      <w:r>
        <w:rPr>
          <w:sz w:val="20"/>
          <w:szCs w:val="20"/>
          <w:color w:val="auto"/>
        </w:rPr>
        <w:tab/>
      </w: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4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8"/>
          <w:szCs w:val="18"/>
          <w:color w:val="auto"/>
        </w:rPr>
        <w:t>Its:</w:t>
        <w:tab/>
        <w:t>General Counsel</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NOTICE OF STOCK OPTION GRANT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ectPr>
          <w:pgSz w:w="11900" w:h="16838" w:orient="portrait"/>
          <w:cols w:equalWidth="0" w:num="1">
            <w:col w:w="11460"/>
          </w:cols>
          <w:pgMar w:left="240" w:top="355" w:right="199" w:bottom="0" w:gutter="0" w:footer="0" w:header="0"/>
        </w:sectPr>
      </w:pPr>
    </w:p>
    <w:bookmarkStart w:id="312" w:name="page313"/>
    <w:bookmarkEnd w:id="312"/>
    <w:p>
      <w:pPr>
        <w:jc w:val="center"/>
        <w:ind w:right="-19"/>
        <w:spacing w:after="0"/>
        <w:rPr>
          <w:sz w:val="20"/>
          <w:szCs w:val="20"/>
          <w:color w:val="auto"/>
        </w:rPr>
      </w:pPr>
      <w:r>
        <w:rPr>
          <w:rFonts w:ascii="Arial" w:cs="Arial" w:eastAsia="Arial" w:hAnsi="Arial"/>
          <w:sz w:val="18"/>
          <w:szCs w:val="18"/>
          <w:b w:val="1"/>
          <w:bCs w:val="1"/>
          <w:color w:val="auto"/>
        </w:rPr>
        <w:t>STOCK OPTION AGREEMENT (AUSTRALIAN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1.KIND OF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This Option is intended to qualify for deferred taxation treatment pursuant to Subdivision 83A-C of the </w:t>
      </w:r>
      <w:r>
        <w:rPr>
          <w:rFonts w:ascii="Arial" w:cs="Arial" w:eastAsia="Arial" w:hAnsi="Arial"/>
          <w:sz w:val="17"/>
          <w:szCs w:val="17"/>
          <w:i w:val="1"/>
          <w:iCs w:val="1"/>
          <w:color w:val="auto"/>
        </w:rPr>
        <w:t>Income Tax Assessment Act 1997 (Cth)</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2.VESTING.</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Subject to the terms and conditions of the Plan and this Stock Option Agreement (the “Agreement”), your Option and the Shares shall vest in accordance with the schedule set forth in the Notice of Stock Option Grant. If your Option is granted in consideration of your Service as an Employee or a Consultant, after your Service as an Employee or a Consultant terminates for any reason, vesting of your Shares subject to such Option immediately stops and such Option expires immediately as to the number of Shares that are not vested as of the date your Service as an Employee or a Consultant terminates. If your Option is granted in consideration of your Service as an Outside Director, after your Service as an Outside Director terminates for any reason, vesting of your Shares subject to such Option immediately stops and such Option expires immediately as to the number of Shares that are not vested as of the date your Service as an Outside Director terminates.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3.TERM.</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Option will expire in any event at the close of business at Company headquarters on the date that is ten (10) years after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Also, your Option will expire earlier if your Service terminates, as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4.REGULAR TERMINATION.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your Service terminates for any reason except death or Disability, the vested portion of your Option will expire at the close of business at Company headquarters on the date three (3) months after your termination of Service. During that three (3) month period, you may exercise the portion of your Option that was vested on your termination date. Notwithstanding the foregoing, the Option may not be exercised after the Expiration Date determined under Section 3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5.DEATH.</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you die while in Service with the Company, the vested portion of your Option will expire at the close of business at Company headquarters on the date twelve (12) months after the date of your death. During that twelve (12) month period, your estate, legatees or heirs may exercise that portion of your Option that was vested on the date of your death. Notwithstanding the foregoing, the Option may not be exercised after the Expiration Date determined under Section 3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6.DISABILITY.</w:t>
      </w:r>
    </w:p>
    <w:p>
      <w:pPr>
        <w:spacing w:after="0" w:line="229"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If your Service terminates because of a Disability, the vested portion of your Option will expire at the close of business at Company headquarters on the date twelve (12) months after your termination date. During that twelve (12) month period, you may exercise that portion of your Option that was vested on the date of your Disability. “Disability” means that you are unable to engage in any substantial gainful activity by reason of any medically determinable physical or mental impairment. Notwithstanding the foregoing, the Option may not be exercised after the Expiration Date determined under Section 3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7.EXERCISING YOUR OPTION.</w:t>
      </w:r>
    </w:p>
    <w:p>
      <w:pPr>
        <w:spacing w:after="0" w:line="22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 xml:space="preserve">To exercise your Option, you must execute the Notice of Exercise and Common Stock Purchase Agreement (the “Exercise Notice”),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You must submit this form, together with full payment, to the Company. Your exercise will be effective when it is received by the Company. If you exercise your Option prior to vesting as provided in Section 8, you must also sign an Assignment Separate from Certificate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If someone else wants to exercise your Option after your death, that person must prove to the Company’s satisfaction that he or she is entitled to do so.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8.EXERCISE OF OPTION BEFORE VESTING.</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you wish, you may exercise your Option before it is vested (“Early Exercise”). The Company may in its sole and absolute discretion prohibit you from undertaking an Early Exercise at any time prior to the expiration of six (6) months from the Date of Grant. Your Option Shares will be subject to a repurchase right which shall lapse according to the same vesting schedule applicable had you not exercised your Option. The repurchase right allows the Company to repurchase the unvested Shares for the Exercise Price.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YOU SHOULD CONSULT A TAX AND/OR FINANCIAL ADVISOR BEFORE EXERCISING PRIOR TO VESTING.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9.PAYMENT FORMS.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When you exercise your Option, you must include payment of the Exercise Price for the Shares you are purchasing in cash or cash equivalents. Alternatively, you may pay all or part of the Exercise Price by surrendering, or attesting to ownership of, Shares already owned by you, unless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 To the extent that a public market for the Shares exists and to the extent permitted by applicable law, in each case as determined by the Company, you also may exercise your Option by delivery (on a form prescribed by the Company) of an irrevocable direction to a securities broker to sell Shares and to deliver all or part of the sale proceeds to the Company in payment of the aggregate Exercise Price and, if requested, applicable withholding taxes. The Company will provide the forms necessary to make such a cashless exercise. The Board may permit such other payment forms as it deems appropriate, subject to applicable laws, regulations and rules.</w:t>
      </w:r>
    </w:p>
    <w:p>
      <w:pPr>
        <w:sectPr>
          <w:pgSz w:w="11900" w:h="16838" w:orient="portrait"/>
          <w:cols w:equalWidth="0" w:num="1">
            <w:col w:w="11420"/>
          </w:cols>
          <w:pgMar w:left="240" w:top="121" w:right="239" w:bottom="0" w:gutter="0" w:footer="0" w:header="0"/>
        </w:sectPr>
      </w:pPr>
    </w:p>
    <w:bookmarkStart w:id="313" w:name="page314"/>
    <w:bookmarkEnd w:id="313"/>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10.TAX WITHHOLDING AND REPORTING.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You will not be allowed to exercise this Option unless you pay, or make acceptable arrangements to pay, any taxes required to be withheld as a result of the Option exercise or the sale of Shares acquired upon exercise of this Option. You hereby authorize withholding from payroll or any other payment due you from the Company or your employer to satisfy any such withholding tax obligation. You hereby authorize the Company to provide all necessary information to a Tax Authority in respect of the Options.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11.RIGHT OF FIRST REFUSAL.</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12.RESALE RESTRICTIONS/MARKET STAND-OFF.</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13.SECURITIES LAW INFORMATION</w:t>
      </w:r>
    </w:p>
    <w:p>
      <w:pPr>
        <w:spacing w:after="0" w:line="229"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 offering and resale of Shares acquired under the Plan to a person or entity resident in Australia may be subject to disclosure requirements under Australian law. Participant should obtain legal advice regarding any applicable disclosure requirements prior to making any such offer.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14.TRANSFER OF OPTION.</w:t>
      </w:r>
    </w:p>
    <w:p>
      <w:pPr>
        <w:spacing w:after="0" w:line="229"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 You may, however, dispose of this Option in your will. Regardless of any marital property settlement agreement, the Company is not obligated to honor an Exercise Notice from your spouse or former spouse, nor is the Company obligated to recognize such individual’s interest in your Option in any other way.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15.RETENTION RIGHTS.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This Agreement does not give you the right to be retained by the Company in any capacity. The Company reserves the right to terminate your Service at any time and for any reason without thereby incurring any liability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16.STOCKHOLDER RIGHTS.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 except as described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17.ADJUSTMENTS.</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certificates representing the Shares issued upon exercise of this Option shall, where applicable, have endorsed thereon the following legends:</w:t>
      </w:r>
    </w:p>
    <w:p>
      <w:pPr>
        <w:spacing w:after="0" w:line="248"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OTHER JURISDICTION, AND MAY BE OFFERED AND SOLD ONLY IF REGISTERED AND QUALIFIED PURSUANT TO THE RELEVANT PROVISIONS OF U.S. FEDERAL, STATE AND FOREIGN SECURITIES LAWS OR IF THE COMPANY IS PROVIDED AN OPINION OF COUNSEL SATISFACTORY TO THE COMPANY THAT REGISTRATION AND QUALIFICATION UNDER U.S. FEDERAL, STATE AND FOREIGN SECURITIES LAWS IS NOT REQUIRED.</w:t>
      </w:r>
    </w:p>
    <w:p>
      <w:pPr>
        <w:sectPr>
          <w:pgSz w:w="11900" w:h="16838" w:orient="portrait"/>
          <w:cols w:equalWidth="0" w:num="1">
            <w:col w:w="11380"/>
          </w:cols>
          <w:pgMar w:left="240" w:top="341" w:right="279" w:bottom="0" w:gutter="0" w:footer="0" w:header="0"/>
        </w:sectPr>
      </w:pPr>
    </w:p>
    <w:bookmarkStart w:id="314" w:name="page315"/>
    <w:bookmarkEnd w:id="314"/>
    <w:p>
      <w:pPr>
        <w:spacing w:after="0" w:line="9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the Option is an ISO, then the following legend should be included:</w:t>
      </w:r>
    </w:p>
    <w:p>
      <w:pPr>
        <w:spacing w:after="0" w:line="22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SHARES REPRESENTED BY THIS CERTIFICATE WERE ISSUED UPON EXERCISE OF AN INCENTIVE STOCK OPTION, AND THE COMPANY MUST BE NOTIFIED IF THE SHARES SHALL BE TRANSFERRED BEFORE THE LATER OF THE TWO (2) YEAR ANNIVERSARY OF THE DATE OF GRANT OF THE OPTION OR THE ONE (1) YEAR ANNIVERSARY OF THE DATE ON WHICH THE OPTION WAS EXERCISED. THE REGISTERED HOLDER MAY RECOGNIZE ORDINARY INCOME IF THE SHARES ARE TRANSFERRED BEFORE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19.TAX DISCLAIMER.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agree that you are responsible for consulting your own tax advisor as to the tax consequences associated with your Option. The tax</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rules governing options are complex, change frequently and depend on the individual taxpayer’s situation. Although the Company will make available to you general tax information about stock options, you agree that the Company shall not be held liable or responsible for making such information available to you and any tax or financial consequences that you may incur in connection with your Option.</w:t>
      </w:r>
    </w:p>
    <w:p>
      <w:pPr>
        <w:spacing w:after="0" w:line="19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gives no assurance that adverse tax consequences will not occur and specifically assumes no responsibility therefor. By accepting this Option, you acknowledge that any tax liability or other adverse tax consequences to you resulting from the grant of the Option will be the responsibility of, and will be borne entirely by, you. YOU ARE THEREFORE ENCOURAGED TO CONSULT YOUR OWN TAX ADVISOR BEFORE ACCEPTING THE GRANT OF THIS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20.THE PLAN AND OTHER AGREEMENTS.</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text of the Plan is incorporated in this Agreement by reference. Certain capitalized terms used in this Agreement are defined in the Plan. The Notice of Stock Option Grant, this Agreement, including its attachments, and the Plan constitute the entire understanding between you and the Company regarding this Option. Any prior agreements, commitments or negotiations concerning this Option are superseded.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21.MISCELLANEOUS PROVISIONS.</w:t>
      </w:r>
    </w:p>
    <w:p>
      <w:pPr>
        <w:spacing w:after="0" w:line="229" w:lineRule="exact"/>
        <w:rPr>
          <w:sz w:val="20"/>
          <w:szCs w:val="20"/>
          <w:color w:val="auto"/>
        </w:rPr>
      </w:pPr>
    </w:p>
    <w:p>
      <w:pPr>
        <w:ind w:left="1300" w:right="200" w:hanging="644"/>
        <w:spacing w:after="0" w:line="276" w:lineRule="auto"/>
        <w:tabs>
          <w:tab w:leader="none" w:pos="129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hanging="644"/>
        <w:spacing w:after="0" w:line="286" w:lineRule="auto"/>
        <w:tabs>
          <w:tab w:leader="none" w:pos="1307" w:val="left"/>
        </w:tabs>
        <w:numPr>
          <w:ilvl w:val="0"/>
          <w:numId w:val="279"/>
        </w:numPr>
        <w:rPr>
          <w:rFonts w:ascii="Arial" w:cs="Arial" w:eastAsia="Arial" w:hAnsi="Arial"/>
          <w:sz w:val="17"/>
          <w:szCs w:val="17"/>
          <w:color w:val="auto"/>
        </w:rPr>
      </w:pPr>
      <w:r>
        <w:rPr>
          <w:rFonts w:ascii="Arial" w:cs="Arial" w:eastAsia="Arial" w:hAnsi="Arial"/>
          <w:sz w:val="17"/>
          <w:szCs w:val="17"/>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65" w:lineRule="exact"/>
        <w:rPr>
          <w:rFonts w:ascii="Arial" w:cs="Arial" w:eastAsia="Arial" w:hAnsi="Arial"/>
          <w:sz w:val="17"/>
          <w:szCs w:val="17"/>
          <w:color w:val="auto"/>
        </w:rPr>
      </w:pPr>
    </w:p>
    <w:p>
      <w:pPr>
        <w:ind w:left="1300" w:right="480" w:hanging="644"/>
        <w:spacing w:after="0" w:line="277" w:lineRule="auto"/>
        <w:tabs>
          <w:tab w:leader="none" w:pos="131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70" w:lineRule="exact"/>
        <w:rPr>
          <w:rFonts w:ascii="Arial" w:cs="Arial" w:eastAsia="Arial" w:hAnsi="Arial"/>
          <w:sz w:val="18"/>
          <w:szCs w:val="18"/>
          <w:color w:val="auto"/>
        </w:rPr>
      </w:pPr>
    </w:p>
    <w:p>
      <w:pPr>
        <w:ind w:left="1300" w:right="80" w:hanging="644"/>
        <w:spacing w:after="0" w:line="264" w:lineRule="auto"/>
        <w:tabs>
          <w:tab w:leader="none" w:pos="1307" w:val="left"/>
        </w:tabs>
        <w:numPr>
          <w:ilvl w:val="0"/>
          <w:numId w:val="279"/>
        </w:numPr>
        <w:rPr>
          <w:rFonts w:ascii="Arial" w:cs="Arial" w:eastAsia="Arial" w:hAnsi="Arial"/>
          <w:sz w:val="18"/>
          <w:szCs w:val="18"/>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the your compensation and the fact and conditions of your participation in the Plan, as your employer deems necessary or appropriate to facilitate the administration of the Plan.</w:t>
      </w:r>
    </w:p>
    <w:p>
      <w:pPr>
        <w:spacing w:after="0" w:line="181" w:lineRule="exact"/>
        <w:rPr>
          <w:rFonts w:ascii="Arial" w:cs="Arial" w:eastAsia="Arial" w:hAnsi="Arial"/>
          <w:sz w:val="18"/>
          <w:szCs w:val="18"/>
          <w:color w:val="auto"/>
        </w:rPr>
      </w:pPr>
    </w:p>
    <w:p>
      <w:pPr>
        <w:ind w:left="1300" w:right="640" w:hanging="644"/>
        <w:spacing w:after="0" w:line="264" w:lineRule="auto"/>
        <w:tabs>
          <w:tab w:leader="none" w:pos="131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You hereby explicitly and unambiguously consent to the collection, use and transfer, in electronic or other form, of personal data as described in this document by and among the Company and its related bodies corporate the exclusive purpose of implementing, administering and managing the Plan.</w:t>
      </w:r>
    </w:p>
    <w:p>
      <w:pPr>
        <w:spacing w:after="0" w:line="181" w:lineRule="exact"/>
        <w:rPr>
          <w:rFonts w:ascii="Arial" w:cs="Arial" w:eastAsia="Arial" w:hAnsi="Arial"/>
          <w:sz w:val="18"/>
          <w:szCs w:val="18"/>
          <w:color w:val="auto"/>
        </w:rPr>
      </w:pPr>
    </w:p>
    <w:p>
      <w:pPr>
        <w:ind w:left="1300" w:hanging="644"/>
        <w:spacing w:after="0" w:line="293" w:lineRule="auto"/>
        <w:tabs>
          <w:tab w:leader="none" w:pos="1304" w:val="left"/>
        </w:tabs>
        <w:numPr>
          <w:ilvl w:val="0"/>
          <w:numId w:val="279"/>
        </w:numPr>
        <w:rPr>
          <w:rFonts w:ascii="Arial" w:cs="Arial" w:eastAsia="Arial" w:hAnsi="Arial"/>
          <w:sz w:val="16"/>
          <w:szCs w:val="16"/>
          <w:color w:val="auto"/>
        </w:rPr>
      </w:pPr>
      <w:r>
        <w:rPr>
          <w:rFonts w:ascii="Arial" w:cs="Arial" w:eastAsia="Arial" w:hAnsi="Arial"/>
          <w:sz w:val="16"/>
          <w:szCs w:val="16"/>
          <w:color w:val="auto"/>
        </w:rPr>
        <w:t>You acknowledge that the Company holds certain personal information about the you, including, but not limited to, your name, home address and telephone number, date of birth, tax file number or other identification number, salary, nationality, job title, any shares or directorships held in the Company, details of all Options or any other entitlement to shares awarded, canceled, exercised, vested, unvested or outstanding in the your favour, for the purpose of implementing, administering and managing the Plan (“Data”). You consent to that Data being transferred to any third parties assisting in the implementation, administration and management of the Plan, that these recipients may be located in your country or elsewhere, and that the recipient’s country may have different data privacy laws and protections than your</w:t>
      </w:r>
    </w:p>
    <w:p>
      <w:pPr>
        <w:sectPr>
          <w:pgSz w:w="11900" w:h="16934" w:orient="portrait"/>
          <w:cols w:equalWidth="0" w:num="1">
            <w:col w:w="11420"/>
          </w:cols>
          <w:pgMar w:left="240" w:top="125" w:right="239" w:bottom="0" w:gutter="0" w:footer="0" w:header="0"/>
        </w:sectPr>
      </w:pPr>
    </w:p>
    <w:bookmarkStart w:id="315" w:name="page316"/>
    <w:bookmarkEnd w:id="315"/>
    <w:p>
      <w:pPr>
        <w:ind w:left="1300"/>
        <w:spacing w:after="0" w:line="289" w:lineRule="auto"/>
        <w:rPr>
          <w:sz w:val="20"/>
          <w:szCs w:val="20"/>
          <w:color w:val="auto"/>
        </w:rPr>
      </w:pPr>
      <w:r>
        <w:rPr>
          <w:rFonts w:ascii="Arial" w:cs="Arial" w:eastAsia="Arial" w:hAnsi="Arial"/>
          <w:sz w:val="16"/>
          <w:szCs w:val="16"/>
          <w:color w:val="auto"/>
        </w:rPr>
        <w:t>country. You understand that you request a list with the names and addresses of any potential recipients of the Data by contacting your local human resources representative. You authorize the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you may elect to deposit any shares acquired upon exercise of the Option. You understand that Data will be held only as long as is necessary to implement, administer and manage the you participation in the Plan. You understand that he or she may, at any time, view Data, request additional information about the storage and processing of Data, require any necessary amendments to Data or refuse or withdraw the consents herein, in any case without cost, by contacting in writing the Participant’s local human resources representative. You understand, however, that refusing or withdrawing consent may affect your ability to participate in the Plan. For more information on the consequences of a refusal to consent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withdrawal of consent, you understand that he or she may contact the Participant’s local human resources representative.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21.APPLICABLE LAW.</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This Agreement will be interpreted and enforced under the laws of the State of New York (without regard to their choice of law provisions) save in relation to Australian taxation legislation which will be interpreted and enforced in accordance with the laws of Australia.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10GEN, INC. 2008 STOCK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EXERCISE AND COMMON STOCK PURCHASE AGREEMENT</w:t>
      </w:r>
    </w:p>
    <w:p>
      <w:pPr>
        <w:spacing w:after="0" w:line="211" w:lineRule="exact"/>
        <w:rPr>
          <w:sz w:val="20"/>
          <w:szCs w:val="20"/>
          <w:color w:val="auto"/>
        </w:rPr>
      </w:pPr>
    </w:p>
    <w:p>
      <w:pPr>
        <w:ind w:left="660"/>
        <w:spacing w:after="0"/>
        <w:tabs>
          <w:tab w:leader="none" w:pos="3720" w:val="left"/>
          <w:tab w:leader="none" w:pos="4000" w:val="left"/>
        </w:tabs>
        <w:rPr>
          <w:sz w:val="20"/>
          <w:szCs w:val="20"/>
          <w:color w:val="auto"/>
        </w:rPr>
      </w:pPr>
      <w:r>
        <w:rPr>
          <w:rFonts w:ascii="Arial" w:cs="Arial" w:eastAsia="Arial" w:hAnsi="Arial"/>
          <w:sz w:val="18"/>
          <w:szCs w:val="18"/>
          <w:color w:val="auto"/>
        </w:rPr>
        <w:t>THIS AGREEMENT is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between MongoDB, Inc. (the “Company”), and [First Name Last Name]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-10160</wp:posOffset>
            </wp:positionV>
            <wp:extent cx="48577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WHEREAS, the Company granted Purchaser a stock option on [Date of Grant] (the “Date of Grant”) pursuant to a stock option agreement (the “Option Agreement”) under which Purchaser has the right to purchase up to [Options Granted] shares of the Company’s Class A Common Stock (the “Option Shares”);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Option is exercisable with respect to certain of the Option Shares as of the date hereof; and</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WHEREAS, pursuant to the Option Agreement, Purchaser desires to purchase shares of the Company as herein described, on the terms and conditions set forth in this Agreement, the Option Agreement and the 10Gen, Inc. 2008 Stock Incentive Plan (the “Plan”). Certain capitalized terms used in this Agreement are defined in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 between the parties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22.PURCHASE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Pursuant to the terms of the Option Agreement, Purchaser hereby agrees to purchase from the Company and the Company agrees to sell and</w:t>
      </w:r>
    </w:p>
    <w:p>
      <w:pPr>
        <w:spacing w:after="0" w:line="46" w:lineRule="exact"/>
        <w:rPr>
          <w:rFonts w:ascii="Arial" w:cs="Arial" w:eastAsia="Arial" w:hAnsi="Arial"/>
          <w:sz w:val="16"/>
          <w:szCs w:val="16"/>
          <w:color w:val="auto"/>
        </w:rPr>
      </w:pPr>
    </w:p>
    <w:p>
      <w:pPr>
        <w:ind w:left="1300" w:right="20"/>
        <w:spacing w:after="0" w:line="255" w:lineRule="auto"/>
        <w:rPr>
          <w:rFonts w:ascii="Arial" w:cs="Arial" w:eastAsia="Arial" w:hAnsi="Arial"/>
          <w:sz w:val="16"/>
          <w:szCs w:val="16"/>
          <w:color w:val="auto"/>
        </w:rPr>
      </w:pPr>
      <w:r>
        <w:rPr>
          <w:rFonts w:ascii="Arial" w:cs="Arial" w:eastAsia="Arial" w:hAnsi="Arial"/>
          <w:sz w:val="18"/>
          <w:szCs w:val="18"/>
          <w:color w:val="auto"/>
        </w:rPr>
        <w:t>issue to Purchaser [ ] shares of the Company’s Class A common stock (the “Common Stock”) for the Exercise Price per share specified in the Notice of Stock Option Grant payable by personal check, cashier’s check, money order or otherwise as permitted by the Option Agreement. Payment shall be delivered at the Closing, as such term is defined below.</w:t>
      </w:r>
    </w:p>
    <w:p>
      <w:pPr>
        <w:spacing w:after="0" w:line="190" w:lineRule="exact"/>
        <w:rPr>
          <w:rFonts w:ascii="Arial" w:cs="Arial" w:eastAsia="Arial" w:hAnsi="Arial"/>
          <w:sz w:val="16"/>
          <w:szCs w:val="16"/>
          <w:color w:val="auto"/>
        </w:rPr>
      </w:pPr>
    </w:p>
    <w:p>
      <w:pPr>
        <w:ind w:left="1300" w:right="300" w:hanging="644"/>
        <w:spacing w:after="0" w:line="277" w:lineRule="auto"/>
        <w:tabs>
          <w:tab w:leader="none" w:pos="130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closing (the “Closing”) under this Agreement shall occur at the offices of the Company as of the date hereof, or such other time and place as may be designated by the Company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-730885</wp:posOffset>
            </wp:positionV>
            <wp:extent cx="25717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23.REPURCHASE RIGHT.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All shares of the Stock purchased by Purchaser pursuant to this Agreement that have not vested under the terms of the Option Agreement, together with any shares of Common Stock issued as a dividend or other distribution on, in exchange for or upon the conversion of such unvested Stock (collectively, the “Subject Shares”) shall be subject to the following right of repurchase by the Company (the “Repurchase Right”). The Company shall have the right, within ninety (90) days after the termination of Purchaser’s services to the Company (the “Termination Date”), to purchase from Purchaser all Subject Shares as of the Termination Date.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60" w:gutter="0" w:footer="0" w:header="0"/>
        </w:sectPr>
      </w:pPr>
    </w:p>
    <w:bookmarkStart w:id="316" w:name="page317"/>
    <w:bookmarkEnd w:id="316"/>
    <w:p>
      <w:pPr>
        <w:spacing w:after="0" w:line="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repurchase price shall be the Exercise Price per share paid by Purchaser for such shares pursuant to this Agreement. For purposes of this Section 2, the date the Company exercises its Repurchase Right shall be deemed to be the Termination Date. The Repurchase Right under this Section 2 shall lapse with respect to the Subject Shares in accordance with the vesting schedule in the Option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24.EXERCISE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The Company shall be deemed to have exercised its Repurchase Right automatically for all Subject Shares as of the Termination Date, unless within ninety (90) days thereafter, the Company notifies the holder of the Subject Shares pursuant to Section 16 that it will not exercise its Repurchase Rights as to some or all of the Subject Shares. The certificate(s) representing the shares to be repurchased shall be delivered to the Company properly endorsed for transfer. The Company shall, concurrently with the receipt of such certificate(s), pay to Purchaser the repurchase price determined according to Section 2, above. The repurchase price shall be paid by certified or cashier’s check or by cancellation of any purchase money indebtedness of Purchaser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25.WAIVER, ASSIGNMENT, EXPIRATION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If the Company waives or fails to exercise the Repurchase Right as to all of the shares subject thereto, the Company may, in the discretion of its Board of Directors, assign the Repurchase Right to any other holder or holders of preferred or common stock of the Company in such proportions as such Board of Directors may determine. In the event of such an assignment, the Board may require that the assignee pay to the Company in cash an amount equal to the fair market value of the Repurchase Right. The Company shall promptly, prior to expiration of the ninety (90) day period referred to in Section 2 above, notify Purchaser of the number of shares subject to the Repurchase Right assigned to such stockholders and shall notify both Purchaser and the assignees of the time, place and date for settlement of such purchase, which must be made within ninety (90) days from the Termination Date. In the event that the Company and/or such assignees do not elect to exercise the Repurchase Right as to all or part of the shares subject to it, the Repurchase Right shall expire as to all shares which the Company and/or such assignees have not elected to purchase.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26.ESCROW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73" w:lineRule="auto"/>
        <w:tabs>
          <w:tab w:leader="none" w:pos="129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To ensure that Purchaser’s unvested Shares are delivered to the Company upon its exercise of its Repurchase Right, Purchaser agrees at the Closing under this Agreement, to deliver to and deposit with the escrow agent (the “Escrow Agent”) named in the Joint Escrow Instructions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certificate(s) evidencing the unvested Shares and an Assignment Separate from Certificate executed by Purchaser (with date and number of shares in blank) in the form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The certificate(s) evidencing the unvested Shares and the Assignment Separate from Certificate shall be delivered to the Escrow Agent and held under the Joint Escrow Instructions, which shall be delivered to the Escrow Agent at the Closing under this Agreement.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hanging="644"/>
        <w:spacing w:after="0" w:line="297" w:lineRule="auto"/>
        <w:tabs>
          <w:tab w:leader="none" w:pos="130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Within thirty (30) days after the last day of each successive completed calendar quarter after the Closing Date, if Purchaser so requests, the Escrow Agent shall deliver to Purchaser certificates representing so many shares of Common Stock as are no longer subject to the Repurchase Right (less such shares as have been previously delivered). Ninety (90) days after the Termination Date, the Company shall direct the Escrow Agent to deliver to Purchaser a certificate or certificates representing the number of shares not repurchased by the Company or its assignees pursuant to exercise of the Repurchase Right (less such shares as have been previously delivered).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27.ADJUSTMENT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Subject to the provisions of the Certificate of Incorporation of the Company, if (a) there is any stock dividend or liquidating dividend of cash and/or property, stock split or other change in the character or amount of any of the outstanding securities of the Company, or (b) there is any consolidation, merger or sale of all or substantially all of the assets of the Company, then, in such event, any and all new, substituted or additional securities or other property to which Purchaser is entitled by reason of Purchaser’s ownership of the shares shall be immediately subject to the Repurchase Right and the Right of First Refusal, as defined below, with the same force and effect as the shares subject to the Repurchase Right and the Right of First Refusal. While the total repurchase price shall remain the same after each such event, the repurchase price per share upon exercise of the Repurchase Right shall be appropriately and equitably adjusted as determined by the Board of Directors of the Company. Appropriate adjustments shall also be made to the number and/or class of shares subject to the Repurchase Right and the Right of First Refusal to reflect the exchange or distribution of such securities. In the event of a merger or consolidation of the Company with or into another entity or any other corporate reorganization, the Repurchase Right and Right of First Refusal may be exercised by the Company’s successor.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28.THE COMPANY’S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Before any shares of Common Stock registered in the name of Purchaser may be sold or transferred, such shares shall first be offered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as follows (the “Right of First Refusal”):</w:t>
      </w:r>
    </w:p>
    <w:p>
      <w:pPr>
        <w:spacing w:after="0" w:line="211" w:lineRule="exact"/>
        <w:rPr>
          <w:sz w:val="20"/>
          <w:szCs w:val="20"/>
          <w:color w:val="auto"/>
        </w:rPr>
      </w:pPr>
    </w:p>
    <w:p>
      <w:pPr>
        <w:ind w:left="1300" w:hanging="644"/>
        <w:spacing w:after="0" w:line="255" w:lineRule="auto"/>
        <w:tabs>
          <w:tab w:leader="none" w:pos="129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Purchaser shall promptly deliver a notice (“Notice”) to the Company stating (i) Purchaser’s bona fide intention to sell or transfer such shares, (ii) the number of such shares to be sold or transferred, and the basic terms and conditions of such sale or transfer, (iii) the price for which Purchaser proposes to sell or transfer such shares, (iv) the name of the proposed purchaser or transferee, and (v) proof satisfactory to the Company that the proposed sale or transfer will not violate any applicable U.S. federal, state or foreign securities laws. The Notice shall be signed by both Purchaser and the proposed purchaser or transferee and must constitute a binding commitment subject to the Company’s Right of First Refusal as set forth herein.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ectPr>
          <w:pgSz w:w="11900" w:h="16848" w:orient="portrait"/>
          <w:cols w:equalWidth="0" w:num="1">
            <w:col w:w="11400"/>
          </w:cols>
          <w:pgMar w:left="240" w:top="585" w:right="259" w:bottom="0" w:gutter="0" w:footer="0" w:header="0"/>
        </w:sectPr>
      </w:pPr>
    </w:p>
    <w:bookmarkStart w:id="317" w:name="page318"/>
    <w:bookmarkEnd w:id="317"/>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hanging="644"/>
        <w:spacing w:after="0" w:line="272" w:lineRule="auto"/>
        <w:tabs>
          <w:tab w:leader="none" w:pos="1307" w:val="left"/>
        </w:tabs>
        <w:numPr>
          <w:ilvl w:val="0"/>
          <w:numId w:val="284"/>
        </w:numPr>
        <w:rPr>
          <w:rFonts w:ascii="Arial" w:cs="Arial" w:eastAsia="Arial" w:hAnsi="Arial"/>
          <w:sz w:val="17"/>
          <w:szCs w:val="17"/>
          <w:color w:val="auto"/>
        </w:rPr>
      </w:pPr>
      <w:r>
        <w:rPr>
          <w:rFonts w:ascii="Arial" w:cs="Arial" w:eastAsia="Arial" w:hAnsi="Arial"/>
          <w:sz w:val="17"/>
          <w:szCs w:val="17"/>
          <w:color w:val="auto"/>
        </w:rPr>
        <w:t>Within thirty (30) days after receipt of the Notice, the Company may elect to purchase all or any portion of the shares to which the Notice refers, at the price per share specified in the Notice. If the Company elects not to purchase all or any portion of the shares, the Company may assign its right to purchase all or any portion of the shares. The assignees may elect within thirty (30) days after receipt by the Company of the Notice to purchase all or any portion of the shares to which the Notice refers, at the price per share specified in the Notice. An election to purchase shall be made by written notice to Purchaser. Payment for shares purchased pursuant to this Section 7 shall be made within thirty (30) days after receipt of the Notice by the Company and, at the option of the Company, may be made by cancellation of all or a portion of outstanding indebtedness, if any, or in cash or both.</w:t>
      </w:r>
    </w:p>
    <w:p>
      <w:pPr>
        <w:spacing w:after="0" w:line="177" w:lineRule="exact"/>
        <w:rPr>
          <w:rFonts w:ascii="Arial" w:cs="Arial" w:eastAsia="Arial" w:hAnsi="Arial"/>
          <w:sz w:val="17"/>
          <w:szCs w:val="17"/>
          <w:color w:val="auto"/>
        </w:rPr>
      </w:pPr>
    </w:p>
    <w:p>
      <w:pPr>
        <w:ind w:left="1300" w:right="120" w:hanging="644"/>
        <w:spacing w:after="0" w:line="255" w:lineRule="auto"/>
        <w:tabs>
          <w:tab w:leader="none" w:pos="131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If all or any portion of the shares to which the Notice refers are not elected to be purchased, as provided in subparagraph 7(b), Purchaser may sell those shares to any person named in the Notice at the price specified in the Notice, provided that such sale or transfer is consummated within sixty (60) days of the date of said Notice to the Company, and provided, further, that any such sale is made in compliance with applicable U.S. federal, state and foreign securities laws and not in violation of any other contractual restrictions to which Purchaser is bound. The third-party purchaser shall be bound by, and shall acquire the shares of stock subject to, the provisions of this Agreement, including the Company’s Right of First Refusal.</w:t>
      </w:r>
    </w:p>
    <w:p>
      <w:pPr>
        <w:spacing w:after="0" w:line="193" w:lineRule="exact"/>
        <w:rPr>
          <w:rFonts w:ascii="Arial" w:cs="Arial" w:eastAsia="Arial" w:hAnsi="Arial"/>
          <w:sz w:val="18"/>
          <w:szCs w:val="18"/>
          <w:color w:val="auto"/>
        </w:rPr>
      </w:pPr>
    </w:p>
    <w:p>
      <w:pPr>
        <w:ind w:left="1300" w:hanging="644"/>
        <w:spacing w:after="0" w:line="342" w:lineRule="auto"/>
        <w:tabs>
          <w:tab w:leader="none" w:pos="1307"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Any proposed transfer on terms and conditions different from those set forth in the Notice, as well as any subsequent proposed transfer shall again be subject to the Company’s Right of First Refusal and shall require compliance with the procedures described in this Section 7.</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1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Purchaser agrees to cooperate affirmatively with the Company, to the extent reasonably requested by the Company, to enforce rights and obligations pursuant to this Agreement.</w:t>
      </w:r>
    </w:p>
    <w:p>
      <w:pPr>
        <w:spacing w:after="0" w:line="170" w:lineRule="exact"/>
        <w:rPr>
          <w:rFonts w:ascii="Arial" w:cs="Arial" w:eastAsia="Arial" w:hAnsi="Arial"/>
          <w:sz w:val="18"/>
          <w:szCs w:val="18"/>
          <w:color w:val="auto"/>
        </w:rPr>
      </w:pPr>
    </w:p>
    <w:p>
      <w:pPr>
        <w:ind w:left="1300" w:right="420" w:hanging="644"/>
        <w:spacing w:after="0" w:line="286" w:lineRule="auto"/>
        <w:tabs>
          <w:tab w:leader="none" w:pos="130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Notwithstanding the above, neither the Company nor any assignee of the Company under this Section 7 shall have any right under this Section 7 at any time subsequent to the closing of a public offering of the common stock of the Company pursuant to a registration statement declared effective under the U.S. Securities Act of 1933, as amended (the “Securities Act”).</w:t>
      </w:r>
    </w:p>
    <w:p>
      <w:pPr>
        <w:spacing w:after="0" w:line="165" w:lineRule="exact"/>
        <w:rPr>
          <w:rFonts w:ascii="Arial" w:cs="Arial" w:eastAsia="Arial" w:hAnsi="Arial"/>
          <w:sz w:val="17"/>
          <w:szCs w:val="17"/>
          <w:color w:val="auto"/>
        </w:rPr>
      </w:pPr>
    </w:p>
    <w:p>
      <w:pPr>
        <w:ind w:left="1300" w:right="20" w:hanging="644"/>
        <w:spacing w:after="0" w:line="259" w:lineRule="auto"/>
        <w:tabs>
          <w:tab w:leader="none" w:pos="1321"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This Section 7 shall not apply to (i) a transfer by will or intestate succession, or (ii) a transfer to one or more members of Purchaser’s Immediate Family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Purchaser. The transferee shall execute a copy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29.PURCHASER’S RIGHTS AFTER EXERCISE OF REPURCHASE RIGHT OR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the Company makes available, at the time and place and in the amount and form provided in this Agreement, the consideration for the Common Stock to be repurchased in accordance with the provisions of Sections 2 and 7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to have been repurchased in accordance with the applicable provisions hereof, whether or not the certificate(s) therefor have been delivered as required by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30.TRANSFER BY PURCHASER TO CERTAIN PEOPLE</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55" w:lineRule="auto"/>
        <w:tabs>
          <w:tab w:leader="none" w:pos="1297"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Purchaser may not transfer, assign, encumber or otherwise dispose of any Subject Shares without the Company’s written consent, except that Purchaser may transfer Subject Shares to one or more members of Purchaser’s Immediate Family (as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 Purchaser. The transferee shall execute a copy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93" w:lineRule="exact"/>
        <w:rPr>
          <w:rFonts w:ascii="Arial" w:cs="Arial" w:eastAsia="Arial" w:hAnsi="Arial"/>
          <w:sz w:val="18"/>
          <w:szCs w:val="18"/>
          <w:color w:val="auto"/>
        </w:rPr>
      </w:pPr>
    </w:p>
    <w:p>
      <w:pPr>
        <w:ind w:left="1300" w:right="80" w:hanging="644"/>
        <w:spacing w:after="0" w:line="342" w:lineRule="auto"/>
        <w:tabs>
          <w:tab w:leader="none" w:pos="1307" w:val="left"/>
        </w:tabs>
        <w:numPr>
          <w:ilvl w:val="0"/>
          <w:numId w:val="285"/>
        </w:numPr>
        <w:rPr>
          <w:rFonts w:ascii="Arial" w:cs="Arial" w:eastAsia="Arial" w:hAnsi="Arial"/>
          <w:sz w:val="16"/>
          <w:szCs w:val="16"/>
          <w:color w:val="auto"/>
        </w:rPr>
      </w:pPr>
      <w:r>
        <w:rPr>
          <w:rFonts w:ascii="Arial" w:cs="Arial" w:eastAsia="Arial" w:hAnsi="Arial"/>
          <w:sz w:val="16"/>
          <w:szCs w:val="16"/>
          <w:color w:val="auto"/>
        </w:rPr>
        <w:t>For purposes of this Agreement, Immediate Family means any child, stepchild, grandchild, parent, stepparent, grandparent, spouse, sibling, mother-in-law, father-in-law, son-in-law, daughter-in-law, brother-in-law or sister-in-law, and shall include adoptive relationships.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31.LEGEND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certificates representing the Common Stock purchased under this Agreement shall, where applicable, have endorsed thereon the following legends and any other legends required by applicable securities laws:</w:t>
      </w:r>
    </w:p>
    <w:p>
      <w:pPr>
        <w:spacing w:after="0" w:line="170"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ectPr>
          <w:pgSz w:w="11900" w:h="16888" w:orient="portrait"/>
          <w:cols w:equalWidth="0" w:num="1">
            <w:col w:w="11420"/>
          </w:cols>
          <w:pgMar w:left="240" w:top="125" w:right="239" w:bottom="0" w:gutter="0" w:footer="0" w:header="0"/>
        </w:sectPr>
      </w:pPr>
    </w:p>
    <w:bookmarkStart w:id="318" w:name="page319"/>
    <w:bookmarkEnd w:id="318"/>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REGISTRATION AND QUALIFICATION UNDER U.S. FEDERAL AND STATE AND APPLICABLE FOREIGN SECURITIES LAWS IS NOT REQUIRED.</w:t>
      </w:r>
    </w:p>
    <w:p>
      <w:pPr>
        <w:spacing w:after="0" w:line="170"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the Option is an ISO, then the following legend should be included:</w:t>
      </w:r>
    </w:p>
    <w:p>
      <w:pPr>
        <w:spacing w:after="0" w:line="225"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THE SHARES REPRESENTED BY THIS CERTIFICATE WERE ISSUED UPON EXERCISE OF AN INCENTIVE STOCK OPTION, AND THE COMPANY MUST BE NOTIFIED IF THE SHARES SHALL BE TRANSFERRED BEFORE THE LATER OF THE TWO (2) YEAR ANNIVERSARY OF THE DATE OF GRANT OF THE OPTION OR THE ONE (1) YEAR ANNIVERSARY OF THE DATE ON WHICH THE OPTION WAS EXERCISED. THE REGISTERED HOLDER MAY RECOGNIZE ORDINARY INCOME IF THE SHARES ARE TRANSFERRED BEFORE SUCH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32.PURCHASER’S INVESTMENT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20" w:hanging="644"/>
        <w:spacing w:after="0" w:line="291" w:lineRule="auto"/>
        <w:tabs>
          <w:tab w:leader="none" w:pos="1297"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This Agreement is made with Purchaser in reliance upon Purchaser’s representation to the Company, which by Purchaser’s acceptance hereof Purchaser confirms, that the Common Stock which Purchaser will receive will be acquired with Purchaser’s own funds for investment for an indefinite period for Purchaser’s own account, not as a nominee or agent, and not with a view to the sale or distribution of any part thereof, and that Purchaser has no present intention of selling, granting participation in, or otherwise distributing the same, but subject, nevertheless, to any requirement of law that the disposition of Purchaser’s property shall at all times be within Purchaser’s control. By executing this Agreement, Purchaser further represents that Purchaser does not have any contract, understanding or agreement with any person to sell, transfer, or grant participation to such person or to any third person, with respect to any of the Common Stock.</w:t>
      </w:r>
    </w:p>
    <w:p>
      <w:pPr>
        <w:spacing w:after="0" w:line="167" w:lineRule="exact"/>
        <w:rPr>
          <w:rFonts w:ascii="Arial" w:cs="Arial" w:eastAsia="Arial" w:hAnsi="Arial"/>
          <w:sz w:val="16"/>
          <w:szCs w:val="16"/>
          <w:color w:val="auto"/>
        </w:rPr>
      </w:pPr>
    </w:p>
    <w:p>
      <w:pPr>
        <w:jc w:val="both"/>
        <w:ind w:left="1300" w:right="200" w:hanging="644"/>
        <w:spacing w:after="0" w:line="264" w:lineRule="auto"/>
        <w:tabs>
          <w:tab w:leader="none" w:pos="130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Purchaser understands that the Common Stock will not be registered or qualified under applicable U.S. federal, state or foreign securities laws on the ground that the sale provided for in this Agreement is exempt from registration or qualification under applicable U.S. federal, state or foreign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that the Company’s reliance on such exemption is predicated on Purchaser’s representations set forth herein.</w:t>
      </w:r>
    </w:p>
    <w:p>
      <w:pPr>
        <w:spacing w:after="0" w:line="225" w:lineRule="exact"/>
        <w:rPr>
          <w:sz w:val="20"/>
          <w:szCs w:val="20"/>
          <w:color w:val="auto"/>
        </w:rPr>
      </w:pPr>
    </w:p>
    <w:p>
      <w:pPr>
        <w:ind w:left="1300" w:right="20" w:hanging="644"/>
        <w:spacing w:after="0" w:line="255" w:lineRule="auto"/>
        <w:tabs>
          <w:tab w:leader="none" w:pos="131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Purchaser agrees that in no event shall Purchaser make a disposition of any of the Common Stock (including a disposition under Section 9 of this Agreement), unless and until (i) Purchaser shall have notified the Company of the proposed disposition and shall have furnished the Company with a statement of the circumstances surrounding the proposed disposition and (ii) Purchaser shall have furnished the Company with an opinion of counsel satisfactory to the Company to the effect that (A) such disposition will not require registration or qualification of such Common Stock under applicable U.S. federal, state or foreign securities laws or (B) appropriate action necessary for compliance with the U.S. federal, state or foreign securities laws has been taken or (iii) the Company shall have waived, expressly and in writing, its rights under clauses (i) and (ii) of this Section.</w:t>
      </w:r>
    </w:p>
    <w:p>
      <w:pPr>
        <w:spacing w:after="0" w:line="189" w:lineRule="exact"/>
        <w:rPr>
          <w:rFonts w:ascii="Arial" w:cs="Arial" w:eastAsia="Arial" w:hAnsi="Arial"/>
          <w:sz w:val="18"/>
          <w:szCs w:val="18"/>
          <w:color w:val="auto"/>
        </w:rPr>
      </w:pPr>
    </w:p>
    <w:p>
      <w:pPr>
        <w:ind w:left="1300" w:right="120" w:hanging="644"/>
        <w:spacing w:after="0" w:line="290" w:lineRule="auto"/>
        <w:tabs>
          <w:tab w:leader="none" w:pos="1307" w:val="left"/>
        </w:tabs>
        <w:numPr>
          <w:ilvl w:val="0"/>
          <w:numId w:val="287"/>
        </w:numPr>
        <w:rPr>
          <w:rFonts w:ascii="Arial" w:cs="Arial" w:eastAsia="Arial" w:hAnsi="Arial"/>
          <w:sz w:val="16"/>
          <w:szCs w:val="16"/>
          <w:color w:val="auto"/>
        </w:rPr>
      </w:pPr>
      <w:r>
        <w:rPr>
          <w:rFonts w:ascii="Arial" w:cs="Arial" w:eastAsia="Arial" w:hAnsi="Arial"/>
          <w:sz w:val="16"/>
          <w:szCs w:val="16"/>
          <w:color w:val="auto"/>
        </w:rPr>
        <w:t>With respect to a transaction occurring prior to such date as the Plan and Common Stock thereunder are covered by a valid Form S-8 or similar U.S. federal registration statement, this Subsection shall apply unless the transaction is covered by the exemption in California Corporations Code section 25102(o) or a similar broad-based exemption. In connection with the investment representations made herein, Purchaser represents that Purchaser is able to fend for himself or herself in the transactions contemplated by this Agreement, has such knowledge and experience in financial and business matters as to be capable of evaluating the merits and risks of Purchaser’s investment, has the ability to bear the economic risks of Purchaser’s investment and has been furnished with and has had access to such information as would be made available in the form of a registration statement together with such additional information as is necessary to verify the accuracy of the information supplied and to have all questions answered by the Company.</w:t>
      </w:r>
    </w:p>
    <w:p>
      <w:pPr>
        <w:spacing w:after="0" w:line="166" w:lineRule="exact"/>
        <w:rPr>
          <w:rFonts w:ascii="Arial" w:cs="Arial" w:eastAsia="Arial" w:hAnsi="Arial"/>
          <w:sz w:val="16"/>
          <w:szCs w:val="16"/>
          <w:color w:val="auto"/>
        </w:rPr>
      </w:pPr>
    </w:p>
    <w:p>
      <w:pPr>
        <w:ind w:left="1300" w:right="160" w:hanging="644"/>
        <w:spacing w:after="0" w:line="293" w:lineRule="auto"/>
        <w:tabs>
          <w:tab w:leader="none" w:pos="131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Purchaser understands that if the Company does not register with the Securities and Exchange Commission pursuant to section 12 of the U.S. Securities Exchange Act of 1934, as amended, or if a registration statement covering the Common Stock (or a filing pursuant to the exemption from registration under Regulation A of the Securities Act) under the Securities Act is not in effect when Purchaser desires to sell the Common Stock, Purchaser may be required to hold the Common Stock for an indeterminate period. Purchaser also acknowledges that Purchaser understands that any sale of the Common Stock which might be made by Purchaser in reliance upon Rule 144 under the Securities Act may be made only in limited amounts in accordance with the terms and conditions of that Rule.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33.NO DUTY TO TRANSFER IN VIOLATION OF THIS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The Company shall not be required (a) to transfer on its books any shares of Common Stock of the Company which shall have been sold or transferred in violation of any of the provisions set forth in this Agreement or (b) to treat as owner of such shares or to accord the</w:t>
      </w:r>
    </w:p>
    <w:p>
      <w:pPr>
        <w:sectPr>
          <w:pgSz w:w="11900" w:h="16838" w:orient="portrait"/>
          <w:cols w:equalWidth="0" w:num="1">
            <w:col w:w="11400"/>
          </w:cols>
          <w:pgMar w:left="240" w:top="341" w:right="259" w:bottom="0" w:gutter="0" w:footer="0" w:header="0"/>
        </w:sectPr>
      </w:pPr>
    </w:p>
    <w:bookmarkStart w:id="319" w:name="page320"/>
    <w:bookmarkEnd w:id="319"/>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right to vote as such owner or to pay dividends to any transferee to whom such shares shall have been so transferred.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34.RIGHTS OF 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20" w:hanging="644"/>
        <w:spacing w:after="0" w:line="277" w:lineRule="auto"/>
        <w:tabs>
          <w:tab w:leader="none" w:pos="129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Except as otherwise provided herein, Purchaser shall, during the term of this Agreement, exercise all rights and privileges of a stockholder of the Company with respect to the Common Stock.</w:t>
      </w:r>
    </w:p>
    <w:p>
      <w:pPr>
        <w:spacing w:after="0" w:line="170"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288"/>
        </w:numPr>
        <w:rPr>
          <w:rFonts w:ascii="Arial" w:cs="Arial" w:eastAsia="Arial" w:hAnsi="Arial"/>
          <w:sz w:val="18"/>
          <w:szCs w:val="18"/>
          <w:color w:val="auto"/>
        </w:rPr>
      </w:pPr>
      <w:r>
        <w:rPr>
          <w:rFonts w:ascii="Arial" w:cs="Arial" w:eastAsia="Arial" w:hAnsi="Arial"/>
          <w:sz w:val="18"/>
          <w:szCs w:val="18"/>
          <w:color w:val="auto"/>
        </w:rPr>
        <w:t>Nothing in this Agreement shall be construed as a right by Purchaser to be retained by the Company, or a parent or subsidiary of the Company in any capacity. The Company reserves the right to terminate Purchaser’s Service at any time and for any reason without thereby incurring any liability to Purchaser.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35.RESALE RESTRICTIONS/MARKET STAND-OFF</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Purchaser hereby agrees that in connection with any underwritten public offering by the Company of its equity securities pursuant to an effective registration statement filed under the Securities Act, including the Company’s initial public offering, Purchaser shall not, directly or indirectly, engage in any transaction prohibited by the underwriter, or sell, make any short sale of, contract to sell, transfer the economic risk of ownership in, loan, hypothecate, pledge, grant any option for the purchase of, or otherwise dispose or transfer for value or agree to engage in any of the foregoing transactions with respect to any Common Stock without the prior written consent of the Company or its underwriters, for such period of time after the effective date of such registration statement as may be requested by the Company or such underwriters. Such period of time shall not exceed one hundred eighty (180) days; provided, however, that if either (a) during the last seventeen (17) days of such one hundred eighty (180) day period, the Company issues an earnings release or material news or a material event relating to the Company occurs or (b) prior to the expiration of such one hundred eighty (180) day period, the Company announces that it will release earnings results during the sixteen (16) day period beginning on the last day of the one hundred eighty (180) day period, then the restrictions imposed during such one hundred eighty (180) day period shall continue to apply until the expiration of the eighteen (18) day period beginning on the issuance of the earnings release or the occurrence of the material news or material event; and provided, further, that in the event the Company or the underwriter requests that the one hundred eighty (180) day period be extended or modified pursuant to then-applicable law, rules, regulations or trading policies, the restrictions imposed during the one hundred eighty (180) day period shall continue to apply to the extent requested by the Company or the underwriter to comply with such law, rules, regulations or trading policies. Purchaser hereby agrees to execute and deliver such other agreements as may be reasonably requested by the Company or the underwriter which are consistent with the foregoing or which are necessary to give further effect thereto. To enforce the provisions of this Section, the Company may impose stop-transfer instructions with respect to the Common Stock until the end of the applicable stand-off period.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36.OTHER NECESSARY ACTIONS</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37.NOTICE</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deposit in the United States Post Office or the equivalent office in any jurisdiction in which Purchaser is resident with postage and fees prepaid, addressed to the other party hereto at the address last known or at such other address as such party may designate by ten (10) days’ advance written notice to the other party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38.SUCCESSORS AND ASSIGNS</w:t>
      </w:r>
      <w:r>
        <w:rPr>
          <w:rFonts w:ascii="Arial" w:cs="Arial" w:eastAsia="Arial" w:hAnsi="Arial"/>
          <w:sz w:val="18"/>
          <w:szCs w:val="18"/>
          <w:b w:val="1"/>
          <w:bCs w:val="1"/>
          <w:color w:val="auto"/>
        </w:rPr>
        <w: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This Agreement shall inure to the benefit of the successors and assigns of the Company and, subject to the restrictions on transfer herein set forth, be binding upon Purchaser and Purchaser’s heirs, executors, administrators, successors and assigns. The failure of the Company in any instance to exercise the Repurchase Right or Right of First Refusal described herein shall not constitute a waiver of any other Repurchase Right or Right of First Refusal that may subsequently arise under the provisions of this Agreement. No waiver of any breach or condition of this Agreement shall be deemed to be a waiver of any other or subsequent breach or condition, whether of a like or different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39.APPLICABLE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as such laws are applied to contracts entered into and performed in such state save in relation to the Australian taxation legislation provisions applicable to this Agreement which will be interpreted and enforced in accordance with the laws of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40.NO STATE QUALIFICATION</w:t>
      </w:r>
      <w:r>
        <w:rPr>
          <w:rFonts w:ascii="Arial" w:cs="Arial" w:eastAsia="Arial" w:hAnsi="Arial"/>
          <w:sz w:val="18"/>
          <w:szCs w:val="18"/>
          <w:b w:val="1"/>
          <w:bCs w:val="1"/>
          <w:color w:val="auto"/>
        </w:rPr>
        <w:t>.</w:t>
      </w:r>
    </w:p>
    <w:p>
      <w:pPr>
        <w:sectPr>
          <w:pgSz w:w="11900" w:h="16838" w:orient="portrait"/>
          <w:cols w:equalWidth="0" w:num="1">
            <w:col w:w="11400"/>
          </w:cols>
          <w:pgMar w:left="240" w:top="125" w:right="259" w:bottom="36" w:gutter="0" w:footer="0" w:header="0"/>
        </w:sectPr>
      </w:pPr>
    </w:p>
    <w:bookmarkStart w:id="320" w:name="page321"/>
    <w:bookmarkEnd w:id="320"/>
    <w:p>
      <w:pPr>
        <w:spacing w:after="0" w:line="36"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THE SALE OF THE SECURITIES WHICH ARE THE SUBJECT OF THIS AGREEMENT HAS NOT BEEN QUALIFIED WITH THE COMMISSIONER OF CORPORATIONS OF THE STATE OF NEW YORK,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41.NO ORAL MODIFICATION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modification of this Agreement shall be valid unless made in writing and signed by the parties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42.ENTIRE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Agreement, the Option Agreement and the Plan constitute the entire complete and final agreement between the parties hereto with regard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MongoDB, INC.</w:t>
      </w:r>
      <w:r>
        <w:rPr>
          <w:sz w:val="20"/>
          <w:szCs w:val="20"/>
          <w:color w:val="auto"/>
        </w:rPr>
        <w:tab/>
      </w:r>
      <w:r>
        <w:rPr>
          <w:rFonts w:ascii="Arial" w:cs="Arial" w:eastAsia="Arial" w:hAnsi="Arial"/>
          <w:sz w:val="16"/>
          <w:szCs w:val="16"/>
          <w:color w:val="auto"/>
        </w:rPr>
        <w:t>[First Name Last Name]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-130810</wp:posOffset>
            </wp:positionV>
            <wp:extent cx="688657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86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5715</wp:posOffset>
            </wp:positionV>
            <wp:extent cx="312991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229"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-10160</wp:posOffset>
            </wp:positionV>
            <wp:extent cx="88582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To 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As Escrow Agent for MongoDB, Inc. (the “Company”), and [Employee name] (the “Purchaser”), you are authorized and directed to hold the Assignment Separate from Certificate form(s) executed by Purchaser and the certificate(s) of stock representing Purchaser’s unvested shares purchased in accordance with the terms of the notice of exercise and common stock purchase agreement (the “Agreement”) and stock option agreement (the “Option Agreement”) entered into between the Company and Purchaser, in accordance with the following instructions:</w:t>
      </w:r>
    </w:p>
    <w:p>
      <w:pPr>
        <w:spacing w:after="0" w:line="171"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1.In the event that the Company elects to exercise the Repurchase Right as described in Section 2 of the Agreement, Purchaser and the Company hereby irrevocably authorize and direct you to close the transaction contemplated, and to promptly deliver the stock certificates.</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2.At the closing, you are directed (a) to date the Assignment Separate from Certificate form(s) necessary for the transfer in question, (b) to fill in the number of shares being transferred, and (c) to deliver the form(s), together with the certificate or certificates evidencing the shares to be transferred, to the Company. The Company shall simultaneously deliver to you the repurchase price for the number of shares being purchased pursuant to the exercise of the Repurchase Right.</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3.Purchaser irrevocably authorizes the Company to deposit with you any certificates evidencing shares to be held by you under this letter and any additions and substitutions to the shares as defined in the Agreement. Purchaser irrevocably appoints you as his or her attorneyinfact and agent for the term of this escrow to execute, with respect to the shares of stock, all documents necessary or appropriate to make such securities negotiable and to complete any transaction contemplated by these Joint Escrow Instructions. Subject to the provisions of this Section 3, Purchaser shall exercise all rights and privileges, including but not limited to, the right to vote and to receive dividends (if any), of a stockholder of the Company while the shares are held by you.</w:t>
      </w:r>
    </w:p>
    <w:p>
      <w:pPr>
        <w:spacing w:after="0" w:line="158"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4.In accordance with the terms of Section 5 of the Agreement, you may, from time to time, deliver to Purchaser a certificate or certificates representing shares that are no longer subject to the Repurchase Right.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5.This escrow shall terminate upon the release of all shares held under the terms and provisions hereof.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MONGODB, INC.</w:t>
      </w:r>
    </w:p>
    <w:p>
      <w:pPr>
        <w:sectPr>
          <w:pgSz w:w="11900" w:h="16874" w:orient="portrait"/>
          <w:cols w:equalWidth="0" w:num="1">
            <w:col w:w="11420"/>
          </w:cols>
          <w:pgMar w:left="240" w:top="125" w:right="239" w:bottom="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8"/>
          <w:szCs w:val="18"/>
          <w:color w:val="auto"/>
        </w:rPr>
        <w:t>EXHIBIT B TO STOCK OPTION AGREEMENT</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6.If at the time of termination of this escrow you should have in your possession any documents, securities or other property belonging to Purchaser, you shall deliver them to Purchaser and shall be discharged from all further obligations under these Joint Escrow Instructions.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7.Your duties under these Joint Escrow Instructions may be altered, amended, modified or revoked only by a writing signed by all of the parties.</w:t>
      </w:r>
    </w:p>
    <w:p>
      <w:pPr>
        <w:spacing w:after="0" w:line="248"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8.You shall be obligated to perform the duties described in these Joint Escrow Instructions and shall be protected in relying or refraining from acting on any instrument reasonably believed by you to be genuine and to have been signed or presented by the proper party or parties. You shall not be personally liable for any act or omission as Escrow Agent or as attorney-in-fact of Purchaser while acting in good faith and in the exercise of your own good judgment, and any act or omission by you pursuant to the advice of your own attorneys shall be conclusive evidence of such good faith.</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9.You are expressly authorized to disregard any and all warnings given by any of the parties hereto or by any other person or corporation, excepting only orders or process of courts of law, and are expressly authorized to comply with and obey orders, judgments or decrees of any court. In case you obey or comply with any such order, judgment or decree of any court, you shall not be liable to any of the parties under these Joint Escrow Instructions or to any other person, firm or corporation by reason of such compliance, notwithstanding any such order, judgment or decree being subsequently reversed, modified, annulled, set aside, vacated or found to have been entered without jurisdiction.</w:t>
      </w:r>
    </w:p>
    <w:p>
      <w:pPr>
        <w:spacing w:after="0" w:line="17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10.You shall not be liable in any respect on account of the identity, authority or rights of the parties executing or delivering or purporting to execute or deliver the Agreement or any documents or papers deposited or called for under these Joint Escrow Instructions.</w:t>
      </w:r>
    </w:p>
    <w:p>
      <w:pPr>
        <w:spacing w:after="0" w:line="17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11.You shall not be liable for the outlawing of any rights under any statute of limitations with respect to these Joint Escrow Instructions or any documents deposited with you.</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12.You shall be entitled to employ such legal counsel and other experts as you may deem necessary properly to advise you in connection with your obligations under these Joint Escrow Instructions and may rely upon the advice of such counsel.</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13.Your responsibilities as Escrow Agent under these Joint Escrow Instructions shall terminate if you shall cease to be employed by the Company or if you shall resign by written notice to each party. In the event of any such termination, the Company shall appoint any officer of the Company as successor Escrow Agent.</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14.If you reasonably require other or further instruments in connection with these Joint Escrow Instructions or obligations under these Joint Escrow Instructions, the parties shall furnish such instruments.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15.It is understood and agreed that should any dispute arise with respect to the delivery and/or ownership or right of possession of the securities held by you under these Joint Escrow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Instructions, you are authorized and directed to retain in your possession without liability to anyone all or any part of the securities until the dispute is settled either by mutual written agreement of the parties or by a final order, decree or judgment of a court of competent jurisdiction after the time for appeal has expired and no appeal has been perfected. You are under no duty whatsoever to institute or defend against any such proceedings.</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16.Any notice required or permitted under these Joint Escrow Instructions shall be given in writing and will be deemed effectively given upon personal delivery or upon deposit in the United States Post Office, by registered or certified mail with postage and fees prepaid, addressed to each of the other parties.</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17.By signing these Joint Escrow Instructions, you become a party only for the purpose of these Joint Escrow Instructions; you do not become a party to the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18.This instrument shall be governed by and construed in accordance with the laws of the State of New York.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19.This instrument shall be binding upon and inure to the benefit of the parties hereto and their respective successors and permitted assigns.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MongoDB, INC.</w:t>
      </w:r>
    </w:p>
    <w:p>
      <w:pPr>
        <w:spacing w:after="0" w:line="200" w:lineRule="exact"/>
        <w:rPr>
          <w:sz w:val="20"/>
          <w:szCs w:val="20"/>
          <w:color w:val="auto"/>
        </w:rPr>
      </w:pPr>
    </w:p>
    <w:p>
      <w:pPr>
        <w:spacing w:after="0" w:line="22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ESCROW AGENT:</w:t>
      </w:r>
      <w:r>
        <w:rPr>
          <w:sz w:val="20"/>
          <w:szCs w:val="20"/>
          <w:color w:val="auto"/>
        </w:rPr>
        <w:tab/>
      </w:r>
      <w:r>
        <w:rPr>
          <w:rFonts w:ascii="Arial" w:cs="Arial" w:eastAsia="Arial" w:hAnsi="Arial"/>
          <w:sz w:val="16"/>
          <w:szCs w:val="16"/>
          <w:color w:val="auto"/>
        </w:rPr>
        <w:t>[Employee name] (PURCHASER)</w:t>
      </w:r>
    </w:p>
    <w:p>
      <w:pPr>
        <w:sectPr>
          <w:pgSz w:w="11900" w:h="16838" w:orient="portrait"/>
          <w:cols w:equalWidth="0" w:num="1">
            <w:col w:w="11400"/>
          </w:cols>
          <w:pgMar w:left="240" w:top="125" w:right="259" w:bottom="5" w:gutter="0" w:footer="0" w:header="0"/>
        </w:sectPr>
      </w:pPr>
    </w:p>
    <w:bookmarkStart w:id="322" w:name="page323"/>
    <w:bookmarkEnd w:id="322"/>
    <w:p>
      <w:pPr>
        <w:spacing w:after="0"/>
        <w:tabs>
          <w:tab w:leader="none" w:pos="62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LETTER IF YOU ARE EXERCISING PRIOR TO VESTING (“EARLY EXERCISE”). IF YOU ARE NOT EARLY EXERCISING, DO NOT COMPLETE THIS 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ESCROW INSTRUCTIONS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FOR VALUE RECEIVED, [Employee name] sells, assigns and transfers to MongoDB, Inc. (the “Company”) or its assignee [print the number of shares] ([# of shares]) shares of the Common Stock of the Company (the “Shares”), standing in his or her name on the books of the Company represented by</w:t>
      </w:r>
    </w:p>
    <w:p>
      <w:pPr>
        <w:ind w:right="720"/>
        <w:spacing w:after="0" w:line="261" w:lineRule="auto"/>
        <w:rPr>
          <w:sz w:val="20"/>
          <w:szCs w:val="20"/>
          <w:color w:val="auto"/>
        </w:rPr>
      </w:pPr>
      <w:r>
        <w:rPr>
          <w:rFonts w:ascii="Arial" w:cs="Arial" w:eastAsia="Arial" w:hAnsi="Arial"/>
          <w:sz w:val="18"/>
          <w:szCs w:val="18"/>
          <w:color w:val="auto"/>
        </w:rPr>
        <w:t>Certificate No. and irrevocably constitutes and appoints [Name/Title of Escrow Agent] as Attorney to transfer the Shares on the books of the Company with full power of substitution in the premises.</w:t>
      </w:r>
    </w:p>
    <w:p>
      <w:pPr>
        <w:spacing w:after="0" w:line="184" w:lineRule="exact"/>
        <w:rPr>
          <w:sz w:val="20"/>
          <w:szCs w:val="20"/>
          <w:color w:val="auto"/>
        </w:rPr>
      </w:pPr>
    </w:p>
    <w:p>
      <w:pPr>
        <w:ind w:left="660"/>
        <w:spacing w:after="0"/>
        <w:tabs>
          <w:tab w:leader="none" w:pos="2100" w:val="left"/>
          <w:tab w:leader="none" w:pos="2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-10160</wp:posOffset>
            </wp:positionV>
            <wp:extent cx="8001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[Employee name]</w:t>
      </w:r>
    </w:p>
    <w:p>
      <w:pPr>
        <w:spacing w:after="0" w:line="200" w:lineRule="exact"/>
        <w:rPr>
          <w:sz w:val="20"/>
          <w:szCs w:val="20"/>
          <w:color w:val="auto"/>
        </w:rPr>
      </w:pPr>
    </w:p>
    <w:p>
      <w:pPr>
        <w:spacing w:after="0" w:line="25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Spousal Consent (if applicable)</w:t>
      </w:r>
    </w:p>
    <w:p>
      <w:pPr>
        <w:spacing w:after="0" w:line="225" w:lineRule="exact"/>
        <w:rPr>
          <w:sz w:val="20"/>
          <w:szCs w:val="20"/>
          <w:color w:val="auto"/>
        </w:rPr>
      </w:pPr>
    </w:p>
    <w:p>
      <w:pPr>
        <w:ind w:right="280" w:firstLine="1553"/>
        <w:spacing w:after="0" w:line="277" w:lineRule="auto"/>
        <w:rPr>
          <w:sz w:val="20"/>
          <w:szCs w:val="20"/>
          <w:color w:val="auto"/>
        </w:rPr>
      </w:pPr>
      <w:r>
        <w:rPr>
          <w:rFonts w:ascii="Arial" w:cs="Arial" w:eastAsia="Arial" w:hAnsi="Arial"/>
          <w:sz w:val="18"/>
          <w:szCs w:val="18"/>
          <w:color w:val="auto"/>
        </w:rPr>
        <w:t>(Purchaser’s spouse) indicates by the execution of this Assignment his or her consent to be bound by the terms herein as to his or her interests, whether as community property or otherwise, if any, in the Shares.</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u w:val="single" w:color="auto"/>
          <w:color w:val="auto"/>
        </w:rPr>
        <w:t>INSTRUCTIONS</w:t>
      </w:r>
      <w:r>
        <w:rPr>
          <w:rFonts w:ascii="Arial" w:cs="Arial" w:eastAsia="Arial" w:hAnsi="Arial"/>
          <w:sz w:val="18"/>
          <w:szCs w:val="18"/>
          <w:b w:val="1"/>
          <w:bCs w:val="1"/>
          <w:color w:val="auto"/>
        </w:rPr>
        <w:t>: YOU MUST SIGN THIS FORM IF YOU ARE EXERCISING PRIOR TO VESTING (“EARLY EXERCISE”). IF YOU ARE NOT EARLY EXERCISING, DO NOT COMPLETE THIS FORM. PLEASE DO NOT FILL IN ANY BLANKS OTHER THAN THE SIGNATURE LINE. THE PURPOSE OF THIS ASSIGNMENT IS TO ENABLE THE COMPANY TO EXERCISE ITS “REPURCHASE RIGHT” SET FORTH IN THE NOTICE OF EXERCISE AND COMMON STOCK PURCHASE AGREEMENT WITHOUT REQUIRING ADDITIONAL SIGNATURES.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C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SEPARATE FROM CERTIFICATE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ACKNOWLEDGMENT OF AND AGREEMENT TO BE BOUND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BY THE NOTICE OF EXERCISE AND COMMON STOCK PURCHASE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MONGODB, INC.</w:t>
      </w:r>
    </w:p>
    <w:p>
      <w:pPr>
        <w:spacing w:after="0" w:line="211"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undersigned, as transferee of shares of MongoDB, Inc. hereby acknowledges that he or she has read and reviewed the terms of the Notice of Exercise and Common Stock Purchase Agreement of MongoDB, Inc. and hereby agrees to be bound by the terms and conditions thereof, as if the undersigned had executed said Agreement as an original party thereto.</w:t>
      </w:r>
    </w:p>
    <w:p>
      <w:pPr>
        <w:spacing w:after="0" w:line="181" w:lineRule="exact"/>
        <w:rPr>
          <w:sz w:val="20"/>
          <w:szCs w:val="20"/>
          <w:color w:val="auto"/>
        </w:rPr>
      </w:pPr>
    </w:p>
    <w:p>
      <w:pPr>
        <w:ind w:left="660"/>
        <w:spacing w:after="0"/>
        <w:tabs>
          <w:tab w:leader="none" w:pos="2100" w:val="left"/>
          <w:tab w:leader="none" w:pos="23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-10160</wp:posOffset>
            </wp:positionV>
            <wp:extent cx="8001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(Printed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D TO STOCK OPTION AGREEMENT</w:t>
      </w:r>
    </w:p>
    <w:p>
      <w:pPr>
        <w:sectPr>
          <w:pgSz w:w="11900" w:h="16838" w:orient="portrait"/>
          <w:cols w:equalWidth="0" w:num="1">
            <w:col w:w="11400"/>
          </w:cols>
          <w:pgMar w:left="240" w:top="354" w:right="259" w:bottom="0" w:gutter="0" w:footer="0" w:header="0"/>
        </w:sectPr>
      </w:pPr>
    </w:p>
    <w:bookmarkStart w:id="323" w:name="page324"/>
    <w:bookmarkEnd w:id="323"/>
    <w:p>
      <w:pPr>
        <w:spacing w:after="0" w:line="137" w:lineRule="exact"/>
        <w:rPr>
          <w:sz w:val="20"/>
          <w:szCs w:val="20"/>
          <w:color w:val="auto"/>
        </w:rPr>
      </w:pPr>
    </w:p>
    <w:p>
      <w:pPr>
        <w:jc w:val="center"/>
        <w:ind w:left="280" w:right="460"/>
        <w:spacing w:after="0" w:line="277" w:lineRule="auto"/>
        <w:rPr>
          <w:sz w:val="20"/>
          <w:szCs w:val="20"/>
          <w:color w:val="auto"/>
        </w:rPr>
      </w:pPr>
      <w:r>
        <w:rPr>
          <w:rFonts w:ascii="Arial" w:cs="Arial" w:eastAsia="Arial" w:hAnsi="Arial"/>
          <w:sz w:val="18"/>
          <w:szCs w:val="18"/>
          <w:color w:val="auto"/>
        </w:rPr>
        <w:t>ACKNOWLEDGMENT OF AND AGREEMENT TO BE BOUND BY THE NOTICE OF EXERCISE AND COMMON STOCK PURCHASE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AUSTRALIAN TAX INFORMATION</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(Current as of 15/07/2015)</w:t>
      </w:r>
    </w:p>
    <w:p>
      <w:pPr>
        <w:spacing w:after="0" w:line="22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memorandum briefly summarizes current Australian income tax law. The discussion is intended to be used solely for general information purposes and does not make specific representations to any participant. A taxpayer’s particular situation may be such that some variation of the basic rules is applicable to him or her. In addition, the Australian income tax laws and regulations are revised frequently and may change again in the future. Each participant is urged to consult a tax advisor, both with respect to Australian income tax consequences as well as any foreign, state or local tax consequences, before exercising any option or before disposing of any shares of stock acquired under the Plan.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Australian tax law</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Due to changes in the way that employee share scheme grants are taxed that came into effect from 1 July 2015, grants made after this date are different to prior years. The old tax rules continue to operate for grants made before that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your Option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tax should arise upon accepting the Offer. No tax should arise if the Option is terminated.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the Option is subject to vesting conditions, namely that you must be continuously employed for 12 months after the Option is granted (and longer periods), a real risk of forfeiture exists and tax may be deferred until the earlier of:</w:t>
      </w:r>
    </w:p>
    <w:p>
      <w:pPr>
        <w:spacing w:after="0" w:line="170" w:lineRule="exact"/>
        <w:rPr>
          <w:sz w:val="20"/>
          <w:szCs w:val="20"/>
          <w:color w:val="auto"/>
        </w:rPr>
      </w:pPr>
    </w:p>
    <w:p>
      <w:pPr>
        <w:ind w:left="1260" w:hanging="280"/>
        <w:spacing w:after="0"/>
        <w:tabs>
          <w:tab w:leader="none" w:pos="12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When the option has vested and has been exercised and the shares acquired by exercising the option can be dealt with by you;</w:t>
      </w:r>
    </w:p>
    <w:p>
      <w:pPr>
        <w:spacing w:after="0" w:line="236" w:lineRule="exact"/>
        <w:rPr>
          <w:rFonts w:ascii="Arial" w:cs="Arial" w:eastAsia="Arial" w:hAnsi="Arial"/>
          <w:sz w:val="17"/>
          <w:szCs w:val="17"/>
          <w:color w:val="auto"/>
        </w:rPr>
      </w:pPr>
    </w:p>
    <w:p>
      <w:pPr>
        <w:ind w:left="1260" w:hanging="280"/>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When your employment ceases;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15 years from the date of grant.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As you are paying less than market value to acquire your Option, you will be taxed on revenue account when the Option is exercised and exchanged for shares (provided you have not ceased employment earlier). The taxable amount is the market value of the shares received at that time less any amounts paid for those shares (i.e. the discount you received to acquire the shares). You may also be subject to tax when you sell the shares, as outlined below.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 of your shares</w:t>
      </w:r>
    </w:p>
    <w:p>
      <w:pPr>
        <w:spacing w:after="0" w:line="22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Any gain realised on the subsequent sale of your shares should be subject to capital gains tax (CGT). The gain is calculated as the difference between the net sale proceeds you receive and the cost base of the shares. The cost base of the shares will be the market value of the shares at the time the option is exercised (unless you cease employment or earlier in which case it will be the market value of the option at that time).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Where the shares have been held for at least 12 months after exercise of the Option (not including the dates of acquisition and sale), only 50% of the gain (after deducting any available capital losses) is subject to tax. </w:t>
      </w:r>
      <w:r>
        <w:rPr>
          <w:rFonts w:ascii="Arial" w:cs="Arial" w:eastAsia="Arial" w:hAnsi="Arial"/>
          <w:sz w:val="18"/>
          <w:szCs w:val="18"/>
          <w:b w:val="1"/>
          <w:bCs w:val="1"/>
          <w:color w:val="auto"/>
        </w:rPr>
        <w:t>It is important to note that for the purpose of determining whether you have held the</w:t>
      </w:r>
      <w:r>
        <w:rPr>
          <w:rFonts w:ascii="Arial" w:cs="Arial" w:eastAsia="Arial" w:hAnsi="Arial"/>
          <w:sz w:val="18"/>
          <w:szCs w:val="18"/>
          <w:color w:val="auto"/>
        </w:rPr>
        <w:t xml:space="preserve"> </w:t>
      </w:r>
      <w:r>
        <w:rPr>
          <w:rFonts w:ascii="Arial" w:cs="Arial" w:eastAsia="Arial" w:hAnsi="Arial"/>
          <w:sz w:val="18"/>
          <w:szCs w:val="18"/>
          <w:b w:val="1"/>
          <w:bCs w:val="1"/>
          <w:color w:val="auto"/>
        </w:rPr>
        <w:t>shares for 12 months, only the period after exercise of the Option (i.e. when you acquire the shares) is relevant — the period for which you have held the Option is not counted.</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the shares are sold for proceeds that are less than the shares’ cost base, a capital loss may arise. Capital losses may be used to offset current year capital gains, or carried forward against future year capital gains. Capital losses cannot offset ordinary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paid on shares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Dividends are not payable to you as a holder of the Option. The information that follows relates to dividends which may be payable if the Company decides to pay a dividend on its shares, once you have exercised your Option and acquired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will be subject to income tax, at your marginal tax rate plus 2% Medicare levy, on any dividends paid on your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income and gains in your tax return</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You must report any taxable amounts arising from your Option or shares in your tax return for the year in which the benefit arises. This will include gains realised on sale of shares acquired on exercise of the Option, on the sale of the Option itself, as well as any dividend payments. Your tax return is due</w:t>
      </w:r>
    </w:p>
    <w:p>
      <w:pPr>
        <w:sectPr>
          <w:pgSz w:w="11900" w:h="16975" w:orient="portrait"/>
          <w:cols w:equalWidth="0" w:num="1">
            <w:col w:w="11380"/>
          </w:cols>
          <w:pgMar w:left="240" w:top="125" w:right="279" w:bottom="0" w:gutter="0" w:footer="0" w:header="0"/>
        </w:sectPr>
      </w:pPr>
    </w:p>
    <w:bookmarkStart w:id="324" w:name="page325"/>
    <w:bookmarkEnd w:id="324"/>
    <w:p>
      <w:pPr>
        <w:ind w:right="220"/>
        <w:spacing w:after="0" w:line="277" w:lineRule="auto"/>
        <w:rPr>
          <w:sz w:val="20"/>
          <w:szCs w:val="20"/>
          <w:color w:val="auto"/>
        </w:rPr>
      </w:pPr>
      <w:r>
        <w:rPr>
          <w:rFonts w:ascii="Arial" w:cs="Arial" w:eastAsia="Arial" w:hAnsi="Arial"/>
          <w:sz w:val="18"/>
          <w:szCs w:val="18"/>
          <w:color w:val="auto"/>
        </w:rPr>
        <w:t>by 31 October following the end of the 30 June tax year (unless you are on a Tax Agent’s Lodgement Program which allows for an extension to the normal filing deadline).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tax (payable at your marginal tax rate — the highest rate in the tax year ending 30 June 2016 is equivalent to 49%, including 2% Medicare levy and 2% temporary budget deficit repair levy) must be paid when your income tax return is assessed.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Early Exercise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you are permitted to exercise an option before the rights in the shares subject to the option are vested, the tax aspects of such an “early exercise” will be as follows:</w:t>
      </w:r>
    </w:p>
    <w:p>
      <w:pPr>
        <w:spacing w:after="0" w:line="170" w:lineRule="exact"/>
        <w:rPr>
          <w:sz w:val="20"/>
          <w:szCs w:val="20"/>
          <w:color w:val="auto"/>
        </w:rPr>
      </w:pPr>
    </w:p>
    <w:p>
      <w:pPr>
        <w:ind w:left="1260" w:hanging="280"/>
        <w:spacing w:after="0"/>
        <w:tabs>
          <w:tab w:leader="none" w:pos="126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You will not be taxed at the time of exercise;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hanging="320"/>
        <w:spacing w:after="0" w:line="277" w:lineRule="auto"/>
        <w:tabs>
          <w:tab w:leader="none" w:pos="12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You will be taxed once the shares vest at your marginal tax rate on the value of the shares at that time less what you paid for them (i.e. the discount);</w:t>
      </w:r>
    </w:p>
    <w:p>
      <w:pPr>
        <w:spacing w:after="0" w:line="170" w:lineRule="exact"/>
        <w:rPr>
          <w:rFonts w:ascii="Arial" w:cs="Arial" w:eastAsia="Arial" w:hAnsi="Arial"/>
          <w:sz w:val="18"/>
          <w:szCs w:val="18"/>
          <w:color w:val="auto"/>
        </w:rPr>
      </w:pPr>
    </w:p>
    <w:p>
      <w:pPr>
        <w:ind w:left="1300" w:right="320" w:hanging="320"/>
        <w:spacing w:after="0" w:line="277" w:lineRule="auto"/>
        <w:tabs>
          <w:tab w:leader="none" w:pos="12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For capital gains tax purposes, the 12 month holding period required for the CGT discount will commence when you Early Exercise and receive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of Unvested Shares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If service with the Company terminates before the shares are vested, the Company may repurchase the shares at the original purchase price of the shares. No gain or loss should arise in this scenario.</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THIS TAX SUMMARY IS GENERAL IN NATURE AND SHOULD NOT BE RELIED UPON BY ANY PERSON IN DECIDING WHETHER OR WHEN TO EXERCISE AN OPTION. EACH PERSON SHOULD CONSULT HIS OR HER OWN TAX ADVISOR REGARDING THESE MATTERS.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F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FEDERAL TAX INFORMATION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MongoDB (formerly 10Gen Inc.) 2008 Stock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Sub-Plan for Israeli Participants</w:t>
      </w:r>
    </w:p>
    <w:p>
      <w:pPr>
        <w:spacing w:after="0" w:line="207" w:lineRule="exact"/>
        <w:rPr>
          <w:sz w:val="20"/>
          <w:szCs w:val="20"/>
          <w:color w:val="auto"/>
        </w:rPr>
      </w:pPr>
    </w:p>
    <w:p>
      <w:pPr>
        <w:ind w:left="660" w:hanging="652"/>
        <w:spacing w:after="0"/>
        <w:tabs>
          <w:tab w:leader="none" w:pos="660"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660" w:right="300" w:hanging="647"/>
        <w:spacing w:after="0" w:line="261"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This sub-plan (the “</w:t>
      </w:r>
      <w:r>
        <w:rPr>
          <w:rFonts w:ascii="Arial" w:cs="Arial" w:eastAsia="Arial" w:hAnsi="Arial"/>
          <w:sz w:val="18"/>
          <w:szCs w:val="18"/>
          <w:b w:val="1"/>
          <w:bCs w:val="1"/>
          <w:color w:val="auto"/>
        </w:rPr>
        <w:t>Sub-Plan</w:t>
      </w:r>
      <w:r>
        <w:rPr>
          <w:rFonts w:ascii="Arial" w:cs="Arial" w:eastAsia="Arial" w:hAnsi="Arial"/>
          <w:sz w:val="18"/>
          <w:szCs w:val="18"/>
          <w:color w:val="auto"/>
        </w:rPr>
        <w:t>”) shall apply only to Employees, Consultants or Outside Directors who are residents of the State of Israel upon the date of grant of the Award, as defined below in Section 2, or who are deemed Israeli tax residents (collectively, “</w:t>
      </w:r>
      <w:r>
        <w:rPr>
          <w:rFonts w:ascii="Arial" w:cs="Arial" w:eastAsia="Arial" w:hAnsi="Arial"/>
          <w:sz w:val="18"/>
          <w:szCs w:val="18"/>
          <w:b w:val="1"/>
          <w:bCs w:val="1"/>
          <w:color w:val="auto"/>
        </w:rPr>
        <w:t>Israeli Participants</w:t>
      </w:r>
      <w:r>
        <w:rPr>
          <w:rFonts w:ascii="Arial" w:cs="Arial" w:eastAsia="Arial" w:hAnsi="Arial"/>
          <w:sz w:val="18"/>
          <w:szCs w:val="18"/>
          <w:color w:val="auto"/>
        </w:rPr>
        <w:t>”). The provisions specified hereunder shall form an integral part of the MongoDB (formerly 10Gen, Inc.) 2008 Stock Incentive Plan (hereinafter the “</w:t>
      </w:r>
      <w:r>
        <w:rPr>
          <w:rFonts w:ascii="Arial" w:cs="Arial" w:eastAsia="Arial" w:hAnsi="Arial"/>
          <w:sz w:val="18"/>
          <w:szCs w:val="18"/>
          <w:b w:val="1"/>
          <w:bCs w:val="1"/>
          <w:color w:val="auto"/>
        </w:rPr>
        <w:t>Plan</w:t>
      </w:r>
      <w:r>
        <w:rPr>
          <w:rFonts w:ascii="Arial" w:cs="Arial" w:eastAsia="Arial" w:hAnsi="Arial"/>
          <w:sz w:val="18"/>
          <w:szCs w:val="18"/>
          <w:color w:val="auto"/>
        </w:rPr>
        <w:t>”).</w:t>
      </w:r>
    </w:p>
    <w:p>
      <w:pPr>
        <w:spacing w:after="0" w:line="184" w:lineRule="exact"/>
        <w:rPr>
          <w:sz w:val="20"/>
          <w:szCs w:val="20"/>
          <w:color w:val="auto"/>
        </w:rPr>
      </w:pPr>
    </w:p>
    <w:p>
      <w:pPr>
        <w:ind w:left="640" w:right="60" w:hanging="637"/>
        <w:spacing w:after="0" w:line="259" w:lineRule="auto"/>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This Sub-Plan is to be read as an extension of the Plan and modifies Awards granted to Israeli Participants only to the extent necessary to comply with the requirements set by the Israeli law in general, and in particular, with the provisions of the Israeli Income Tax Ordinance [New Version] 5721-1961, as may be amended or replaced from time to time. This Sub-Plan does not add to or modify the Plan in respect of any other recipients of Awards under the Plan.</w:t>
      </w:r>
    </w:p>
    <w:p>
      <w:pPr>
        <w:spacing w:after="0" w:line="187" w:lineRule="exact"/>
        <w:rPr>
          <w:sz w:val="20"/>
          <w:szCs w:val="20"/>
          <w:color w:val="auto"/>
        </w:rPr>
      </w:pPr>
    </w:p>
    <w:p>
      <w:pPr>
        <w:jc w:val="both"/>
        <w:ind w:left="640" w:right="200" w:hanging="637"/>
        <w:spacing w:after="0" w:line="264" w:lineRule="auto"/>
        <w:tabs>
          <w:tab w:leader="none" w:pos="62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Plan and this Sub-Plan are complementary to each other and shall be deemed as an integrated whole for purposes of the Israeli Participants. In the event of any conflict, whether explicit or implied, between the provisions of this Sub-Plan and the Plan, the provisions set out in the Sub-Plan shall prevail.</w:t>
      </w:r>
    </w:p>
    <w:p>
      <w:pPr>
        <w:spacing w:after="0" w:line="18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Any capitalized term not specifically defined in this Sub-Plan shall be construed according to the interpretation given to it in the Plan.</w:t>
      </w:r>
    </w:p>
    <w:p>
      <w:pPr>
        <w:spacing w:after="0" w:line="221" w:lineRule="exact"/>
        <w:rPr>
          <w:sz w:val="20"/>
          <w:szCs w:val="20"/>
          <w:color w:val="auto"/>
        </w:rPr>
      </w:pPr>
    </w:p>
    <w:p>
      <w:pPr>
        <w:ind w:left="660" w:hanging="652"/>
        <w:spacing w:after="0"/>
        <w:tabs>
          <w:tab w:leader="none" w:pos="660"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102 Award</w:t>
      </w:r>
      <w:r>
        <w:rPr>
          <w:rFonts w:ascii="Arial" w:cs="Arial" w:eastAsia="Arial" w:hAnsi="Arial"/>
          <w:sz w:val="16"/>
          <w:szCs w:val="16"/>
          <w:color w:val="auto"/>
        </w:rPr>
        <w:t>” means any Award granted to an Approved Israeli Participant pursuant to Section 102 of the Ordinance.</w:t>
      </w:r>
    </w:p>
    <w:p>
      <w:pPr>
        <w:spacing w:after="0" w:line="225" w:lineRule="exact"/>
        <w:rPr>
          <w:sz w:val="20"/>
          <w:szCs w:val="20"/>
          <w:color w:val="auto"/>
        </w:rPr>
      </w:pPr>
    </w:p>
    <w:p>
      <w:pPr>
        <w:jc w:val="both"/>
        <w:ind w:left="660" w:right="180" w:hanging="647"/>
        <w:spacing w:after="0" w:line="26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Approved Israeli Participant</w:t>
      </w:r>
      <w:r>
        <w:rPr>
          <w:rFonts w:ascii="Arial" w:cs="Arial" w:eastAsia="Arial" w:hAnsi="Arial"/>
          <w:sz w:val="18"/>
          <w:szCs w:val="18"/>
          <w:color w:val="auto"/>
        </w:rPr>
        <w:t>” means an Israeli Participant who is an Employee, Outside Director or an officer of any Israeli resident Subsidiary of the Company, excluding any Controlling Shareholder of the Company, provided that the Subsidiary is an Israeli resident company or otherwise meets the definition of an Employer under Section 102.</w:t>
      </w:r>
    </w:p>
    <w:p>
      <w:pPr>
        <w:spacing w:after="0" w:line="176" w:lineRule="exact"/>
        <w:rPr>
          <w:sz w:val="20"/>
          <w:szCs w:val="20"/>
          <w:color w:val="auto"/>
        </w:rPr>
      </w:pPr>
    </w:p>
    <w:p>
      <w:pPr>
        <w:jc w:val="right"/>
        <w:spacing w:after="0" w:line="347" w:lineRule="auto"/>
        <w:rPr>
          <w:sz w:val="20"/>
          <w:szCs w:val="20"/>
          <w:color w:val="auto"/>
        </w:rPr>
      </w:pPr>
      <w:r>
        <w:rPr>
          <w:rFonts w:ascii="Arial" w:cs="Arial" w:eastAsia="Arial" w:hAnsi="Arial"/>
          <w:sz w:val="16"/>
          <w:szCs w:val="16"/>
          <w:color w:val="auto"/>
        </w:rPr>
        <w:t>2.3     “</w:t>
      </w:r>
      <w:r>
        <w:rPr>
          <w:rFonts w:ascii="Arial" w:cs="Arial" w:eastAsia="Arial" w:hAnsi="Arial"/>
          <w:sz w:val="16"/>
          <w:szCs w:val="16"/>
          <w:b w:val="1"/>
          <w:bCs w:val="1"/>
          <w:color w:val="auto"/>
        </w:rPr>
        <w:t>Award</w:t>
      </w:r>
      <w:r>
        <w:rPr>
          <w:rFonts w:ascii="Arial" w:cs="Arial" w:eastAsia="Arial" w:hAnsi="Arial"/>
          <w:sz w:val="16"/>
          <w:szCs w:val="16"/>
          <w:color w:val="auto"/>
        </w:rPr>
        <w:t>” solely for the purpose of this Sub-Plan means any Option or Share granted by the Company to an Israeli Participant, in accordance with the provisions of the Plan and the applicable Stock Option Agreement or Restricted Stock Agreement, provided that they are converted only into Shares.</w:t>
      </w:r>
    </w:p>
    <w:p>
      <w:pPr>
        <w:sectPr>
          <w:pgSz w:w="11900" w:h="16838" w:orient="portrait"/>
          <w:cols w:equalWidth="0" w:num="1">
            <w:col w:w="11400"/>
          </w:cols>
          <w:pgMar w:left="240" w:top="125" w:right="259" w:bottom="0" w:gutter="0" w:footer="0" w:header="0"/>
        </w:sectPr>
      </w:pPr>
    </w:p>
    <w:bookmarkStart w:id="325" w:name="page326"/>
    <w:bookmarkEnd w:id="325"/>
    <w:p>
      <w:pPr>
        <w:ind w:left="660" w:right="680" w:hanging="647"/>
        <w:spacing w:after="0" w:line="282"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Capital Gain Award</w:t>
      </w:r>
      <w:r>
        <w:rPr>
          <w:rFonts w:ascii="Arial" w:cs="Arial" w:eastAsia="Arial" w:hAnsi="Arial"/>
          <w:sz w:val="18"/>
          <w:szCs w:val="18"/>
          <w:color w:val="auto"/>
        </w:rPr>
        <w:t>” or “</w:t>
      </w:r>
      <w:r>
        <w:rPr>
          <w:rFonts w:ascii="Arial" w:cs="Arial" w:eastAsia="Arial" w:hAnsi="Arial"/>
          <w:sz w:val="18"/>
          <w:szCs w:val="18"/>
          <w:b w:val="1"/>
          <w:bCs w:val="1"/>
          <w:color w:val="auto"/>
        </w:rPr>
        <w:t>CGA</w:t>
      </w:r>
      <w:r>
        <w:rPr>
          <w:rFonts w:ascii="Arial" w:cs="Arial" w:eastAsia="Arial" w:hAnsi="Arial"/>
          <w:sz w:val="18"/>
          <w:szCs w:val="18"/>
          <w:color w:val="auto"/>
        </w:rPr>
        <w:t>” means a Trustee 102 Award elected and designated by the Company to qualify under the capital gain tax treatment in accordance with the provisions of Section 102(b)(2) of the Ordinance.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Controlling Shareholder</w:t>
      </w:r>
      <w:r>
        <w:rPr>
          <w:rFonts w:ascii="Arial" w:cs="Arial" w:eastAsia="Arial" w:hAnsi="Arial"/>
          <w:sz w:val="16"/>
          <w:szCs w:val="16"/>
          <w:color w:val="auto"/>
        </w:rPr>
        <w:t>” shall have the meaning ascribed to it in Section 32(9) of the Ordinance.</w:t>
      </w:r>
    </w:p>
    <w:p>
      <w:pPr>
        <w:spacing w:after="0" w:line="225" w:lineRule="exact"/>
        <w:rPr>
          <w:sz w:val="20"/>
          <w:szCs w:val="20"/>
          <w:color w:val="auto"/>
        </w:rPr>
      </w:pPr>
    </w:p>
    <w:p>
      <w:pPr>
        <w:ind w:left="640" w:right="640" w:hanging="637"/>
        <w:spacing w:after="0" w:line="282" w:lineRule="auto"/>
        <w:tabs>
          <w:tab w:leader="none" w:pos="6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Israeli Stock Award Agreement</w:t>
      </w:r>
      <w:r>
        <w:rPr>
          <w:rFonts w:ascii="Arial" w:cs="Arial" w:eastAsia="Arial" w:hAnsi="Arial"/>
          <w:sz w:val="18"/>
          <w:szCs w:val="18"/>
          <w:color w:val="auto"/>
        </w:rPr>
        <w:t>” means the Stock Option Agreement or Restricted Stock Agreement between the Company and an Israeli Participant that sets out the terms and conditions of an Award.</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ITA</w:t>
      </w:r>
      <w:r>
        <w:rPr>
          <w:rFonts w:ascii="Arial" w:cs="Arial" w:eastAsia="Arial" w:hAnsi="Arial"/>
          <w:sz w:val="16"/>
          <w:szCs w:val="16"/>
          <w:color w:val="auto"/>
        </w:rPr>
        <w:t>” means the Israeli Tax Authority.</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Non-Trustee 102 Award</w:t>
      </w:r>
      <w:r>
        <w:rPr>
          <w:rFonts w:ascii="Arial" w:cs="Arial" w:eastAsia="Arial" w:hAnsi="Arial"/>
          <w:sz w:val="16"/>
          <w:szCs w:val="16"/>
          <w:color w:val="auto"/>
        </w:rPr>
        <w:t>” means a 102 Award granted pursuant to Section 102(c) of the Ordinance and not held in trust by a Trustee.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Ordinance</w:t>
      </w:r>
      <w:r>
        <w:rPr>
          <w:rFonts w:ascii="Arial" w:cs="Arial" w:eastAsia="Arial" w:hAnsi="Arial"/>
          <w:sz w:val="16"/>
          <w:szCs w:val="16"/>
          <w:color w:val="auto"/>
        </w:rPr>
        <w:t>” means the Israeli Income Tax Ordinance [New Version] 5721-1961, as now in effect or as hereafter amended.</w:t>
      </w:r>
    </w:p>
    <w:p>
      <w:pPr>
        <w:spacing w:after="0" w:line="225" w:lineRule="exact"/>
        <w:rPr>
          <w:sz w:val="20"/>
          <w:szCs w:val="20"/>
          <w:color w:val="auto"/>
        </w:rPr>
      </w:pPr>
    </w:p>
    <w:p>
      <w:pPr>
        <w:ind w:left="640" w:right="20" w:hanging="647"/>
        <w:spacing w:after="0" w:line="282" w:lineRule="auto"/>
        <w:tabs>
          <w:tab w:leader="none" w:pos="6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Ordinary Income Award</w:t>
      </w:r>
      <w:r>
        <w:rPr>
          <w:rFonts w:ascii="Arial" w:cs="Arial" w:eastAsia="Arial" w:hAnsi="Arial"/>
          <w:sz w:val="18"/>
          <w:szCs w:val="18"/>
          <w:color w:val="auto"/>
        </w:rPr>
        <w:t xml:space="preserve">” </w:t>
      </w:r>
      <w:r>
        <w:rPr>
          <w:rFonts w:ascii="Arial" w:cs="Arial" w:eastAsia="Arial" w:hAnsi="Arial"/>
          <w:sz w:val="18"/>
          <w:szCs w:val="18"/>
          <w:b w:val="1"/>
          <w:bCs w:val="1"/>
          <w:color w:val="auto"/>
        </w:rPr>
        <w:t>or</w:t>
      </w:r>
      <w:r>
        <w:rPr>
          <w:rFonts w:ascii="Arial" w:cs="Arial" w:eastAsia="Arial" w:hAnsi="Arial"/>
          <w:sz w:val="18"/>
          <w:szCs w:val="18"/>
          <w:color w:val="auto"/>
        </w:rPr>
        <w:t xml:space="preserve"> “</w:t>
      </w:r>
      <w:r>
        <w:rPr>
          <w:rFonts w:ascii="Arial" w:cs="Arial" w:eastAsia="Arial" w:hAnsi="Arial"/>
          <w:sz w:val="18"/>
          <w:szCs w:val="18"/>
          <w:b w:val="1"/>
          <w:bCs w:val="1"/>
          <w:color w:val="auto"/>
        </w:rPr>
        <w:t>OIA</w:t>
      </w:r>
      <w:r>
        <w:rPr>
          <w:rFonts w:ascii="Arial" w:cs="Arial" w:eastAsia="Arial" w:hAnsi="Arial"/>
          <w:sz w:val="18"/>
          <w:szCs w:val="18"/>
          <w:color w:val="auto"/>
        </w:rPr>
        <w:t>” means a Trustee 102 Award elected and designated by the Company to qualify under the ordinary income tax treatment in accordance with the provisions of Section 102(b)(1) of the Ordinance.</w:t>
      </w:r>
    </w:p>
    <w:p>
      <w:pPr>
        <w:spacing w:after="0" w:line="162" w:lineRule="exact"/>
        <w:rPr>
          <w:sz w:val="20"/>
          <w:szCs w:val="20"/>
          <w:color w:val="auto"/>
        </w:rPr>
      </w:pPr>
    </w:p>
    <w:p>
      <w:pPr>
        <w:ind w:left="620" w:right="260" w:hanging="637"/>
        <w:spacing w:after="0" w:line="282" w:lineRule="auto"/>
        <w:tabs>
          <w:tab w:leader="none" w:pos="6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Section 102</w:t>
      </w:r>
      <w:r>
        <w:rPr>
          <w:rFonts w:ascii="Arial" w:cs="Arial" w:eastAsia="Arial" w:hAnsi="Arial"/>
          <w:sz w:val="18"/>
          <w:szCs w:val="18"/>
          <w:color w:val="auto"/>
        </w:rPr>
        <w:t>” means Section 102 of the Ordinance and any regulations, rules, orders or procedures promulgated thereunder as now in effect or as hereafter amended.</w:t>
      </w:r>
    </w:p>
    <w:p>
      <w:pPr>
        <w:spacing w:after="0" w:line="162" w:lineRule="exact"/>
        <w:rPr>
          <w:sz w:val="20"/>
          <w:szCs w:val="20"/>
          <w:color w:val="auto"/>
        </w:rPr>
      </w:pPr>
    </w:p>
    <w:p>
      <w:pPr>
        <w:ind w:left="640" w:hanging="637"/>
        <w:spacing w:after="0" w:line="282"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applicable tax and other compulsory payments in connection with the Award or Shares, including without limitation, social security and health tax contributions under any applicable law.</w:t>
      </w:r>
    </w:p>
    <w:p>
      <w:pPr>
        <w:spacing w:after="0" w:line="162" w:lineRule="exact"/>
        <w:rPr>
          <w:sz w:val="20"/>
          <w:szCs w:val="20"/>
          <w:color w:val="auto"/>
        </w:rPr>
      </w:pPr>
    </w:p>
    <w:p>
      <w:pPr>
        <w:ind w:left="640" w:right="160" w:hanging="637"/>
        <w:spacing w:after="0" w:line="282"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any person or entity appointed by the Company or its Israeli resident Subsidiary to serve as a trustee and approved by the ITA, all in accordance with the provisions of Section 102(a) of the Ordinance, as may be replaced from time to time.</w:t>
      </w:r>
    </w:p>
    <w:p>
      <w:pPr>
        <w:spacing w:after="0" w:line="162" w:lineRule="exact"/>
        <w:rPr>
          <w:sz w:val="20"/>
          <w:szCs w:val="20"/>
          <w:color w:val="auto"/>
        </w:rPr>
      </w:pPr>
    </w:p>
    <w:p>
      <w:pPr>
        <w:ind w:left="640" w:right="200" w:hanging="637"/>
        <w:spacing w:after="0" w:line="282" w:lineRule="auto"/>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Trustee 102 Award</w:t>
      </w:r>
      <w:r>
        <w:rPr>
          <w:rFonts w:ascii="Arial" w:cs="Arial" w:eastAsia="Arial" w:hAnsi="Arial"/>
          <w:sz w:val="18"/>
          <w:szCs w:val="18"/>
          <w:color w:val="auto"/>
        </w:rPr>
        <w:t>” means a 102 Award granted to an Approved Israeli Participant pursuant to Section 102(b) of the Ordinance and held in trust by a Trustee for the benefit of an Approved Israeli Participant.</w:t>
      </w:r>
    </w:p>
    <w:p>
      <w:pPr>
        <w:spacing w:after="0" w:line="162" w:lineRule="exact"/>
        <w:rPr>
          <w:sz w:val="20"/>
          <w:szCs w:val="20"/>
          <w:color w:val="auto"/>
        </w:rPr>
      </w:pPr>
    </w:p>
    <w:p>
      <w:pPr>
        <w:ind w:left="640" w:right="180" w:hanging="647"/>
        <w:spacing w:after="0" w:line="282" w:lineRule="auto"/>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Unapproved Israeli Participant</w:t>
      </w:r>
      <w:r>
        <w:rPr>
          <w:rFonts w:ascii="Arial" w:cs="Arial" w:eastAsia="Arial" w:hAnsi="Arial"/>
          <w:sz w:val="18"/>
          <w:szCs w:val="18"/>
          <w:color w:val="auto"/>
        </w:rPr>
        <w:t>” means an Israeli Participant who is not an Approved Israeli Participant, including a consultant or a Controlling Shareholder of the Company.</w:t>
      </w:r>
    </w:p>
    <w:p>
      <w:pPr>
        <w:spacing w:after="0" w:line="162" w:lineRule="exact"/>
        <w:rPr>
          <w:sz w:val="20"/>
          <w:szCs w:val="20"/>
          <w:color w:val="auto"/>
        </w:rPr>
      </w:pPr>
    </w:p>
    <w:p>
      <w:pPr>
        <w:ind w:left="660" w:hanging="652"/>
        <w:spacing w:after="0"/>
        <w:tabs>
          <w:tab w:leader="none" w:pos="660"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AWARDS</w:t>
      </w:r>
    </w:p>
    <w:p>
      <w:pPr>
        <w:spacing w:after="0" w:line="229" w:lineRule="exact"/>
        <w:rPr>
          <w:sz w:val="20"/>
          <w:szCs w:val="20"/>
          <w:color w:val="auto"/>
        </w:rPr>
      </w:pPr>
    </w:p>
    <w:p>
      <w:pPr>
        <w:ind w:left="640" w:right="840" w:hanging="637"/>
        <w:spacing w:after="0" w:line="277" w:lineRule="auto"/>
        <w:tabs>
          <w:tab w:leader="none" w:pos="6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persons eligible for participation in the Plan as Israeli Participants shall include Approved Israeli Participants and Unapproved Israeli Participants, provided, however, that only Approved Israeli Participants may be granted 102 Awards.</w:t>
      </w:r>
    </w:p>
    <w:p>
      <w:pPr>
        <w:spacing w:after="0" w:line="170" w:lineRule="exact"/>
        <w:rPr>
          <w:sz w:val="20"/>
          <w:szCs w:val="20"/>
          <w:color w:val="auto"/>
        </w:rPr>
      </w:pPr>
    </w:p>
    <w:p>
      <w:pPr>
        <w:ind w:left="640" w:right="260" w:hanging="637"/>
        <w:spacing w:after="0" w:line="277" w:lineRule="auto"/>
        <w:tabs>
          <w:tab w:leader="none" w:pos="6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The Company may designate Awards granted to Approved Israeli Participants pursuant to Section 102 as Trustee 102 Awards or Non-Trustee 102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40" w:right="320" w:hanging="637"/>
        <w:spacing w:after="0" w:line="308" w:lineRule="auto"/>
        <w:tabs>
          <w:tab w:leader="none" w:pos="6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Unless a special ruling is received from the ITA, the grant of Trustee 102 Awards shall not be made until 30 days from the date the Plan has been submitted for approval by the ITA and shall be conditioned upon the approval of the Plan and this Sub-Plan by the ITA.</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Trustee 102 Awards may either be classified as Capital Gain Awards (CGAs) or Ordinary Income Awards (OIAs).</w:t>
      </w:r>
    </w:p>
    <w:p>
      <w:pPr>
        <w:spacing w:after="0" w:line="225" w:lineRule="exact"/>
        <w:rPr>
          <w:sz w:val="20"/>
          <w:szCs w:val="20"/>
          <w:color w:val="auto"/>
        </w:rPr>
      </w:pPr>
    </w:p>
    <w:p>
      <w:pPr>
        <w:ind w:left="640" w:hanging="637"/>
        <w:spacing w:after="0" w:line="255" w:lineRule="auto"/>
        <w:tabs>
          <w:tab w:leader="none" w:pos="6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No Trustee 102 Award may be granted under this Sub-Plan to any Approved Israeli Participant, unless and until the Company has filed with the ITA its election regarding the type of Trustee 102 Awards, whether CGAs or OIAs, that will be granted under the Plan and this Sub-Plan (the “</w:t>
      </w:r>
      <w:r>
        <w:rPr>
          <w:rFonts w:ascii="Arial" w:cs="Arial" w:eastAsia="Arial" w:hAnsi="Arial"/>
          <w:sz w:val="18"/>
          <w:szCs w:val="18"/>
          <w:b w:val="1"/>
          <w:bCs w:val="1"/>
          <w:color w:val="auto"/>
        </w:rPr>
        <w:t>Election</w:t>
      </w:r>
      <w:r>
        <w:rPr>
          <w:rFonts w:ascii="Arial" w:cs="Arial" w:eastAsia="Arial" w:hAnsi="Arial"/>
          <w:sz w:val="18"/>
          <w:szCs w:val="18"/>
          <w:color w:val="auto"/>
        </w:rPr>
        <w:t xml:space="preserve">”). Such Election shall become effective beginning the first date of grant of a Trustee 102 Award under this Sub-Plan and shall remain in effect at least until the end of the year following the year during which the Company first granted Trustee 102 Awards. The Election shall obligate the Company to grant </w:t>
      </w:r>
      <w:r>
        <w:rPr>
          <w:rFonts w:ascii="Arial" w:cs="Arial" w:eastAsia="Arial" w:hAnsi="Arial"/>
          <w:sz w:val="18"/>
          <w:szCs w:val="18"/>
          <w:i w:val="1"/>
          <w:iCs w:val="1"/>
          <w:color w:val="auto"/>
        </w:rPr>
        <w:t>only</w:t>
      </w:r>
      <w:r>
        <w:rPr>
          <w:rFonts w:ascii="Arial" w:cs="Arial" w:eastAsia="Arial" w:hAnsi="Arial"/>
          <w:sz w:val="18"/>
          <w:szCs w:val="18"/>
          <w:color w:val="auto"/>
        </w:rPr>
        <w:t xml:space="preserve"> the type of Trustee 102 Award it has elected, and shall apply to all Israeli Participants who are granted Trustee 102 Awards during the period indicated herein, all in accordance with the provisions of Section 102(g) of the Ordinance. The Election shall not prevent the Company from granting Non-Trustee 102 Awards simultaneously.</w:t>
      </w:r>
    </w:p>
    <w:p>
      <w:pPr>
        <w:spacing w:after="0" w:line="189" w:lineRule="exact"/>
        <w:rPr>
          <w:sz w:val="20"/>
          <w:szCs w:val="20"/>
          <w:color w:val="auto"/>
        </w:rPr>
      </w:pPr>
    </w:p>
    <w:p>
      <w:pPr>
        <w:ind w:left="640" w:right="160" w:hanging="637"/>
        <w:spacing w:after="0" w:line="277" w:lineRule="auto"/>
        <w:tabs>
          <w:tab w:leader="none" w:pos="62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All Trustee 102 Awards must be held in trust by, or subject to the approval of the ITA, under the control or supervision of a Trustee, as described in Section 4 below.</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designation of Non-Trustee 102 Awards and Trustee 102 Awards shall be subject to the terms and conditions set forth in Section 102.</w:t>
      </w:r>
    </w:p>
    <w:p>
      <w:pPr>
        <w:spacing w:after="0" w:line="225" w:lineRule="exact"/>
        <w:rPr>
          <w:sz w:val="20"/>
          <w:szCs w:val="20"/>
          <w:color w:val="auto"/>
        </w:rPr>
      </w:pPr>
    </w:p>
    <w:p>
      <w:pPr>
        <w:ind w:left="640" w:right="80" w:hanging="637"/>
        <w:spacing w:after="0" w:line="277" w:lineRule="auto"/>
        <w:tabs>
          <w:tab w:leader="none" w:pos="62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Awards granted to Unapproved Israeli Participants shall be subject to tax according to the provisions of the Ordinance and shall not be subject to the Trustee arrangement detailed herein.</w:t>
      </w:r>
    </w:p>
    <w:p>
      <w:pPr>
        <w:spacing w:after="0" w:line="166" w:lineRule="exact"/>
        <w:rPr>
          <w:sz w:val="20"/>
          <w:szCs w:val="20"/>
          <w:color w:val="auto"/>
        </w:rPr>
      </w:pPr>
    </w:p>
    <w:p>
      <w:pPr>
        <w:ind w:left="660" w:hanging="652"/>
        <w:spacing w:after="0"/>
        <w:tabs>
          <w:tab w:leader="none" w:pos="660" w:val="left"/>
        </w:tabs>
        <w:numPr>
          <w:ilvl w:val="0"/>
          <w:numId w:val="295"/>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p>
    <w:p>
      <w:pPr>
        <w:spacing w:after="0" w:line="229" w:lineRule="exact"/>
        <w:rPr>
          <w:sz w:val="20"/>
          <w:szCs w:val="20"/>
          <w:color w:val="auto"/>
        </w:rPr>
      </w:pPr>
    </w:p>
    <w:p>
      <w:pPr>
        <w:ind w:left="640" w:right="60" w:hanging="637"/>
        <w:spacing w:after="0" w:line="257" w:lineRule="auto"/>
        <w:tabs>
          <w:tab w:leader="none" w:pos="6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Trustee 102 Awards which shall be granted under this Sub-Plan and/or any Share allocated or issued upon grant, exercise or vesting of a Trustee 102 Award and/or other Shares received following any realization of rights under the Plan, shall be allocated or issued to the Trustee or controlled by the Trustee, for the benefit of the Approved Israeli Participants, in accordance with the provisions of Section 102. In the event that the requirements for Trustee 102 Awards are not met, the Trustee 102 Awards may be regarded as Non-Trustee 102 Awards or as Awards which are not subject to Section 102, all in accordance with the provisions of Section 102.</w:t>
      </w:r>
    </w:p>
    <w:p>
      <w:pPr>
        <w:sectPr>
          <w:pgSz w:w="11900" w:h="16838" w:orient="portrait"/>
          <w:cols w:equalWidth="0" w:num="1">
            <w:col w:w="11400"/>
          </w:cols>
          <w:pgMar w:left="240" w:top="121" w:right="259" w:bottom="0" w:gutter="0" w:footer="0" w:header="0"/>
        </w:sectPr>
      </w:pPr>
    </w:p>
    <w:bookmarkStart w:id="326" w:name="page327"/>
    <w:bookmarkEnd w:id="326"/>
    <w:p>
      <w:pPr>
        <w:spacing w:after="0" w:line="90" w:lineRule="exact"/>
        <w:rPr>
          <w:sz w:val="20"/>
          <w:szCs w:val="20"/>
          <w:color w:val="auto"/>
        </w:rPr>
      </w:pPr>
    </w:p>
    <w:p>
      <w:pPr>
        <w:ind w:left="640" w:right="200" w:hanging="635"/>
        <w:spacing w:after="0" w:line="259" w:lineRule="auto"/>
        <w:tabs>
          <w:tab w:leader="none" w:pos="6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With respect to any Trustee 102 Award, subject to the provisions of Section 102, an Approved Israeli Participant shall not sell or release from trust any Share received upon the grant, exercise or vesting of a Trustee 102 Award and/or any Share received following any realization of rights, including, without limitation, stock dividends, under the Plan at least until the lapse of the period of time required under Section 102 or any shorter period of time determined by the ITA (the “</w:t>
      </w:r>
      <w:r>
        <w:rPr>
          <w:rFonts w:ascii="Arial" w:cs="Arial" w:eastAsia="Arial" w:hAnsi="Arial"/>
          <w:sz w:val="18"/>
          <w:szCs w:val="18"/>
          <w:b w:val="1"/>
          <w:bCs w:val="1"/>
          <w:color w:val="auto"/>
        </w:rPr>
        <w:t>Holding Period</w:t>
      </w:r>
      <w:r>
        <w:rPr>
          <w:rFonts w:ascii="Arial" w:cs="Arial" w:eastAsia="Arial" w:hAnsi="Arial"/>
          <w:sz w:val="18"/>
          <w:szCs w:val="18"/>
          <w:color w:val="auto"/>
        </w:rPr>
        <w:t>”). Notwithstanding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color w:val="auto"/>
        </w:rPr>
        <w:t>the above, if any such sale or release occurs during the Holding Period, the sanctions under Section 102 shall apply to and shall be borne by such Approved Israeli Participant.</w:t>
      </w:r>
    </w:p>
    <w:p>
      <w:pPr>
        <w:spacing w:after="0" w:line="170" w:lineRule="exact"/>
        <w:rPr>
          <w:sz w:val="20"/>
          <w:szCs w:val="20"/>
          <w:color w:val="auto"/>
        </w:rPr>
      </w:pPr>
    </w:p>
    <w:p>
      <w:pPr>
        <w:ind w:left="640" w:hanging="635"/>
        <w:spacing w:after="0" w:line="264" w:lineRule="auto"/>
        <w:tabs>
          <w:tab w:leader="none" w:pos="6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Notwithstanding anything to the contrary, the Trustee shall not release or sell any Shares allocated or issued upon grant, exercise or vesting of a Trustee 102 Award unless the Company, its relevant Israeli Subsidiary and the Trustee are satisfied that the full amounts of Tax due have been paid or will be paid.</w:t>
      </w:r>
    </w:p>
    <w:p>
      <w:pPr>
        <w:spacing w:after="0" w:line="181" w:lineRule="exact"/>
        <w:rPr>
          <w:sz w:val="20"/>
          <w:szCs w:val="20"/>
          <w:color w:val="auto"/>
        </w:rPr>
      </w:pPr>
    </w:p>
    <w:p>
      <w:pPr>
        <w:ind w:left="640" w:right="180" w:hanging="635"/>
        <w:spacing w:after="0" w:line="277" w:lineRule="auto"/>
        <w:tabs>
          <w:tab w:leader="none" w:pos="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Upon receipt of any Trustee 102 Award, the Approved Israeli Participant will consent to the grant of the Award under Section 102 and undertake to comply with the terms of Section 102 and the trust arrangement between the Company and the Trustee.</w:t>
      </w:r>
    </w:p>
    <w:p>
      <w:pPr>
        <w:spacing w:after="0" w:line="166" w:lineRule="exact"/>
        <w:rPr>
          <w:sz w:val="20"/>
          <w:szCs w:val="20"/>
          <w:color w:val="auto"/>
        </w:rPr>
      </w:pPr>
    </w:p>
    <w:p>
      <w:pPr>
        <w:ind w:left="660" w:hanging="652"/>
        <w:spacing w:after="0"/>
        <w:tabs>
          <w:tab w:leader="none" w:pos="660"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THE AWARDS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terms and conditions upon which the Awards shall be issued and exercised or vest, as applicable, shall be specified in the Israeli Stock Award Agreement to be executed pursuant to the Plan and to this Sub-Plan. Each Israeli Stock Award Agreement shall state, </w:t>
      </w:r>
      <w:r>
        <w:rPr>
          <w:rFonts w:ascii="Arial" w:cs="Arial" w:eastAsia="Arial" w:hAnsi="Arial"/>
          <w:sz w:val="18"/>
          <w:szCs w:val="18"/>
          <w:i w:val="1"/>
          <w:iCs w:val="1"/>
          <w:color w:val="auto"/>
        </w:rPr>
        <w:t>inter alia</w:t>
      </w:r>
      <w:r>
        <w:rPr>
          <w:rFonts w:ascii="Arial" w:cs="Arial" w:eastAsia="Arial" w:hAnsi="Arial"/>
          <w:sz w:val="18"/>
          <w:szCs w:val="18"/>
          <w:color w:val="auto"/>
        </w:rPr>
        <w:t>, the number of Shares to which the Award relates, the type of Award granted thereunder (</w:t>
      </w:r>
      <w:r>
        <w:rPr>
          <w:rFonts w:ascii="Arial" w:cs="Arial" w:eastAsia="Arial" w:hAnsi="Arial"/>
          <w:sz w:val="18"/>
          <w:szCs w:val="18"/>
          <w:i w:val="1"/>
          <w:iCs w:val="1"/>
          <w:color w:val="auto"/>
        </w:rPr>
        <w:t>i.e.</w:t>
      </w:r>
      <w:r>
        <w:rPr>
          <w:rFonts w:ascii="Arial" w:cs="Arial" w:eastAsia="Arial" w:hAnsi="Arial"/>
          <w:sz w:val="18"/>
          <w:szCs w:val="18"/>
          <w:color w:val="auto"/>
        </w:rPr>
        <w:t>, a CGA, OIA or Non-Trustee 102 Award), and any applicable vesting provisions and exercise price that may be payable.</w:t>
      </w:r>
    </w:p>
    <w:p>
      <w:pPr>
        <w:spacing w:after="0" w:line="183" w:lineRule="exact"/>
        <w:rPr>
          <w:sz w:val="20"/>
          <w:szCs w:val="20"/>
          <w:color w:val="auto"/>
        </w:rPr>
      </w:pPr>
    </w:p>
    <w:p>
      <w:pPr>
        <w:ind w:left="660" w:hanging="652"/>
        <w:spacing w:after="0"/>
        <w:tabs>
          <w:tab w:leader="none" w:pos="660"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EXERCISE AND VESTING OF AWARDS</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Vesting and exercise of Awards granted to Israeli Participants shall be subject to the terms and conditions and, with respect to exercise, the method, as may be determined by the Company (including the provisions of the Plan) and, when applicable, by the Trustee, in accordance with the requirements of Section 102.</w:t>
      </w:r>
    </w:p>
    <w:p>
      <w:pPr>
        <w:spacing w:after="0" w:line="120" w:lineRule="exact"/>
        <w:rPr>
          <w:sz w:val="20"/>
          <w:szCs w:val="20"/>
          <w:color w:val="auto"/>
        </w:rPr>
      </w:pPr>
    </w:p>
    <w:p>
      <w:pPr>
        <w:ind w:left="660" w:hanging="652"/>
        <w:spacing w:after="0"/>
        <w:tabs>
          <w:tab w:leader="none" w:pos="660"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ASSIGNABILITY, DESIGNATION AND SALE OF AWARDS</w:t>
      </w:r>
    </w:p>
    <w:p>
      <w:pPr>
        <w:spacing w:after="0" w:line="229" w:lineRule="exact"/>
        <w:rPr>
          <w:sz w:val="20"/>
          <w:szCs w:val="20"/>
          <w:color w:val="auto"/>
        </w:rPr>
      </w:pPr>
    </w:p>
    <w:p>
      <w:pPr>
        <w:ind w:left="640" w:hanging="637"/>
        <w:spacing w:after="0" w:line="302" w:lineRule="auto"/>
        <w:tabs>
          <w:tab w:leader="none" w:pos="62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Notwithstanding any other provision of the Plan, no Trustee 102 Award or any right with respect thereto, or purchasable hereunder, whether fully paid or not, shall be assignable, transferable or given as collateral, or any right with respect to any Trustee 102 Award given to any third party whatsoever, and during the lifetime of the Israeli Participant, each and all of such Israeli Participant’s rights with respect to a Trustee 102 Award shall belong only to the Israeli Participant. Any such action made directly or indirectly, for an immediate or future validation, shall be void.</w:t>
      </w:r>
    </w:p>
    <w:p>
      <w:pPr>
        <w:spacing w:after="0" w:line="154" w:lineRule="exact"/>
        <w:rPr>
          <w:sz w:val="20"/>
          <w:szCs w:val="20"/>
          <w:color w:val="auto"/>
        </w:rPr>
      </w:pPr>
    </w:p>
    <w:p>
      <w:pPr>
        <w:ind w:left="660" w:right="600" w:hanging="647"/>
        <w:spacing w:after="0" w:line="342"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As long as Awards or Shares issued or purchased hereunder are held by the Trustee on behalf of the Israeli Participant, all rights of the Israeli Participant over the Shares cannot be transferred, assigned, pledged or mortgaged, other than by will or laws of descent and distribution.</w:t>
      </w:r>
    </w:p>
    <w:p>
      <w:pPr>
        <w:spacing w:after="0" w:line="120" w:lineRule="exact"/>
        <w:rPr>
          <w:sz w:val="20"/>
          <w:szCs w:val="20"/>
          <w:color w:val="auto"/>
        </w:rPr>
      </w:pPr>
    </w:p>
    <w:p>
      <w:pPr>
        <w:ind w:left="660" w:hanging="652"/>
        <w:spacing w:after="0"/>
        <w:tabs>
          <w:tab w:leader="none" w:pos="6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 OF SECTION 102 AND TAX ASSESSING OFFICER’S APPROVAL</w:t>
      </w:r>
    </w:p>
    <w:p>
      <w:pPr>
        <w:spacing w:after="0" w:line="229"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With regard to Trustee 102 Awards, the provisions of the Plan and/or the Sub-Plan and/or the Israeli Stock Award Agreement shall be subject to the provisions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right="500"/>
        <w:spacing w:after="0" w:line="277" w:lineRule="auto"/>
        <w:rPr>
          <w:sz w:val="20"/>
          <w:szCs w:val="20"/>
          <w:color w:val="auto"/>
        </w:rPr>
      </w:pPr>
      <w:r>
        <w:rPr>
          <w:rFonts w:ascii="Arial" w:cs="Arial" w:eastAsia="Arial" w:hAnsi="Arial"/>
          <w:sz w:val="18"/>
          <w:szCs w:val="18"/>
          <w:color w:val="auto"/>
        </w:rPr>
        <w:t>102 and any approval issued by the ITA and the said provisions shall be deemed an integral part of the Plan, the Sub-Plan and the Israeli Stock Award Agreement.</w:t>
      </w:r>
    </w:p>
    <w:p>
      <w:pPr>
        <w:spacing w:after="0" w:line="170" w:lineRule="exact"/>
        <w:rPr>
          <w:sz w:val="20"/>
          <w:szCs w:val="20"/>
          <w:color w:val="auto"/>
        </w:rPr>
      </w:pPr>
    </w:p>
    <w:p>
      <w:pPr>
        <w:ind w:left="640" w:right="100" w:hanging="635"/>
        <w:spacing w:after="0" w:line="264"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Any provision of Section 102 and/or said approval issued by the ITA which must be complied with in order to receive and/or to maintain any tax Award pursuant to Section 102, which is not expressly specified in the Plan, the Sub-Plan or the Israeli Stock Award Agreement, shall be considered binding upon the Company, the relevant Israeli Subsidiary and the Israeli Participants.</w:t>
      </w:r>
    </w:p>
    <w:p>
      <w:pPr>
        <w:spacing w:after="0" w:line="177" w:lineRule="exact"/>
        <w:rPr>
          <w:sz w:val="20"/>
          <w:szCs w:val="20"/>
          <w:color w:val="auto"/>
        </w:rPr>
      </w:pPr>
    </w:p>
    <w:p>
      <w:pPr>
        <w:ind w:left="660" w:hanging="652"/>
        <w:spacing w:after="0"/>
        <w:tabs>
          <w:tab w:leader="none" w:pos="660"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t>DIVIDEND</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Subject to the provisions of the Plan, with respect to all Shares allocated or issued subsequent to the grant, exercise or vesting of Awards granted to the Israeli Participant and held by the Israeli Participant or by the Trustee, as the case may be, the Israeli Participant shall be entitled to receive dividends, if any, in accordance with the quantity of such Shares, subject to the provisions of the Company’s Articles of Incorporation (and all amendments thereto) and subject to any applicable taxation on distribution of dividends, and when applicable subject to the provisions of Section 102 and the rules, regulations or orders promulgated thereunder.</w:t>
      </w:r>
    </w:p>
    <w:p>
      <w:pPr>
        <w:spacing w:after="0" w:line="184" w:lineRule="exact"/>
        <w:rPr>
          <w:sz w:val="20"/>
          <w:szCs w:val="20"/>
          <w:color w:val="auto"/>
        </w:rPr>
      </w:pPr>
    </w:p>
    <w:p>
      <w:pPr>
        <w:ind w:left="660" w:hanging="652"/>
        <w:spacing w:after="0"/>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TAX CONSEQUENCES</w:t>
      </w:r>
    </w:p>
    <w:p>
      <w:pPr>
        <w:spacing w:after="0" w:line="229" w:lineRule="exact"/>
        <w:rPr>
          <w:sz w:val="20"/>
          <w:szCs w:val="20"/>
          <w:color w:val="auto"/>
        </w:rPr>
      </w:pPr>
    </w:p>
    <w:p>
      <w:pPr>
        <w:ind w:left="640" w:right="40" w:hanging="647"/>
        <w:spacing w:after="0" w:line="255"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Any tax consequences arising from the grant, exercise, vesting or sale of any Award, from the payment for and/or sale of Shares covered thereby or from any other event or act (of the Company, and/or its Subsidiaries, and the Trustee or the Israeli Participant), hereunder, shall be borne solely by the Israeli Participant. The Company and/or its Subsidiaries and/or the Trustee shall withhold Tax according to the requirements under the applicable laws, rules, and regulations, including withholding taxes at source. Furthermore, the Israeli Participant agrees to indemnify the Company and/or its Subsidiaries and/or the Trustee and hold them harmless against and from any and all liability for any such Tax or interest or penalty thereon, including without limitation, liabilities relating to the necessity to withhold, or to have withheld, any such Tax from any payment made to the Israeli Participant.</w:t>
      </w:r>
    </w:p>
    <w:p>
      <w:pPr>
        <w:spacing w:after="0" w:line="189"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Company and/or, when applicable, the Trustee shall not be required to release any Award or Share to an Israeli Participant until all required Tax payments have been fully made.</w:t>
      </w:r>
    </w:p>
    <w:p>
      <w:pPr>
        <w:sectPr>
          <w:pgSz w:w="11900" w:h="16929" w:orient="portrait"/>
          <w:cols w:equalWidth="0" w:num="1">
            <w:col w:w="11420"/>
          </w:cols>
          <w:pgMar w:left="240" w:top="125" w:right="239" w:bottom="0" w:gutter="0" w:footer="0" w:header="0"/>
        </w:sectPr>
      </w:pPr>
    </w:p>
    <w:bookmarkStart w:id="327" w:name="page328"/>
    <w:bookmarkEnd w:id="327"/>
    <w:p>
      <w:pPr>
        <w:ind w:left="640" w:right="100" w:hanging="647"/>
        <w:spacing w:after="0" w:line="264"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With respect to Non-Trustee 102 Awards, if the Israeli Participant ceases to be employed by the Company or any Subsidiary, or otherwise if so requested by the Company or the Subsidiary, the Israeli Participant shall extend to the Company and/or the Subsidiary a security or guarantee for the payment of Tax due at the time of sale of Shares, in accordance with the provisions of Section 102.</w:t>
      </w:r>
    </w:p>
    <w:p>
      <w:pPr>
        <w:spacing w:after="0" w:line="181"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For avoidance of doubt it is clarified that the tax treatment of any Award granted under this Plan is not guaranteed and although Awards may be granted under a certain tax route, they may become subject to a different tax route in the future.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40" w:hanging="632"/>
        <w:spacing w:after="0"/>
        <w:tabs>
          <w:tab w:leader="none" w:pos="640"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TERM OF PLAN AND SUB-PLAN</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Notwithstanding anything to the contrary in the Plan and in addition thereto, the Company shall obtain all approvals for the adoption of this Sub-Plan or for any amendment to this Sub-Plan as are necessary to comply with any law applicable to Awards granted to Israeli Participants under this Sub-Plan or with the Company’s incorporation documents.</w:t>
      </w:r>
    </w:p>
    <w:p>
      <w:pPr>
        <w:spacing w:after="0" w:line="177" w:lineRule="exact"/>
        <w:rPr>
          <w:sz w:val="20"/>
          <w:szCs w:val="20"/>
          <w:color w:val="auto"/>
        </w:rPr>
      </w:pPr>
    </w:p>
    <w:p>
      <w:pPr>
        <w:ind w:left="660" w:hanging="652"/>
        <w:spacing w:after="0"/>
        <w:tabs>
          <w:tab w:leader="none" w:pos="660"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ONE TIME AWARD</w:t>
      </w:r>
    </w:p>
    <w:p>
      <w:pPr>
        <w:spacing w:after="0" w:line="22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Awards and underlying Shares are extraordinary, one-time Awards granted to the Israeli Participants, and are not and shall not be deemed a salary component for any purpose whatsoever, including in connection with calculating severance compensation under applicable law.</w:t>
      </w:r>
    </w:p>
    <w:p>
      <w:pPr>
        <w:spacing w:after="0" w:line="147" w:lineRule="exact"/>
        <w:rPr>
          <w:sz w:val="20"/>
          <w:szCs w:val="20"/>
          <w:color w:val="auto"/>
        </w:rPr>
      </w:pPr>
    </w:p>
    <w:p>
      <w:pPr>
        <w:jc w:val="center"/>
        <w:ind w:right="20"/>
        <w:spacing w:after="0"/>
        <w:tabs>
          <w:tab w:leader="none" w:pos="200" w:val="left"/>
          <w:tab w:leader="none" w:pos="200" w:val="left"/>
        </w:tabs>
        <w:rPr>
          <w:sz w:val="20"/>
          <w:szCs w:val="20"/>
          <w:color w:val="auto"/>
        </w:rPr>
      </w:pPr>
      <w:r>
        <w:rPr>
          <w:rFonts w:ascii="Arial" w:cs="Arial" w:eastAsia="Arial" w:hAnsi="Arial"/>
          <w:sz w:val="18"/>
          <w:szCs w:val="18"/>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THE SECURITIES REPRESENTED HEREBY HAVE NOT BEEN REGISTERED OR QUALIFIED UNDER THE U.S. SECURITIES ACT OF 1933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10GEN,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2008 STOCK INCENTIVE PLAN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NOTICE OF STOCK OPTION GRANT — 102 CAPITAL GAINS ROUTE</w:t>
      </w:r>
    </w:p>
    <w:p>
      <w:pPr>
        <w:spacing w:after="0" w:line="21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MongoDB, Inc. (the “Company”) hereby grants you the following Option to purchase shares of its Class A common stock (“Shares”). The terms and conditions of this Option are set forth in the Stock Option Agreement and the 10Gen, Inc. 2008 Stock Incentive Plan, including its Sub-Plan for Israeli Participants (together the “Plan”), both of which are attached to and made a part of this document.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20"/>
                <w:szCs w:val="20"/>
                <w:color w:val="auto"/>
              </w:rPr>
            </w:pPr>
            <w:r>
              <w:rPr>
                <w:rFonts w:ascii="Arial" w:cs="Arial" w:eastAsia="Arial" w:hAnsi="Arial"/>
                <w:sz w:val="18"/>
                <w:szCs w:val="18"/>
                <w:i w:val="1"/>
                <w:iCs w:val="1"/>
                <w:color w:val="auto"/>
              </w:rPr>
              <w:t>Date of Grant:</w:t>
            </w:r>
          </w:p>
        </w:tc>
        <w:tc>
          <w:tcPr>
            <w:tcW w:w="9220" w:type="dxa"/>
            <w:vAlign w:val="bottom"/>
          </w:tcPr>
          <w:p>
            <w:pPr>
              <w:ind w:left="320"/>
              <w:spacing w:after="0"/>
              <w:rPr>
                <w:sz w:val="20"/>
                <w:szCs w:val="20"/>
                <w:color w:val="auto"/>
              </w:rPr>
            </w:pPr>
            <w:r>
              <w:rPr>
                <w:rFonts w:ascii="Arial" w:cs="Arial" w:eastAsia="Arial" w:hAnsi="Arial"/>
                <w:sz w:val="18"/>
                <w:szCs w:val="18"/>
                <w:color w:val="auto"/>
              </w:rPr>
              <w:t>[Date of Grant]</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Name of Optionee:</w:t>
            </w:r>
          </w:p>
        </w:tc>
        <w:tc>
          <w:tcPr>
            <w:tcW w:w="9220" w:type="dxa"/>
            <w:vAlign w:val="bottom"/>
          </w:tcPr>
          <w:p>
            <w:pPr>
              <w:ind w:left="320"/>
              <w:spacing w:after="0"/>
              <w:rPr>
                <w:sz w:val="20"/>
                <w:szCs w:val="20"/>
                <w:color w:val="auto"/>
              </w:rPr>
            </w:pPr>
            <w:r>
              <w:rPr>
                <w:rFonts w:ascii="Arial" w:cs="Arial" w:eastAsia="Arial" w:hAnsi="Arial"/>
                <w:sz w:val="18"/>
                <w:szCs w:val="18"/>
                <w:color w:val="auto"/>
              </w:rPr>
              <w:t>[First Name Last Name]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Number of Option Shares:</w:t>
            </w:r>
          </w:p>
        </w:tc>
        <w:tc>
          <w:tcPr>
            <w:tcW w:w="9220" w:type="dxa"/>
            <w:vAlign w:val="bottom"/>
          </w:tcPr>
          <w:p>
            <w:pPr>
              <w:ind w:left="320"/>
              <w:spacing w:after="0"/>
              <w:rPr>
                <w:sz w:val="20"/>
                <w:szCs w:val="20"/>
                <w:color w:val="auto"/>
              </w:rPr>
            </w:pPr>
            <w:r>
              <w:rPr>
                <w:rFonts w:ascii="Arial" w:cs="Arial" w:eastAsia="Arial" w:hAnsi="Arial"/>
                <w:sz w:val="18"/>
                <w:szCs w:val="18"/>
                <w:color w:val="auto"/>
              </w:rPr>
              <w:t>[Options Granted]</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Exercise Price per Share:</w:t>
            </w:r>
          </w:p>
        </w:tc>
        <w:tc>
          <w:tcPr>
            <w:tcW w:w="9220" w:type="dxa"/>
            <w:vAlign w:val="bottom"/>
          </w:tcPr>
          <w:p>
            <w:pPr>
              <w:ind w:left="320"/>
              <w:spacing w:after="0"/>
              <w:rPr>
                <w:sz w:val="20"/>
                <w:szCs w:val="20"/>
                <w:color w:val="auto"/>
              </w:rPr>
            </w:pPr>
            <w:r>
              <w:rPr>
                <w:rFonts w:ascii="Arial" w:cs="Arial" w:eastAsia="Arial" w:hAnsi="Arial"/>
                <w:sz w:val="18"/>
                <w:szCs w:val="18"/>
                <w:color w:val="auto"/>
                <w:w w:val="91"/>
              </w:rPr>
              <w:t>[Exercise Price] (The Exercise Price per Share of an Option shall not be less than one hundred percent (100%) of the Fair</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Market Value of a Share on the date of grant.</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Start Date:</w:t>
            </w:r>
          </w:p>
        </w:tc>
        <w:tc>
          <w:tcPr>
            <w:tcW w:w="9220" w:type="dxa"/>
            <w:vAlign w:val="bottom"/>
          </w:tcPr>
          <w:p>
            <w:pPr>
              <w:ind w:left="320"/>
              <w:spacing w:after="0"/>
              <w:rPr>
                <w:sz w:val="20"/>
                <w:szCs w:val="20"/>
                <w:color w:val="auto"/>
              </w:rPr>
            </w:pPr>
            <w:r>
              <w:rPr>
                <w:rFonts w:ascii="Arial" w:cs="Arial" w:eastAsia="Arial" w:hAnsi="Arial"/>
                <w:sz w:val="18"/>
                <w:szCs w:val="18"/>
                <w:color w:val="auto"/>
              </w:rPr>
              <w:t>[Vesting Start Date]</w:t>
            </w:r>
          </w:p>
        </w:tc>
      </w:tr>
      <w:tr>
        <w:trPr>
          <w:trHeight w:val="432"/>
        </w:trPr>
        <w:tc>
          <w:tcPr>
            <w:tcW w:w="2240" w:type="dxa"/>
            <w:vAlign w:val="bottom"/>
          </w:tcPr>
          <w:p>
            <w:pPr>
              <w:spacing w:after="0"/>
              <w:rPr>
                <w:sz w:val="20"/>
                <w:szCs w:val="20"/>
                <w:color w:val="auto"/>
              </w:rPr>
            </w:pPr>
            <w:r>
              <w:rPr>
                <w:rFonts w:ascii="Arial" w:cs="Arial" w:eastAsia="Arial" w:hAnsi="Arial"/>
                <w:sz w:val="18"/>
                <w:szCs w:val="18"/>
                <w:i w:val="1"/>
                <w:iCs w:val="1"/>
                <w:color w:val="auto"/>
              </w:rPr>
              <w:t>Type of Option:</w:t>
            </w:r>
          </w:p>
        </w:tc>
        <w:tc>
          <w:tcPr>
            <w:tcW w:w="9220" w:type="dxa"/>
            <w:vAlign w:val="bottom"/>
          </w:tcPr>
          <w:p>
            <w:pPr>
              <w:ind w:left="320"/>
              <w:spacing w:after="0"/>
              <w:rPr>
                <w:sz w:val="20"/>
                <w:szCs w:val="20"/>
                <w:color w:val="auto"/>
              </w:rPr>
            </w:pPr>
            <w:r>
              <w:rPr>
                <w:rFonts w:ascii="Arial" w:cs="Arial" w:eastAsia="Arial" w:hAnsi="Arial"/>
                <w:sz w:val="18"/>
                <w:szCs w:val="18"/>
                <w:color w:val="auto"/>
              </w:rPr>
              <w:t>Type of Grant: 102 Capital Gains Route</w:t>
            </w:r>
          </w:p>
        </w:tc>
      </w:tr>
      <w:tr>
        <w:trPr>
          <w:trHeight w:val="418"/>
        </w:trPr>
        <w:tc>
          <w:tcPr>
            <w:tcW w:w="2240" w:type="dxa"/>
            <w:vAlign w:val="bottom"/>
          </w:tcPr>
          <w:p>
            <w:pPr>
              <w:spacing w:after="0"/>
              <w:rPr>
                <w:sz w:val="20"/>
                <w:szCs w:val="20"/>
                <w:color w:val="auto"/>
              </w:rPr>
            </w:pPr>
            <w:r>
              <w:rPr>
                <w:rFonts w:ascii="Arial" w:cs="Arial" w:eastAsia="Arial" w:hAnsi="Arial"/>
                <w:sz w:val="18"/>
                <w:szCs w:val="18"/>
                <w:i w:val="1"/>
                <w:iCs w:val="1"/>
                <w:color w:val="auto"/>
              </w:rPr>
              <w:t>Vesting Schedule:</w:t>
            </w:r>
          </w:p>
        </w:tc>
        <w:tc>
          <w:tcPr>
            <w:tcW w:w="9220" w:type="dxa"/>
            <w:vAlign w:val="bottom"/>
          </w:tcPr>
          <w:p>
            <w:pPr>
              <w:ind w:left="320"/>
              <w:spacing w:after="0"/>
              <w:rPr>
                <w:sz w:val="20"/>
                <w:szCs w:val="20"/>
                <w:color w:val="auto"/>
              </w:rPr>
            </w:pPr>
            <w:r>
              <w:rPr>
                <w:rFonts w:ascii="Arial" w:cs="Arial" w:eastAsia="Arial" w:hAnsi="Arial"/>
                <w:sz w:val="18"/>
                <w:szCs w:val="18"/>
                <w:color w:val="auto"/>
                <w:w w:val="96"/>
              </w:rPr>
              <w:t>The Option vests with respect to the first 25% of the Shares when the Optionee completes 12 months of continuous</w:t>
            </w:r>
          </w:p>
        </w:tc>
      </w:tr>
      <w:tr>
        <w:trPr>
          <w:trHeight w:val="216"/>
        </w:trPr>
        <w:tc>
          <w:tcPr>
            <w:tcW w:w="2240" w:type="dxa"/>
            <w:vAlign w:val="bottom"/>
          </w:tcPr>
          <w:p>
            <w:pPr>
              <w:spacing w:after="0"/>
              <w:rPr>
                <w:sz w:val="18"/>
                <w:szCs w:val="18"/>
                <w:color w:val="auto"/>
              </w:rPr>
            </w:pPr>
          </w:p>
        </w:tc>
        <w:tc>
          <w:tcPr>
            <w:tcW w:w="9220" w:type="dxa"/>
            <w:vAlign w:val="bottom"/>
          </w:tcPr>
          <w:p>
            <w:pPr>
              <w:ind w:left="320"/>
              <w:spacing w:after="0" w:line="216" w:lineRule="exact"/>
              <w:rPr>
                <w:sz w:val="20"/>
                <w:szCs w:val="20"/>
                <w:color w:val="auto"/>
              </w:rPr>
            </w:pPr>
            <w:r>
              <w:rPr>
                <w:rFonts w:ascii="Arial" w:cs="Arial" w:eastAsia="Arial" w:hAnsi="Arial"/>
                <w:sz w:val="18"/>
                <w:szCs w:val="18"/>
                <w:color w:val="auto"/>
                <w:w w:val="92"/>
              </w:rPr>
              <w:t>Service after the Vesting Start Date, and with respect to an additional 1/48</w:t>
            </w:r>
            <w:r>
              <w:rPr>
                <w:rFonts w:ascii="Arial" w:cs="Arial" w:eastAsia="Arial" w:hAnsi="Arial"/>
                <w:sz w:val="23"/>
                <w:szCs w:val="23"/>
                <w:color w:val="auto"/>
                <w:w w:val="92"/>
                <w:vertAlign w:val="superscript"/>
              </w:rPr>
              <w:t>th</w:t>
            </w:r>
            <w:r>
              <w:rPr>
                <w:rFonts w:ascii="Arial" w:cs="Arial" w:eastAsia="Arial" w:hAnsi="Arial"/>
                <w:sz w:val="18"/>
                <w:szCs w:val="18"/>
                <w:color w:val="auto"/>
                <w:w w:val="92"/>
              </w:rPr>
              <w:t xml:space="preserve"> of the Shares when the Optionee completes</w:t>
            </w:r>
          </w:p>
        </w:tc>
      </w:tr>
      <w:tr>
        <w:trPr>
          <w:trHeight w:val="230"/>
        </w:trPr>
        <w:tc>
          <w:tcPr>
            <w:tcW w:w="2240" w:type="dxa"/>
            <w:vAlign w:val="bottom"/>
          </w:tcPr>
          <w:p>
            <w:pPr>
              <w:spacing w:after="0"/>
              <w:rPr>
                <w:sz w:val="20"/>
                <w:szCs w:val="20"/>
                <w:color w:val="auto"/>
              </w:rPr>
            </w:pPr>
          </w:p>
        </w:tc>
        <w:tc>
          <w:tcPr>
            <w:tcW w:w="9220" w:type="dxa"/>
            <w:vAlign w:val="bottom"/>
          </w:tcPr>
          <w:p>
            <w:pPr>
              <w:ind w:left="320"/>
              <w:spacing w:after="0"/>
              <w:rPr>
                <w:sz w:val="20"/>
                <w:szCs w:val="20"/>
                <w:color w:val="auto"/>
              </w:rPr>
            </w:pPr>
            <w:r>
              <w:rPr>
                <w:rFonts w:ascii="Arial" w:cs="Arial" w:eastAsia="Arial" w:hAnsi="Arial"/>
                <w:sz w:val="18"/>
                <w:szCs w:val="18"/>
                <w:color w:val="auto"/>
              </w:rPr>
              <w:t>each full month of continuous Service thereafter.</w:t>
            </w:r>
          </w:p>
        </w:tc>
      </w:tr>
      <w:tr>
        <w:trPr>
          <w:trHeight w:val="418"/>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7"/>
              </w:rPr>
              <w:t>MONGODB, INC.</w:t>
            </w:r>
          </w:p>
        </w:tc>
      </w:tr>
      <w:tr>
        <w:trPr>
          <w:trHeight w:val="230"/>
        </w:trPr>
        <w:tc>
          <w:tcPr>
            <w:tcW w:w="2240" w:type="dxa"/>
            <w:vAlign w:val="bottom"/>
          </w:tcPr>
          <w:p>
            <w:pPr>
              <w:spacing w:after="0"/>
              <w:rPr>
                <w:sz w:val="20"/>
                <w:szCs w:val="20"/>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5"/>
              </w:rPr>
              <w:t>NOTICE OF STOCK OPTION GRANT</w:t>
            </w:r>
          </w:p>
        </w:tc>
      </w:tr>
      <w:tr>
        <w:trPr>
          <w:trHeight w:val="432"/>
        </w:trPr>
        <w:tc>
          <w:tcPr>
            <w:tcW w:w="2240" w:type="dxa"/>
            <w:vAlign w:val="bottom"/>
          </w:tcPr>
          <w:p>
            <w:pPr>
              <w:spacing w:after="0"/>
              <w:rPr>
                <w:sz w:val="24"/>
                <w:szCs w:val="24"/>
                <w:color w:val="auto"/>
              </w:rPr>
            </w:pPr>
          </w:p>
        </w:tc>
        <w:tc>
          <w:tcPr>
            <w:tcW w:w="9220" w:type="dxa"/>
            <w:vAlign w:val="bottom"/>
          </w:tcPr>
          <w:p>
            <w:pPr>
              <w:jc w:val="center"/>
              <w:ind w:right="2190"/>
              <w:spacing w:after="0"/>
              <w:rPr>
                <w:sz w:val="20"/>
                <w:szCs w:val="20"/>
                <w:color w:val="auto"/>
              </w:rPr>
            </w:pPr>
            <w:r>
              <w:rPr>
                <w:rFonts w:ascii="Arial" w:cs="Arial" w:eastAsia="Arial" w:hAnsi="Arial"/>
                <w:sz w:val="18"/>
                <w:szCs w:val="18"/>
                <w:color w:val="auto"/>
                <w:w w:val="99"/>
              </w:rPr>
              <w:t>1</w:t>
            </w:r>
          </w:p>
        </w:tc>
      </w:tr>
      <w:tr>
        <w:trPr>
          <w:trHeight w:val="132"/>
        </w:trPr>
        <w:tc>
          <w:tcPr>
            <w:tcW w:w="2240" w:type="dxa"/>
            <w:vAlign w:val="bottom"/>
            <w:tcBorders>
              <w:bottom w:val="single" w:sz="8" w:color="808080"/>
            </w:tcBorders>
          </w:tcPr>
          <w:p>
            <w:pPr>
              <w:spacing w:after="0"/>
              <w:rPr>
                <w:sz w:val="11"/>
                <w:szCs w:val="11"/>
                <w:color w:val="auto"/>
              </w:rPr>
            </w:pPr>
          </w:p>
        </w:tc>
        <w:tc>
          <w:tcPr>
            <w:tcW w:w="92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b w:val="1"/>
          <w:bCs w:val="1"/>
          <w:color w:val="auto"/>
        </w:rPr>
        <w:t>By signing this document, you acknowledge receipt of a copy of the Plan, and agree that (a) you have carefully read, fully understand and agree to all of the terms and conditions described in the attached Stock Option Agreement, the Plan document and “Notice of Exercise and Common Stock Purchase Agreement” (the “Exercise Notice”); (b) you hereby make the purchaser’s investment representations contained in the Exercise Notice with respect to the grant of this Option; (c) you understand and agree that the Stock Option Agreement, including its cover sheet and attachments, constitutes the entire understanding between you and the Company regarding this Option, and that any prior agreements, commitments or negotiations concerning this Option are replaced and superseded; and (d) you have been given an opportunity to consult your own legal and tax counsel with respect to all matters relating to this Option prior to signing this cover sheet and that you have either consulted such counsel or voluntarily declined to consult such counsel.</w:t>
      </w:r>
    </w:p>
    <w:p>
      <w:pPr>
        <w:sectPr>
          <w:pgSz w:w="11900" w:h="16838" w:orient="portrait"/>
          <w:cols w:equalWidth="0" w:num="1">
            <w:col w:w="11460"/>
          </w:cols>
          <w:pgMar w:left="240" w:top="341" w:right="199" w:bottom="0" w:gutter="0" w:footer="0" w:header="0"/>
        </w:sectPr>
      </w:pPr>
    </w:p>
    <w:bookmarkStart w:id="328" w:name="page329"/>
    <w:bookmarkEnd w:id="328"/>
    <w:p>
      <w:pPr>
        <w:spacing w:after="0" w:line="100"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[FIRST NAME LAST NAME]</w:t>
      </w:r>
      <w:r>
        <w:rPr>
          <w:sz w:val="20"/>
          <w:szCs w:val="20"/>
          <w:color w:val="auto"/>
        </w:rPr>
        <w:tab/>
      </w:r>
      <w:r>
        <w:rPr>
          <w:rFonts w:ascii="Arial" w:cs="Arial" w:eastAsia="Arial" w:hAnsi="Arial"/>
          <w:sz w:val="17"/>
          <w:szCs w:val="17"/>
          <w:b w:val="1"/>
          <w:bCs w:val="1"/>
          <w:color w:val="auto"/>
        </w:rPr>
        <w:t>MONGODB, INC.</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Its: General Counsel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STOCK OPTION GRANT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STOCK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1.KIND OF OPTION.</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purposes of U.S. tax treatment this Option is intended to be a non-statutory option, which is not intended to be an incentive stock option or meet the requirements of section 422 of the U.S. Internal Revenue Code.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For the purpose of Israeli law this Option is intended to be subject to tax under the Capital Gains Route under Section 102 of the Ordinance, subject to compliance with the requirements under Section 102 of the Ordinance and any rules or regulations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2.VESTING.</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Subject to the terms and conditions of the Plan and this Stock Option Agreement (the “Agreement”), your Option and the Shares shall vest in accordance with the schedule set forth in the Notice of Stock Option Grant. If your Option is granted in consideration of your Service as an Employee or a Consultant, after your Service as an Employee or a Consultant terminates for any reason, vesting of your Shares subject to such Option immediately stops and such Option expires immediately as to the number of Shares that are not vested as of the date your Service as an Employee or a Consultant terminates. If your Option is granted in consideration of your Service as an Outside Director, after your Service as an Outside Director terminates for any reason, vesting of your Shares subject to such Option immediately stops and such Option expires immediately as to the number of Shares that are not vested as of the date your Service as an Outside Director terminates.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3.TERM.</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Your Option will expire in any event at the close of business at Company headquarters on the date that is ten (10) years after the Date of Grant (the “Expiration Date”). Also, your Option will expire earlier if your Service terminates, as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4.REGULAR TERMINATION.</w:t>
      </w:r>
    </w:p>
    <w:p>
      <w:pPr>
        <w:spacing w:after="0" w:line="229" w:lineRule="exact"/>
        <w:rPr>
          <w:sz w:val="20"/>
          <w:szCs w:val="20"/>
          <w:color w:val="auto"/>
        </w:rPr>
      </w:pPr>
    </w:p>
    <w:p>
      <w:pPr>
        <w:ind w:right="100" w:firstLine="654"/>
        <w:spacing w:after="0" w:line="259" w:lineRule="auto"/>
        <w:rPr>
          <w:sz w:val="20"/>
          <w:szCs w:val="20"/>
          <w:color w:val="auto"/>
        </w:rPr>
      </w:pPr>
      <w:r>
        <w:rPr>
          <w:rFonts w:ascii="Arial" w:cs="Arial" w:eastAsia="Arial" w:hAnsi="Arial"/>
          <w:sz w:val="18"/>
          <w:szCs w:val="18"/>
          <w:color w:val="auto"/>
        </w:rPr>
        <w:t>If your Service terminates for any reason except death or Disability, the vested portion of your Option will expire at the close of business at Company headquarters on the date three (3) months after your termination of Service. During that three (3) month period, you may exercise the portion of your Option that was vested on your termination date. Notwithstanding the foregoing, the Option may not be exercised after the Expiration Date determined under Section 3 above.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5.DEATH.</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you die while in Service with the Company, the vested portion of your Option will expire at the close of business at Company headquarters on the date twelve (12) months after the date of your death. During that twelve (12) month period, your estate, legatees or heirs may exercise that portion of your Option that was vested on the date of your death. Notwithstanding the foregoing, the Option may not be exercised after the Expiration Date determined under Section 3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6.DISABILITY.</w:t>
      </w:r>
    </w:p>
    <w:p>
      <w:pPr>
        <w:spacing w:after="0" w:line="229" w:lineRule="exact"/>
        <w:rPr>
          <w:sz w:val="20"/>
          <w:szCs w:val="20"/>
          <w:color w:val="auto"/>
        </w:rPr>
      </w:pPr>
    </w:p>
    <w:p>
      <w:pPr>
        <w:ind w:right="40" w:firstLine="654"/>
        <w:spacing w:after="0" w:line="302" w:lineRule="auto"/>
        <w:rPr>
          <w:sz w:val="20"/>
          <w:szCs w:val="20"/>
          <w:color w:val="auto"/>
        </w:rPr>
      </w:pPr>
      <w:r>
        <w:rPr>
          <w:rFonts w:ascii="Arial" w:cs="Arial" w:eastAsia="Arial" w:hAnsi="Arial"/>
          <w:sz w:val="16"/>
          <w:szCs w:val="16"/>
          <w:color w:val="auto"/>
        </w:rPr>
        <w:t>If your Service terminates because of a Disability, the vested portion of your Option will expire at the close of business at Company headquarters on the date twelve (12) months after your termination date. During that twelve (12) month period, you may exercise that portion of your Option that was vested on the date of your Disability. “Disability” means that you are unable to engage in any substantial gainful activity by reason of any medically determinable physical or mental impairment. Notwithstanding the foregoing, the Option may not be exercised after the Expiration Date determined under Section 3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7.EXERCISING YOUR OPTION.</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 xml:space="preserve">To exercise your Option, you must execute the Notice of Exercise and Common Stock Purchase Agreement (the “Exercise Notice”),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You must submit this form, together with full payment, to the Company. Your exercise will be effective when it is received by the Company. If someone else wants to exercise your Option after your death, that person must prove to the Company’s satisfaction that he or she is entitled to do so.</w:t>
      </w:r>
    </w:p>
    <w:p>
      <w:pPr>
        <w:sectPr>
          <w:pgSz w:w="11900" w:h="16939" w:orient="portrait"/>
          <w:cols w:equalWidth="0" w:num="1">
            <w:col w:w="11400"/>
          </w:cols>
          <w:pgMar w:left="240" w:top="337" w:right="259" w:bottom="0" w:gutter="0" w:footer="0" w:header="0"/>
        </w:sectPr>
      </w:pPr>
    </w:p>
    <w:bookmarkStart w:id="329" w:name="page330"/>
    <w:bookmarkEnd w:id="329"/>
    <w:p>
      <w:pPr>
        <w:spacing w:after="0"/>
        <w:rPr>
          <w:sz w:val="20"/>
          <w:szCs w:val="20"/>
          <w:color w:val="auto"/>
        </w:rPr>
      </w:pPr>
      <w:r>
        <w:rPr>
          <w:rFonts w:ascii="Arial" w:cs="Arial" w:eastAsia="Arial" w:hAnsi="Arial"/>
          <w:sz w:val="18"/>
          <w:szCs w:val="18"/>
          <w:b w:val="1"/>
          <w:bCs w:val="1"/>
          <w:u w:val="single" w:color="auto"/>
          <w:color w:val="auto"/>
        </w:rPr>
        <w:t>SECTION 8.TRUST</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Options, and the Shares issued upon exercise or otherwise and/or any additional rights, including without limitation any right to receive any dividends or any shares received as a result of an adjustment made under the Plan, that may be granted in connection with the Options (the “Additional Rights”) shall be issued to or controlled by the Trustee for the benefit of the Participant under the provisions of the 102 Capital Gains Route for at least the period stated in Section 102 of the Ordinance and the Income Tax Rules (Tax Benefits in Share Issuance to Employees) 5763-2003 (the “Rules”). In the event the Options do not meet the requirements of Section 102 of the Ordinance, such Options and the underlying Shares shall not qualify for the favorable tax treatment under the Capital Gains Route of Section 102 of the Ordinance. The Company makes no representations or guarantees that the Options will qualify for favorable tax treatment and will not be liable or responsible if favorable tax treatment is not available under Section 102 of the Ordinance. Any fees associated with any exercise, sale, transfer or any act in relation to the Options shall be borne by the Participant and the Trustee and/or the Company and/or any Subsidiary shall be entitled to withhold or deduct such fees from payments otherwise due to from the Company or a Subsidiary or the Trustee. In accordance with the requirements of Section 102 of the Ordinance and the Capital Gains Route, the Participant shall not sell nor transfer the Shares or Additional Rights from the Trustee until the end of the required Holding Period. Notwithstanding the above, if any such sale or transfer occurs before the end of the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required Holding Period, the sanctions under Section 102 shall apply to and shall be borne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9.PAYMENT FORMS.</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When you exercise your Option, you must include payment of the Exercise Price for the Shares you are purchasing in cash or cash equivalents. Alternatively, you may pay all or part of the Exercise Price by surrendering, or attesting to ownership of, Shares already owned by you, unless such action would cause the Company to recognize any (or additional) compensation expense with respect to the Option for financial reporting purposes. Such Shares shall be surrendered to the Company in good form for transfer and shall be valued at their Fair Market Value on the date of Option exercise. To the extent that a public market for the Shares exists and to the extent permitted by applicable law, in each case as determined by the Company, you also may exercise your Option by delivery (on a form prescribed by the Company) of an irrevocable direction to a securities broker to sell Shares and to deliver all or part of the sale proceeds to the Company in payment of the aggregate Exercise Price and, if requested, applicable withholding taxes. The Company will provide the forms necessary to make such a cashless exercise. The Board may permit such other payment forms as it deems appropriate, subject to applicable laws, regulations and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10.TAX WITHHOLDING AND REPORTING.</w:t>
      </w:r>
    </w:p>
    <w:p>
      <w:pPr>
        <w:spacing w:after="0" w:line="229" w:lineRule="exact"/>
        <w:rPr>
          <w:sz w:val="20"/>
          <w:szCs w:val="20"/>
          <w:color w:val="auto"/>
        </w:rPr>
      </w:pPr>
    </w:p>
    <w:p>
      <w:pPr>
        <w:ind w:right="180" w:firstLine="654"/>
        <w:spacing w:after="0" w:line="287" w:lineRule="auto"/>
        <w:rPr>
          <w:sz w:val="20"/>
          <w:szCs w:val="20"/>
          <w:color w:val="auto"/>
        </w:rPr>
      </w:pPr>
      <w:r>
        <w:rPr>
          <w:rFonts w:ascii="Arial" w:cs="Arial" w:eastAsia="Arial" w:hAnsi="Arial"/>
          <w:sz w:val="16"/>
          <w:szCs w:val="16"/>
          <w:color w:val="auto"/>
        </w:rPr>
        <w:t>Any taxes, social insurances, health tax or National Insurance Contributions required to be withheld as a result of the Option exercise or the sale or transfer of Shares acquired upon exercise of this Option shall be borne solely by you. You hereby authorize withholding from payroll or any other payment due you from the Company or your employer or the Trustee, including proceeds of sale of Shares, to satisfy any such withholding tax obligation. The Company and the Trustee shall have no obligation to deliver or transfer Shares until the tax withholding obligations of the Company, the Trustee and your employer have been satisfied. You acknowledge and agree that the ultimate liability for all the tax, social insurance obligations and National Insurance Contributions associated with the Option and the Shares are and remain your responsibility and that the Company and your employer: (i) make no representations or undertakings regarding the tax, social insurance or National Insurance Contribution treatment of any aspect of the Option, including the grant, vesting or settlement of the Option, the subsequent sale of Shares acquired pursuant to such settlement, or the receipt of any dividends and (ii) do not commit to structure the terms of the grant or any other aspect of the Option to reduce or eliminate your tax, social insurance or National Insurance Contribution liability or obligations. The ramifications of any future modification of Applicable Laws regarding the taxation of the Options granted shall apply accordingly and the Participant shall bear the full cost thereof, unless such modified laws expressly provide otherwise.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11.RIGHT OF FIRST REFUSAL.</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In the event that you propose to sell, pledge or otherwise transfer to a third party any Shares acquired under this Agreement, or any interest in such Shares, the Company shall have a “Right of First Refusal” with respect to such Shares in accordance with the provisions of the Exercise Notice.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12.RESALE RESTRICTIONS/MARKET STAND-OFF.</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In connection with any underwritten public offering by the Company of its equity securities pursuant to an effective registration statement filed under the U.S. Securities Act of 1933, as amended, including the Company’s initial public offering, you may be prohibited from engaging in any transaction with respect to any of the Company’s common stock without the prior written consent of the Company or its underwriters in accordance with the provisions of the Exercise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13.TRANSFER OF OPTION.</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Prior to your death, only you may exercise this Option. This Option and the rights and privileges conferred hereby cannot be sold, pledged or otherwise transferred (whether by operation of law or otherwise) and shall not be subject to sale under execution, attachment, levy or similar process. For instance, you may not sell this Option or use it as security for a loan. If you attempt to do any of these things, this Option will immediately become invalid.</w:t>
      </w:r>
    </w:p>
    <w:p>
      <w:pPr>
        <w:sectPr>
          <w:pgSz w:w="11900" w:h="16838" w:orient="portrait"/>
          <w:cols w:equalWidth="0" w:num="1">
            <w:col w:w="11420"/>
          </w:cols>
          <w:pgMar w:left="240" w:top="337" w:right="239" w:bottom="0" w:gutter="0" w:footer="0" w:header="0"/>
        </w:sectPr>
      </w:pPr>
    </w:p>
    <w:bookmarkStart w:id="330" w:name="page331"/>
    <w:bookmarkEnd w:id="330"/>
    <w:p>
      <w:pPr>
        <w:ind w:right="200"/>
        <w:spacing w:after="0" w:line="342" w:lineRule="auto"/>
        <w:rPr>
          <w:sz w:val="20"/>
          <w:szCs w:val="20"/>
          <w:color w:val="auto"/>
        </w:rPr>
      </w:pPr>
      <w:r>
        <w:rPr>
          <w:rFonts w:ascii="Arial" w:cs="Arial" w:eastAsia="Arial" w:hAnsi="Arial"/>
          <w:sz w:val="16"/>
          <w:szCs w:val="16"/>
          <w:color w:val="auto"/>
        </w:rPr>
        <w:t>You may, however, dispose of this Option in your will. Regardless of any marital property settlement agreement, the Company is not obligated to honor an Exercise Notice from your spouse or former spouse, nor is the Company obligated to recognize such individual’s interest in your Option in any other way.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14.RETENTION RIGHTS.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This Agreement does not give you the right to be retained by the Company in any capacity. The Company reserves the right to terminate your Service at any time and for any reason, subject to applicable laws, without thereby incurring any liability to you.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15.STOCKHOLDER RIGHTS.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Neither you nor your estate or heirs have any rights as a stockholder of the Company until a certificate for the Shares acquired upon exercise of this Option has been issued. No adjustments are made for dividends or other rights if the applicable record date occurs before your stock certificate is issued, except as described in the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16.ADJUSTMENTS.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In the event of a stock split, a stock dividend or a similar change in the Company’s Stock, the number of Shares covered by this Option and the Exercise Price per share may be adjusted pursuant to the Plan. Your Option shall be subject to the terms of the agreement of merger, liquidation or reorganization in the event the Company is subject to such corporate activity as set forth in the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17.LEGENDS.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certificates representing the Shares issued upon exercise of this Option shall, where applicable, have endorsed thereon the following legends:</w:t>
      </w:r>
    </w:p>
    <w:p>
      <w:pPr>
        <w:spacing w:after="0" w:line="248"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OTHER JURISDICTION, AND MAY BE OFFERED AND SOLD ONLY IF REGISTERED AND QUALIFIED PURSUANT TO THE RELEVANT PROVISIONS OF U.S. FEDERAL, STATE AND FOREIGN SECURITIES LAWS OR IF THE COMPANY IS PROVIDED AN OPINION OF COUNSEL SATISFACTORY TO THE COMPANY THAT REGISTRATION AND QUALIFICATION UNDER U.S. FEDERAL, STATE AND FOREIGN SECURITIES LAWS IS NOT REQUIRED.</w:t>
      </w:r>
    </w:p>
    <w:p>
      <w:pPr>
        <w:spacing w:after="0" w:line="193"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18.TAX DISCLAIMER.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agree that you are responsible for consulting your own tax advisor as to the tax consequences associated with your Option. The tax</w:t>
      </w:r>
    </w:p>
    <w:p>
      <w:pPr>
        <w:spacing w:after="0" w:line="3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rules governing options are complex, change frequently and depend on the individual taxpayer’s situation. You agree that the Company shall not be held liable or responsible for any tax or financial consequences that you may incur in connection with your Option.</w:t>
      </w:r>
    </w:p>
    <w:p>
      <w:pPr>
        <w:spacing w:after="0" w:line="18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By accepting this Option, you acknowledge that any tax liability or other adverse tax consequences to you resulting from the grant of the Option will be the responsibility of, and will be borne entirely by, you. YOU ARE THEREFORE ENCOURAGED TO CONSULT YOUR OWN TAX ADVISOR BEFORE ACCEPTING THE GRANT OF THIS OPTION.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19.THE PLAN AND OTHER AGREEMENTS.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text of the Plan is incorporated in this Agreement by reference. Certain capitalized terms used in this Agreement are defined in the Plan. The Notice of Stock Option Grant, this Agreement, including its attachments, and the Plan constitute the entire understanding between you and the Company regarding this Option. Any prior agreements, commitments or negotiations concerning this Option are superseded.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20.MISCELLANEOUS PROVISIONS.</w:t>
      </w:r>
    </w:p>
    <w:p>
      <w:pPr>
        <w:spacing w:after="0" w:line="229" w:lineRule="exact"/>
        <w:rPr>
          <w:sz w:val="20"/>
          <w:szCs w:val="20"/>
          <w:color w:val="auto"/>
        </w:rPr>
      </w:pPr>
    </w:p>
    <w:p>
      <w:pPr>
        <w:ind w:left="1300" w:right="20" w:hanging="644"/>
        <w:spacing w:after="0" w:line="297" w:lineRule="auto"/>
        <w:tabs>
          <w:tab w:leader="none" w:pos="1297" w:val="left"/>
        </w:tabs>
        <w:numPr>
          <w:ilvl w:val="0"/>
          <w:numId w:val="304"/>
        </w:numPr>
        <w:rPr>
          <w:rFonts w:ascii="Arial" w:cs="Arial" w:eastAsia="Arial" w:hAnsi="Arial"/>
          <w:sz w:val="16"/>
          <w:szCs w:val="16"/>
          <w:color w:val="auto"/>
        </w:rPr>
      </w:pPr>
      <w:r>
        <w:rPr>
          <w:rFonts w:ascii="Arial" w:cs="Arial" w:eastAsia="Arial" w:hAnsi="Arial"/>
          <w:sz w:val="16"/>
          <w:szCs w:val="16"/>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even if options have been granted repeatedly in the past and (iv) all determinations with respect to any additional grants, including (without limitation) the times when options will be granted, the number of Shares offered, the Exercise Price and the vesting schedule, will be at the sole discretion of the Company.</w:t>
      </w:r>
    </w:p>
    <w:p>
      <w:pPr>
        <w:sectPr>
          <w:pgSz w:w="11900" w:h="16838" w:orient="portrait"/>
          <w:cols w:equalWidth="0" w:num="1">
            <w:col w:w="11400"/>
          </w:cols>
          <w:pgMar w:left="240" w:top="125" w:right="259" w:bottom="0" w:gutter="0" w:footer="0" w:header="0"/>
        </w:sectPr>
      </w:pPr>
    </w:p>
    <w:bookmarkStart w:id="331" w:name="page332"/>
    <w:bookmarkEnd w:id="331"/>
    <w:p>
      <w:pPr>
        <w:ind w:left="644" w:hanging="644"/>
        <w:spacing w:after="0" w:line="279" w:lineRule="auto"/>
        <w:tabs>
          <w:tab w:leader="none" w:pos="65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 and in no event should be considered as compensation for, or relating in any way to, past services for the Company or any Subsidiary.</w:t>
      </w:r>
    </w:p>
    <w:p>
      <w:pPr>
        <w:spacing w:after="0" w:line="171" w:lineRule="exact"/>
        <w:rPr>
          <w:rFonts w:ascii="Arial" w:cs="Arial" w:eastAsia="Arial" w:hAnsi="Arial"/>
          <w:sz w:val="17"/>
          <w:szCs w:val="17"/>
          <w:color w:val="auto"/>
        </w:rPr>
      </w:pPr>
    </w:p>
    <w:p>
      <w:pPr>
        <w:ind w:left="644" w:right="440" w:hanging="644"/>
        <w:spacing w:after="0" w:line="277" w:lineRule="auto"/>
        <w:tabs>
          <w:tab w:leader="none" w:pos="65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170" w:lineRule="exact"/>
        <w:rPr>
          <w:rFonts w:ascii="Arial" w:cs="Arial" w:eastAsia="Arial" w:hAnsi="Arial"/>
          <w:sz w:val="18"/>
          <w:szCs w:val="18"/>
          <w:color w:val="auto"/>
        </w:rPr>
      </w:pPr>
    </w:p>
    <w:p>
      <w:pPr>
        <w:ind w:left="664" w:hanging="664"/>
        <w:spacing w:after="0"/>
        <w:tabs>
          <w:tab w:leader="none" w:pos="6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acknowledge and agree that you are voluntarily participating in the Plan.</w:t>
      </w:r>
    </w:p>
    <w:p>
      <w:pPr>
        <w:spacing w:after="0" w:line="225" w:lineRule="exact"/>
        <w:rPr>
          <w:rFonts w:ascii="Arial" w:cs="Arial" w:eastAsia="Arial" w:hAnsi="Arial"/>
          <w:sz w:val="18"/>
          <w:szCs w:val="18"/>
          <w:color w:val="auto"/>
        </w:rPr>
      </w:pPr>
    </w:p>
    <w:p>
      <w:pPr>
        <w:ind w:left="644" w:right="440" w:hanging="644"/>
        <w:spacing w:after="0" w:line="277" w:lineRule="auto"/>
        <w:tabs>
          <w:tab w:leader="none" w:pos="65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acknowledge and agree that The future value of the underlying Shares is unknown and cannot be predicted with certainty. If you obtain Shares upon settlement of the Option, the value of those Shares may increase or decrease.</w:t>
      </w:r>
    </w:p>
    <w:p>
      <w:pPr>
        <w:spacing w:after="0" w:line="170" w:lineRule="exact"/>
        <w:rPr>
          <w:rFonts w:ascii="Arial" w:cs="Arial" w:eastAsia="Arial" w:hAnsi="Arial"/>
          <w:sz w:val="18"/>
          <w:szCs w:val="18"/>
          <w:color w:val="auto"/>
        </w:rPr>
      </w:pPr>
    </w:p>
    <w:p>
      <w:pPr>
        <w:ind w:left="644" w:hanging="644"/>
        <w:spacing w:after="0" w:line="264" w:lineRule="auto"/>
        <w:tabs>
          <w:tab w:leader="none" w:pos="64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hereby authorize and direct your employer to disclose to the Company or any Subsidiary or the Trustee any information regarding your employment, the nature and amount of the your compensation and the fact and conditions of your participation in the Plan, as your employer deems necessary or appropriate to facilitate the administration of the Plan.</w:t>
      </w:r>
    </w:p>
    <w:p>
      <w:pPr>
        <w:spacing w:after="0" w:line="181" w:lineRule="exact"/>
        <w:rPr>
          <w:rFonts w:ascii="Arial" w:cs="Arial" w:eastAsia="Arial" w:hAnsi="Arial"/>
          <w:sz w:val="18"/>
          <w:szCs w:val="18"/>
          <w:color w:val="auto"/>
        </w:rPr>
      </w:pPr>
    </w:p>
    <w:p>
      <w:pPr>
        <w:ind w:left="644" w:right="60" w:hanging="644"/>
        <w:spacing w:after="0" w:line="255" w:lineRule="auto"/>
        <w:tabs>
          <w:tab w:leader="none" w:pos="6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You hereby explicitly and unambiguously consents to the collection, use and transfer, in electronic or other form, of your personal data as described in this document by and among the Company, its Subsidiaries, the Trustee and your employer for the exclusive purpose of implementing, administering and managing your participation in the Plan. You understand that the Company (and its Subsidiaries) holds certain personal information about you, including, but not limited to, your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your favor, for the purpose of implementing, administering and</w:t>
      </w:r>
    </w:p>
    <w:p>
      <w:pPr>
        <w:spacing w:after="0" w:line="189" w:lineRule="exact"/>
        <w:rPr>
          <w:sz w:val="20"/>
          <w:szCs w:val="20"/>
          <w:color w:val="auto"/>
        </w:rPr>
      </w:pPr>
    </w:p>
    <w:p>
      <w:pPr>
        <w:jc w:val="center"/>
        <w:ind w:right="596"/>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6"/>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line="268" w:lineRule="auto"/>
        <w:rPr>
          <w:sz w:val="20"/>
          <w:szCs w:val="20"/>
          <w:color w:val="auto"/>
        </w:rPr>
      </w:pPr>
      <w:r>
        <w:rPr>
          <w:rFonts w:ascii="Arial" w:cs="Arial" w:eastAsia="Arial" w:hAnsi="Arial"/>
          <w:sz w:val="17"/>
          <w:szCs w:val="17"/>
          <w:color w:val="auto"/>
        </w:rPr>
        <w:t>managing the Plan (“Data”). You understand that Data may be transferred to any third parties assisting in the implementation, administration and management of the Plan, that these recipients may be located in your country or elsewhere, and that the recipient’s country may have different data privacy laws and protections than your country. You further understand that you may request a list with the names and addresses of any potential recipients of the Data by contacting the Company’s human resources representative in writing. You authorize the recipients to receive, possess, use, retain and transfer the Data, in electronic or other form, for the purposes of implementing, administering and managing your participation in the Plan, including any requisite transfer of such Data as may be required to a broker or other third party with whom you may elect to deposit any Shares acquired upon settlement of the Option.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the Company’s human resources representative. You understand, however, that refusing or withdrawing your consent may affect your ability to participate in the Plan. For more information on the consequences of your refusal to consent or withdrawal of consent you understand that you may contact the Company’s human resources representative.</w:t>
      </w:r>
    </w:p>
    <w:p>
      <w:pPr>
        <w:spacing w:after="0" w:line="188" w:lineRule="exact"/>
        <w:rPr>
          <w:sz w:val="20"/>
          <w:szCs w:val="20"/>
          <w:color w:val="auto"/>
        </w:rPr>
      </w:pPr>
    </w:p>
    <w:p>
      <w:pPr>
        <w:ind w:left="644" w:right="300" w:hanging="644"/>
        <w:spacing w:after="0" w:line="259" w:lineRule="auto"/>
        <w:tabs>
          <w:tab w:leader="none" w:pos="65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You acknowledge and agree that you may be responsible for reporting cash transactions inbound and/or outbound that exceed a certain amount and may be responsible for reporting inbound and/or outbound international fund transfers of any value, which do not involve a local bank. You are advised to seek appropriate professional advice as to how the exchange control regulations apply to your specific situation.</w:t>
      </w:r>
    </w:p>
    <w:p>
      <w:pPr>
        <w:spacing w:after="0" w:line="186" w:lineRule="exact"/>
        <w:rPr>
          <w:rFonts w:ascii="Arial" w:cs="Arial" w:eastAsia="Arial" w:hAnsi="Arial"/>
          <w:sz w:val="18"/>
          <w:szCs w:val="18"/>
          <w:color w:val="auto"/>
        </w:rPr>
      </w:pPr>
    </w:p>
    <w:p>
      <w:pPr>
        <w:ind w:left="644" w:right="40" w:hanging="644"/>
        <w:spacing w:after="0" w:line="286" w:lineRule="auto"/>
        <w:tabs>
          <w:tab w:leader="none" w:pos="665"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another third party designated by the Company.</w:t>
      </w:r>
    </w:p>
    <w:p>
      <w:pPr>
        <w:spacing w:after="0" w:line="165" w:lineRule="exact"/>
        <w:rPr>
          <w:rFonts w:ascii="Arial" w:cs="Arial" w:eastAsia="Arial" w:hAnsi="Arial"/>
          <w:sz w:val="17"/>
          <w:szCs w:val="17"/>
          <w:color w:val="auto"/>
        </w:rPr>
      </w:pPr>
    </w:p>
    <w:p>
      <w:pPr>
        <w:ind w:left="644" w:hanging="644"/>
        <w:spacing w:after="0" w:line="264" w:lineRule="auto"/>
        <w:tabs>
          <w:tab w:leader="none" w:pos="65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To the extent that you have been provided with a translation of the Agreement, the English language version of this Agreement shall prevail in case of any discrepancies or ambiguities due to translation or inconsistencies or conflicts between different language versions of the Agreement.</w:t>
      </w:r>
    </w:p>
    <w:p>
      <w:pPr>
        <w:spacing w:after="0" w:line="181" w:lineRule="exact"/>
        <w:rPr>
          <w:rFonts w:ascii="Arial" w:cs="Arial" w:eastAsia="Arial" w:hAnsi="Arial"/>
          <w:sz w:val="18"/>
          <w:szCs w:val="18"/>
          <w:color w:val="auto"/>
        </w:rPr>
      </w:pPr>
    </w:p>
    <w:p>
      <w:pPr>
        <w:ind w:left="644" w:right="40" w:hanging="644"/>
        <w:spacing w:after="0" w:line="259" w:lineRule="auto"/>
        <w:tabs>
          <w:tab w:leader="none" w:pos="65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Notwithstanding any provisions in the Agreement, the Option shall be subject to any special terms and conditions set forth in Appendix A to this Agreement for your country, which shall constitute part of the Agreement. Moreover, if you relocate to one of the countries included in Appendix A, the special terms and conditions for such country will apply to you, to the extent the Company determines that the application of such terms and conditions is necessary or</w:t>
      </w:r>
    </w:p>
    <w:p>
      <w:pPr>
        <w:spacing w:after="0" w:line="187" w:lineRule="exact"/>
        <w:rPr>
          <w:sz w:val="20"/>
          <w:szCs w:val="20"/>
          <w:color w:val="auto"/>
        </w:rPr>
      </w:pPr>
    </w:p>
    <w:p>
      <w:pPr>
        <w:jc w:val="center"/>
        <w:ind w:right="596"/>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6"/>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advisable in order to comply with applicable law or facilitate the administration of the Plan.</w:t>
      </w:r>
    </w:p>
    <w:p>
      <w:pPr>
        <w:spacing w:after="0" w:line="225" w:lineRule="exact"/>
        <w:rPr>
          <w:sz w:val="20"/>
          <w:szCs w:val="20"/>
          <w:color w:val="auto"/>
        </w:rPr>
      </w:pPr>
    </w:p>
    <w:p>
      <w:pPr>
        <w:ind w:left="644" w:right="280" w:hanging="644"/>
        <w:spacing w:after="0" w:line="342" w:lineRule="auto"/>
        <w:tabs>
          <w:tab w:leader="none" w:pos="66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You acknowledge that you are familiar with Section 102 and the regulations and rules promulgated thereunder, including without limitations the provisions of the tax route applicable to the Options, and agree to comply with such provisions, as amended from time to</w:t>
      </w:r>
    </w:p>
    <w:p>
      <w:pPr>
        <w:sectPr>
          <w:pgSz w:w="11900" w:h="16838" w:orient="portrait"/>
          <w:cols w:equalWidth="0" w:num="1">
            <w:col w:w="10724"/>
          </w:cols>
          <w:pgMar w:left="896" w:top="125" w:right="279" w:bottom="0" w:gutter="0" w:footer="0" w:header="0"/>
        </w:sectPr>
      </w:pPr>
    </w:p>
    <w:bookmarkStart w:id="332" w:name="page333"/>
    <w:bookmarkEnd w:id="332"/>
    <w:p>
      <w:pPr>
        <w:ind w:left="1300" w:right="400"/>
        <w:spacing w:after="0" w:line="277" w:lineRule="auto"/>
        <w:rPr>
          <w:sz w:val="20"/>
          <w:szCs w:val="20"/>
          <w:color w:val="auto"/>
        </w:rPr>
      </w:pPr>
      <w:r>
        <w:rPr>
          <w:rFonts w:ascii="Arial" w:cs="Arial" w:eastAsia="Arial" w:hAnsi="Arial"/>
          <w:sz w:val="18"/>
          <w:szCs w:val="18"/>
          <w:color w:val="auto"/>
        </w:rPr>
        <w:t>time, provided that if such terms are not met, Section 102 may not apply.You agree to the terms and conditions of the trust deed signed between the Trustee and the Company and your employer.</w:t>
      </w:r>
    </w:p>
    <w:p>
      <w:pPr>
        <w:spacing w:after="0" w:line="170" w:lineRule="exact"/>
        <w:rPr>
          <w:sz w:val="20"/>
          <w:szCs w:val="20"/>
          <w:color w:val="auto"/>
        </w:rPr>
      </w:pPr>
    </w:p>
    <w:p>
      <w:pPr>
        <w:ind w:left="1300" w:right="220" w:hanging="644"/>
        <w:spacing w:after="0" w:line="277" w:lineRule="auto"/>
        <w:tabs>
          <w:tab w:leader="none" w:pos="130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You acknowledge that releasing the Options and Shares from the holding or control of the Trustee prior to the termination of the Holding Period constitutes a violation of the terms of Section 102 and agree to bear the relevant sanctions.</w:t>
      </w:r>
    </w:p>
    <w:p>
      <w:pPr>
        <w:spacing w:after="0" w:line="170" w:lineRule="exact"/>
        <w:rPr>
          <w:rFonts w:ascii="Arial" w:cs="Arial" w:eastAsia="Arial" w:hAnsi="Arial"/>
          <w:sz w:val="18"/>
          <w:szCs w:val="18"/>
          <w:color w:val="auto"/>
        </w:rPr>
      </w:pPr>
    </w:p>
    <w:p>
      <w:pPr>
        <w:ind w:left="1300" w:right="140" w:hanging="644"/>
        <w:spacing w:after="0" w:line="259" w:lineRule="auto"/>
        <w:tabs>
          <w:tab w:leader="none" w:pos="130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You confirm that you are a resident of the State of Israel for tax purposes on the grant date and agree to notify the Company upon any change in the residence address indicated above and acknowledge that if you cease to be an Israeli resident or if your engagement with the Company or Subsidiary is terminated and you are no longer employed by the Company or any Subsidiary, the Options and Shares shall remain subject to Section 102, the trust agreement, the Plan and this Agreement;</w:t>
      </w:r>
    </w:p>
    <w:p>
      <w:pPr>
        <w:spacing w:after="0" w:line="186" w:lineRule="exact"/>
        <w:rPr>
          <w:rFonts w:ascii="Arial" w:cs="Arial" w:eastAsia="Arial" w:hAnsi="Arial"/>
          <w:sz w:val="18"/>
          <w:szCs w:val="18"/>
          <w:color w:val="auto"/>
        </w:rPr>
      </w:pPr>
    </w:p>
    <w:p>
      <w:pPr>
        <w:ind w:left="1300" w:right="60" w:hanging="644"/>
        <w:spacing w:after="0" w:line="277" w:lineRule="auto"/>
        <w:tabs>
          <w:tab w:leader="none" w:pos="1307" w:val="left"/>
        </w:tabs>
        <w:numPr>
          <w:ilvl w:val="0"/>
          <w:numId w:val="308"/>
        </w:numPr>
        <w:rPr>
          <w:rFonts w:ascii="Arial" w:cs="Arial" w:eastAsia="Arial" w:hAnsi="Arial"/>
          <w:sz w:val="18"/>
          <w:szCs w:val="18"/>
          <w:color w:val="auto"/>
        </w:rPr>
      </w:pPr>
      <w:r>
        <w:rPr>
          <w:rFonts w:ascii="Arial" w:cs="Arial" w:eastAsia="Arial" w:hAnsi="Arial"/>
          <w:sz w:val="18"/>
          <w:szCs w:val="18"/>
          <w:color w:val="auto"/>
        </w:rPr>
        <w:t>You acknowledge that at the time of grant of the Options herein, or as a consequence of the grant, you are not and will not become a holder of a “controlling interest” in the Company, as such term is defined in Section 32(9) of the Ordinance.</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308"/>
        </w:numPr>
        <w:rPr>
          <w:rFonts w:ascii="Arial" w:cs="Arial" w:eastAsia="Arial" w:hAnsi="Arial"/>
          <w:sz w:val="16"/>
          <w:szCs w:val="16"/>
          <w:color w:val="auto"/>
        </w:rPr>
      </w:pPr>
      <w:r>
        <w:rPr>
          <w:rFonts w:ascii="Arial" w:cs="Arial" w:eastAsia="Arial" w:hAnsi="Arial"/>
          <w:sz w:val="16"/>
          <w:szCs w:val="16"/>
          <w:color w:val="auto"/>
        </w:rPr>
        <w:t>You acknowledge that the grant of Options is conditioned upon your execution of all documents requested by the Company or the Trustee.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21.APPLICABLE LAW.</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This Agreement will be interpreted and enforced under the laws of the State of New York (without regard to their choice of law provisions).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STOCK OPTION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copy of this agreement should be provided to the Trustee]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10GEN, INC. 2008 STOCK INCENTIVE PLAN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EXERCISE AND COMMON STOCK PURCHASE AGREEMENT</w:t>
      </w:r>
    </w:p>
    <w:p>
      <w:pPr>
        <w:spacing w:after="0" w:line="211" w:lineRule="exact"/>
        <w:rPr>
          <w:sz w:val="20"/>
          <w:szCs w:val="20"/>
          <w:color w:val="auto"/>
        </w:rPr>
      </w:pPr>
    </w:p>
    <w:p>
      <w:pPr>
        <w:ind w:left="660"/>
        <w:spacing w:after="0"/>
        <w:tabs>
          <w:tab w:leader="none" w:pos="3760" w:val="left"/>
          <w:tab w:leader="none" w:pos="4040" w:val="left"/>
        </w:tabs>
        <w:rPr>
          <w:sz w:val="20"/>
          <w:szCs w:val="20"/>
          <w:color w:val="auto"/>
        </w:rPr>
      </w:pPr>
      <w:r>
        <w:rPr>
          <w:rFonts w:ascii="Arial" w:cs="Arial" w:eastAsia="Arial" w:hAnsi="Arial"/>
          <w:sz w:val="18"/>
          <w:szCs w:val="18"/>
          <w:color w:val="auto"/>
        </w:rPr>
        <w:t>THIS AGREEMENT is dated as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between MongoDB, Inc. (the “Company”), and [First Name Last Name]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2061210</wp:posOffset>
            </wp:positionH>
            <wp:positionV relativeFrom="paragraph">
              <wp:posOffset>-10160</wp:posOffset>
            </wp:positionV>
            <wp:extent cx="51435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 I T N E S S E T H:</w:t>
      </w:r>
      <w:r>
        <w:rPr>
          <w:rFonts w:ascii="Arial" w:cs="Arial" w:eastAsia="Arial" w:hAnsi="Arial"/>
          <w:sz w:val="18"/>
          <w:szCs w:val="18"/>
          <w:b w:val="1"/>
          <w:bCs w:val="1"/>
          <w:color w:val="auto"/>
        </w:rPr>
        <w:t>WHEREAS, THE COMPANY GRANTED PURCHASER A STOCK OPTION ON [DATE OF GRANT] (THE “DATE OF</w:t>
      </w:r>
    </w:p>
    <w:p>
      <w:pPr>
        <w:spacing w:after="0" w:line="27" w:lineRule="exact"/>
        <w:rPr>
          <w:sz w:val="20"/>
          <w:szCs w:val="20"/>
          <w:color w:val="auto"/>
        </w:rPr>
      </w:pPr>
    </w:p>
    <w:p>
      <w:pPr>
        <w:jc w:val="center"/>
        <w:ind w:left="260" w:right="160"/>
        <w:spacing w:after="0" w:line="255" w:lineRule="auto"/>
        <w:rPr>
          <w:sz w:val="20"/>
          <w:szCs w:val="20"/>
          <w:color w:val="auto"/>
        </w:rPr>
      </w:pPr>
      <w:r>
        <w:rPr>
          <w:rFonts w:ascii="Arial" w:cs="Arial" w:eastAsia="Arial" w:hAnsi="Arial"/>
          <w:sz w:val="18"/>
          <w:szCs w:val="18"/>
          <w:b w:val="1"/>
          <w:bCs w:val="1"/>
          <w:color w:val="auto"/>
        </w:rPr>
        <w:t>GRANT”) PURSUANT TO A STOCK OPTION AGREEMENT (THE “OPTION AGREEMENT”) UNDER WHICH PURCHASER HAS THE RIGHT TO PURCHASE UP TO [OPTIONS GRANTED] SHARES OF THE COMPANY’S CLASS A COMMON STOCK (THE “OPTION SHARES”); AND</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Option is exercisable with respect to certain of the Option Shares as of the date hereof; and</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pursuant to the Option Agreement, Purchaser desires to purchase shares of the Company as herein described, on the terms and conditions set forth in this Agreement, the Option Agreement and the 10Gen, Inc. 2008 Stock Incentive Plan (the “Plan”). Certain capitalized terms used in this Agreement are defined in the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agreed between the parties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1.PURCHASE OF SHARES</w:t>
      </w:r>
      <w:r>
        <w:rPr>
          <w:rFonts w:ascii="Arial" w:cs="Arial" w:eastAsia="Arial" w:hAnsi="Arial"/>
          <w:sz w:val="18"/>
          <w:szCs w:val="18"/>
          <w:b w:val="1"/>
          <w:bCs w:val="1"/>
          <w:color w:val="auto"/>
        </w:rPr>
        <w:t>.</w:t>
      </w:r>
    </w:p>
    <w:p>
      <w:pPr>
        <w:spacing w:after="0" w:line="229" w:lineRule="exact"/>
        <w:rPr>
          <w:sz w:val="20"/>
          <w:szCs w:val="20"/>
          <w:color w:val="auto"/>
        </w:rPr>
      </w:pPr>
    </w:p>
    <w:p>
      <w:pPr>
        <w:ind w:left="1300" w:hanging="644"/>
        <w:spacing w:after="0"/>
        <w:tabs>
          <w:tab w:leader="none" w:pos="130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Pursuant to the terms of the Option Agreement, Purchaser hereby agrees to purchase from the Company and the Company agrees to sell and</w:t>
      </w:r>
    </w:p>
    <w:p>
      <w:pPr>
        <w:spacing w:after="0" w:line="46" w:lineRule="exact"/>
        <w:rPr>
          <w:rFonts w:ascii="Arial" w:cs="Arial" w:eastAsia="Arial" w:hAnsi="Arial"/>
          <w:sz w:val="16"/>
          <w:szCs w:val="16"/>
          <w:color w:val="auto"/>
        </w:rPr>
      </w:pPr>
    </w:p>
    <w:p>
      <w:pPr>
        <w:ind w:left="1300" w:right="360"/>
        <w:spacing w:after="0" w:line="277" w:lineRule="auto"/>
        <w:rPr>
          <w:rFonts w:ascii="Arial" w:cs="Arial" w:eastAsia="Arial" w:hAnsi="Arial"/>
          <w:sz w:val="16"/>
          <w:szCs w:val="16"/>
          <w:color w:val="auto"/>
        </w:rPr>
      </w:pPr>
      <w:r>
        <w:rPr>
          <w:rFonts w:ascii="Arial" w:cs="Arial" w:eastAsia="Arial" w:hAnsi="Arial"/>
          <w:sz w:val="17"/>
          <w:szCs w:val="17"/>
          <w:color w:val="auto"/>
        </w:rPr>
        <w:t>issue to the Trustee for the benefit of Purchaser [ ] shares of the Company’s Class A common stock (the “Common Stock”) for the Exercise Price per share specified in the Notice of Stock Option Grant payable by personal check, cashier’s check, money order or otherwise as permitted by the Option Agreement. Payment shall be delivered at the Closing, as such term is defined below.</w:t>
      </w:r>
    </w:p>
    <w:p>
      <w:pPr>
        <w:spacing w:after="0" w:line="173" w:lineRule="exact"/>
        <w:rPr>
          <w:rFonts w:ascii="Arial" w:cs="Arial" w:eastAsia="Arial" w:hAnsi="Arial"/>
          <w:sz w:val="16"/>
          <w:szCs w:val="16"/>
          <w:color w:val="auto"/>
        </w:rPr>
      </w:pPr>
    </w:p>
    <w:p>
      <w:pPr>
        <w:ind w:left="1300" w:right="280" w:hanging="644"/>
        <w:spacing w:after="0" w:line="277" w:lineRule="auto"/>
        <w:tabs>
          <w:tab w:leader="none" w:pos="1307"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closing (the “Closing”) under this Agreement shall occur at the offices of the Company as of the date hereof, or such other time and place as may be designated by the Company (the “Closing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2.REPURCHASE RIGHT.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All shares of the Stock purchased by Purchaser pursuant to this Agreement that have not vested under the terms of the Option Agreement, together with any shares of Common Stock issued as a dividend or other distribution on, in exchange for or upon the conversion of such unvested Stock (collectively, the “Subject Shares”) shall be subject to the following right of repurchase by the Company (the “Repurchase Right”). The Company shall have the right, within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ninety (90) days after the termination of Purchaser’s services to the Company (the “Termination Date”), to purchase from Purchaser all Subject Shares as of the Termination Date. The repurchase price shall be the Exercise Price per share paid by Purchaser for such shares pursuant to this Agreement. For purposes</w:t>
      </w:r>
    </w:p>
    <w:p>
      <w:pPr>
        <w:sectPr>
          <w:pgSz w:w="11900" w:h="16838" w:orient="portrait"/>
          <w:cols w:equalWidth="0" w:num="1">
            <w:col w:w="11400"/>
          </w:cols>
          <w:pgMar w:left="240" w:top="125" w:right="259" w:bottom="0" w:gutter="0" w:footer="0" w:header="0"/>
        </w:sectPr>
      </w:pPr>
    </w:p>
    <w:bookmarkStart w:id="333" w:name="page334"/>
    <w:bookmarkEnd w:id="333"/>
    <w:p>
      <w:pPr>
        <w:ind w:right="660"/>
        <w:spacing w:after="0" w:line="308" w:lineRule="auto"/>
        <w:rPr>
          <w:sz w:val="20"/>
          <w:szCs w:val="20"/>
          <w:color w:val="auto"/>
        </w:rPr>
      </w:pPr>
      <w:r>
        <w:rPr>
          <w:rFonts w:ascii="Arial" w:cs="Arial" w:eastAsia="Arial" w:hAnsi="Arial"/>
          <w:sz w:val="17"/>
          <w:szCs w:val="17"/>
          <w:color w:val="auto"/>
        </w:rPr>
        <w:t>of this Section 2, the date the Company exercises its Repurchase Right shall be deemed to be the Termination Date. The Repurchase Right under this Section 2 shall lapse with respect to the Subject Shares in accordance with the vesting schedule in the Option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3.EXERCISE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shall be deemed to have exercised its Repurchase Right automatically for all Subject Shares as of the Termination Date, unless within ninety (90) days thereafter, the Company notifies the holder of the Subject Shares pursuant to Section 16 that it will not exercise its Repurchase Rights as to some or all of the Subject Shares. The certificate(s) representing the shares to be repurchased shall be delivered to the Company properly endorsed for transfer. The Company shall, concurrently with the receipt of such certificate(s), pay to Purchaser or the Trustee the repurchase price determined according to Section 2, above. The repurchase price shall be paid by certified or cashier’s check or by cancellation of any purchase money indebtedness of Purchaser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4.WAIVER, ASSIGNMENT, EXPIRATION OF REPURCHASE RIGHT</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If the Company waives or fails to exercise the Repurchase Right as to all of the shares subject thereto, the Company may, in the discretion of its Board of Directors, assign the Repurchase Right to any other holder or holders of preferred or common stock of the Company in such proportions as such Board of Directors may determine. In the event of such an assignment, the Board may require that the assignee pay to the Company in cash an amount equal to the fair market value of the Repurchase Right. The Company shall promptly, prior to expiration of the ninety (90) day period referred to in Section 2 above, notify Purchaser and the Trustee of the number of shares subject to the Repurchase Right assigned to such stockholders and shall notify the Trustee, Purchaser and the assignees of the time, place and date for settlement of such purchase, which must be made within ninety (90) days from the Termination Date. In the event that the Company and/or such assignees do not elect to exercise the Repurchase Right as to all or part of the shares subject to it, the Repurchase Right shall expire as to all shares which the Company and/or such assignees have not elected to purchase.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6.ADJUSTMENT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Subject to the provisions of the Certificate of Incorporation of the Company, if (a) there is any stock dividend or liquidating dividend of cash and/or property, stock split or other change in the character or amount of any of the outstanding securities of the Company, or (b) there is any consolidation, merger or sale of all or substantially all of the assets of the Company, then, in such event, any and all new, substituted or additional securities or other property to which Purchaser is entitled by reason of Purchaser’s ownership of the shares shall be immediately subject to the Repurchase Right and the Right of First Refusal, as defined below, with the same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force and effect as the shares subject to the Repurchase Right and the Right of First Refusal. While the total repurchase price shall remain the same after each such event, the repurchase price per share upon exercise of the Repurchase Right shall be appropriately and equitably adjusted as determined by the Board of Directors of the Company. Appropriate adjustments shall also be made to the number and/or class of shares subject to the Repurchase Right and the Right of First Refusal to reflect the exchange or distribution of such securities. In the event of a merger or consolidation of the Company with or into another entity or any other corporate reorganization, the Repurchase Right and Right of First Refusal may be exercised by the Company’s successor.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7.THE COMPANY’S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Before any shares of Common Stock registered in the name of the Trustee for the benefit of the Purchaser may be sold or transferred, such shares shall first be offered to the Company as follows (the “Right of First Refusal”):</w:t>
      </w:r>
    </w:p>
    <w:p>
      <w:pPr>
        <w:spacing w:after="0" w:line="170" w:lineRule="exact"/>
        <w:rPr>
          <w:sz w:val="20"/>
          <w:szCs w:val="20"/>
          <w:color w:val="auto"/>
        </w:rPr>
      </w:pPr>
    </w:p>
    <w:p>
      <w:pPr>
        <w:ind w:left="1300" w:hanging="644"/>
        <w:spacing w:after="0" w:line="255" w:lineRule="auto"/>
        <w:tabs>
          <w:tab w:leader="none" w:pos="1297" w:val="left"/>
        </w:tabs>
        <w:numPr>
          <w:ilvl w:val="0"/>
          <w:numId w:val="310"/>
        </w:numPr>
        <w:rPr>
          <w:rFonts w:ascii="Arial" w:cs="Arial" w:eastAsia="Arial" w:hAnsi="Arial"/>
          <w:sz w:val="18"/>
          <w:szCs w:val="18"/>
          <w:color w:val="auto"/>
        </w:rPr>
      </w:pPr>
      <w:r>
        <w:rPr>
          <w:rFonts w:ascii="Arial" w:cs="Arial" w:eastAsia="Arial" w:hAnsi="Arial"/>
          <w:sz w:val="18"/>
          <w:szCs w:val="18"/>
          <w:color w:val="auto"/>
        </w:rPr>
        <w:t>Purchaser shall promptly deliver a notice (“Notice”) to the Company stating (i) Purchaser’s bona fide intention to sell or transfer such shares, (ii) the number of such shares to be sold or transferred, and the basic terms and conditions of such sale or transfer, (iii) the price for which Purchaser proposes to sell or transfer such shares, (iv) the name of the proposed purchaser or transferee, and (v) proof satisfactory to the Company that the proposed sale or transfer will not violate any applicable U.S. federal, state or foreign securities laws. The Notice shall be signed by both Purchaser and the proposed purchaser or transferee and must constitute a binding commitment subject to the Company’s Right of First Refusal as set forth herein.</w:t>
      </w:r>
    </w:p>
    <w:p>
      <w:pPr>
        <w:spacing w:after="0" w:line="193" w:lineRule="exact"/>
        <w:rPr>
          <w:rFonts w:ascii="Arial" w:cs="Arial" w:eastAsia="Arial" w:hAnsi="Arial"/>
          <w:sz w:val="18"/>
          <w:szCs w:val="18"/>
          <w:color w:val="auto"/>
        </w:rPr>
      </w:pPr>
    </w:p>
    <w:p>
      <w:pPr>
        <w:ind w:left="1300" w:right="40" w:hanging="644"/>
        <w:spacing w:after="0" w:line="272" w:lineRule="auto"/>
        <w:tabs>
          <w:tab w:leader="none" w:pos="1307" w:val="left"/>
        </w:tabs>
        <w:numPr>
          <w:ilvl w:val="0"/>
          <w:numId w:val="310"/>
        </w:numPr>
        <w:rPr>
          <w:rFonts w:ascii="Arial" w:cs="Arial" w:eastAsia="Arial" w:hAnsi="Arial"/>
          <w:sz w:val="17"/>
          <w:szCs w:val="17"/>
          <w:color w:val="auto"/>
        </w:rPr>
      </w:pPr>
      <w:r>
        <w:rPr>
          <w:rFonts w:ascii="Arial" w:cs="Arial" w:eastAsia="Arial" w:hAnsi="Arial"/>
          <w:sz w:val="17"/>
          <w:szCs w:val="17"/>
          <w:color w:val="auto"/>
        </w:rPr>
        <w:t>Within thirty (30) days after receipt of the Notice, the Company may elect to purchase all or any portion of the shares to which the Notice refers, at the price per share specified in the Notice. If the Company elects not to purchase all or any portion of the shares, the Company may assign its right to purchase all or any portion of the shares. The assignees may elect within thirty (30) days after receipt by the Company of the Notice to purchase all or any portion of the shares to which the Notice refers, at the price per share specified in the Notice. An election to purchase shall be made by written notice to Purchaser. Payment for shares purchased pursuant to this Section 7 shall be made within thirty (30) days after receipt of the Notice by the Company and, at the option of the Company, may be made by cancellation of all or a portion of outstanding indebtedness, if any, or in cash or both.</w:t>
      </w:r>
    </w:p>
    <w:p>
      <w:pPr>
        <w:spacing w:after="0" w:line="177" w:lineRule="exact"/>
        <w:rPr>
          <w:rFonts w:ascii="Arial" w:cs="Arial" w:eastAsia="Arial" w:hAnsi="Arial"/>
          <w:sz w:val="17"/>
          <w:szCs w:val="17"/>
          <w:color w:val="auto"/>
        </w:rPr>
      </w:pPr>
    </w:p>
    <w:p>
      <w:pPr>
        <w:ind w:left="1300" w:right="100" w:hanging="644"/>
        <w:spacing w:after="0" w:line="257" w:lineRule="auto"/>
        <w:tabs>
          <w:tab w:leader="none" w:pos="131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If all or any portion of the shares to which the Notice refers are not elected to be purchased, as provided in subparagraph 7(b), Purchaser may sell those shares to any person named in the Notice at the price specified in the Notice, provided that such sale or transfer is consummated within sixty (60) days of the date of said Notice to the Company, and provided, further, that any such sale is made in compliance with applicable U.S. federal, state and foreign securities laws and not in violation of any other contractual restrictions to which Purchaser is bound.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ectPr>
          <w:pgSz w:w="11900" w:h="16838" w:orient="portrait"/>
          <w:cols w:equalWidth="0" w:num="1">
            <w:col w:w="11400"/>
          </w:cols>
          <w:pgMar w:left="240" w:top="125" w:right="259" w:bottom="0" w:gutter="0" w:footer="0" w:header="0"/>
        </w:sectPr>
      </w:pPr>
    </w:p>
    <w:bookmarkStart w:id="334" w:name="page335"/>
    <w:bookmarkEnd w:id="334"/>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80"/>
        <w:spacing w:after="0" w:line="277" w:lineRule="auto"/>
        <w:rPr>
          <w:sz w:val="20"/>
          <w:szCs w:val="20"/>
          <w:color w:val="auto"/>
        </w:rPr>
      </w:pPr>
      <w:r>
        <w:rPr>
          <w:rFonts w:ascii="Arial" w:cs="Arial" w:eastAsia="Arial" w:hAnsi="Arial"/>
          <w:sz w:val="18"/>
          <w:szCs w:val="18"/>
          <w:color w:val="auto"/>
        </w:rPr>
        <w:t>third-party purchaser shall be bound by, and shall acquire the shares of stock subject to, the provisions of this Agreement, including the Company’s Right of First Refusal.</w:t>
      </w:r>
    </w:p>
    <w:p>
      <w:pPr>
        <w:spacing w:after="0" w:line="170" w:lineRule="exact"/>
        <w:rPr>
          <w:sz w:val="20"/>
          <w:szCs w:val="20"/>
          <w:color w:val="auto"/>
        </w:rPr>
      </w:pPr>
    </w:p>
    <w:p>
      <w:pPr>
        <w:ind w:left="1300" w:hanging="644"/>
        <w:spacing w:after="0" w:line="342" w:lineRule="auto"/>
        <w:tabs>
          <w:tab w:leader="none" w:pos="1307" w:val="left"/>
        </w:tabs>
        <w:numPr>
          <w:ilvl w:val="0"/>
          <w:numId w:val="311"/>
        </w:numPr>
        <w:rPr>
          <w:rFonts w:ascii="Arial" w:cs="Arial" w:eastAsia="Arial" w:hAnsi="Arial"/>
          <w:sz w:val="16"/>
          <w:szCs w:val="16"/>
          <w:color w:val="auto"/>
        </w:rPr>
      </w:pPr>
      <w:r>
        <w:rPr>
          <w:rFonts w:ascii="Arial" w:cs="Arial" w:eastAsia="Arial" w:hAnsi="Arial"/>
          <w:sz w:val="16"/>
          <w:szCs w:val="16"/>
          <w:color w:val="auto"/>
        </w:rPr>
        <w:t>Any proposed transfer on terms and conditions different from those set forth in the Notice, as well as any subsequent proposed transfer shall again be subject to the Company’s Right of First Refusal and shall require compliance with the procedures described in this Section 7.</w:t>
      </w:r>
    </w:p>
    <w:p>
      <w:pPr>
        <w:spacing w:after="0" w:line="123" w:lineRule="exact"/>
        <w:rPr>
          <w:rFonts w:ascii="Arial" w:cs="Arial" w:eastAsia="Arial" w:hAnsi="Arial"/>
          <w:sz w:val="16"/>
          <w:szCs w:val="16"/>
          <w:color w:val="auto"/>
        </w:rPr>
      </w:pPr>
    </w:p>
    <w:p>
      <w:pPr>
        <w:ind w:left="1300" w:right="280" w:hanging="644"/>
        <w:spacing w:after="0" w:line="277" w:lineRule="auto"/>
        <w:tabs>
          <w:tab w:leader="none" w:pos="131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Purchaser agrees to cooperate affirmatively with the Company, to the extent reasonably requested by the Company, to enforce rights and obligations pursuant to this Agreement.</w:t>
      </w:r>
    </w:p>
    <w:p>
      <w:pPr>
        <w:spacing w:after="0" w:line="170" w:lineRule="exact"/>
        <w:rPr>
          <w:rFonts w:ascii="Arial" w:cs="Arial" w:eastAsia="Arial" w:hAnsi="Arial"/>
          <w:sz w:val="18"/>
          <w:szCs w:val="18"/>
          <w:color w:val="auto"/>
        </w:rPr>
      </w:pPr>
    </w:p>
    <w:p>
      <w:pPr>
        <w:ind w:left="1300" w:right="420" w:hanging="644"/>
        <w:spacing w:after="0" w:line="286" w:lineRule="auto"/>
        <w:tabs>
          <w:tab w:leader="none" w:pos="130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Notwithstanding the above, neither the Company nor any assignee of the Company under this Section 7 shall have any right under this Section 7 at any time subsequent to the closing of a public offering of the common stock of the Company pursuant to a registration statement declared effective under the U.S. Securities Act of 1933, as amended (the “Securities Act”).</w:t>
      </w:r>
    </w:p>
    <w:p>
      <w:pPr>
        <w:spacing w:after="0" w:line="165" w:lineRule="exact"/>
        <w:rPr>
          <w:rFonts w:ascii="Arial" w:cs="Arial" w:eastAsia="Arial" w:hAnsi="Arial"/>
          <w:sz w:val="17"/>
          <w:szCs w:val="17"/>
          <w:color w:val="auto"/>
        </w:rPr>
      </w:pPr>
    </w:p>
    <w:p>
      <w:pPr>
        <w:ind w:left="1300" w:right="20" w:hanging="644"/>
        <w:spacing w:after="0" w:line="257" w:lineRule="auto"/>
        <w:tabs>
          <w:tab w:leader="none" w:pos="132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This Section 7 shall not apply to (i) a transfer by will or intestate succession, or (ii) a transfer to one or more members of Purchaser’s Immediate Family (defined below) or to a trust established by Purchaser for the benefit of Purchaser and/or one or more members of Purchaser’s Immediate Family, provided that the transferee agrees in writing on a form prescribed by the Company to be bound by all of the provisions of this Agreement to the same extent as they apply to Purchaser. The transferee shall execute a copy of the attached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and file the same with the Secretary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8.PURCHASER’S RIGHTS AFTER EXERCISE OF REPURCHASE RIGHT OR RIGHT OF FIRST REFUSAL</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If the Company makes available, at the time and place and in the amount and form provided in this Agreement, the consideration for the Common Stock to be repurchased in accordance with the provisions of Sections 2 and 7 of this Agreement, then from and after such time the person from whom such shares are to be repurchased shall no longer have any rights as a holder of such shares (other than the right to receive payment of such consideration in accordance with this Agreement). Such shares shall be deemed to have been repurchased in accordance with the applicable provisions hereof, whether or not the certificate(s) therefor have been delivered as required by this Agreement.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9.TRANSFER BY PURCHASER TO CERTAIN PEOPLE</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80" w:hanging="644"/>
        <w:spacing w:after="0" w:line="277" w:lineRule="auto"/>
        <w:tabs>
          <w:tab w:leader="none" w:pos="1297" w:val="left"/>
        </w:tabs>
        <w:numPr>
          <w:ilvl w:val="0"/>
          <w:numId w:val="312"/>
        </w:numPr>
        <w:rPr>
          <w:rFonts w:ascii="Arial" w:cs="Arial" w:eastAsia="Arial" w:hAnsi="Arial"/>
          <w:sz w:val="18"/>
          <w:szCs w:val="18"/>
          <w:color w:val="auto"/>
        </w:rPr>
      </w:pPr>
      <w:r>
        <w:rPr>
          <w:rFonts w:ascii="Arial" w:cs="Arial" w:eastAsia="Arial" w:hAnsi="Arial"/>
          <w:sz w:val="18"/>
          <w:szCs w:val="18"/>
          <w:color w:val="auto"/>
        </w:rPr>
        <w:t>Notwithstanding anything herein to the contrary, Purchaser may not transfer, assign, encumber or otherwise dispose of any Subject Shares without the Company’s written consent.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10.LEGEND OF SHARES</w:t>
      </w:r>
      <w:r>
        <w:rPr>
          <w:rFonts w:ascii="Arial" w:cs="Arial" w:eastAsia="Arial" w:hAnsi="Arial"/>
          <w:sz w:val="18"/>
          <w:szCs w:val="18"/>
          <w:b w:val="1"/>
          <w:bCs w:val="1"/>
          <w:color w:val="auto"/>
        </w:rPr>
        <w:t>.</w:t>
      </w:r>
    </w:p>
    <w:p>
      <w:pPr>
        <w:spacing w:after="0" w:line="22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All certificates representing the Common Stock purchased under this Agreement shall, where applicable, have endorsed thereon the following legends and any other legends required by applicable securities laws:</w:t>
      </w:r>
    </w:p>
    <w:p>
      <w:pPr>
        <w:spacing w:after="0" w:line="170"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SECURITIES REPRESENTED BY THIS CERTIFICATE HAVE NOT BEEN REGISTERED OR QUALIFIED UNDER THE U.S. SECURITIES ACT OF 1933, AS AMENDED, OR THE SECURITIES LAWS OF ANY STATE OR FOREIGN JURISDICTION, AND MAY BE OFFERED AND SOLD ONLY IF REGISTERED AND QUALIFIED PURSUANT TO THE RELEVANT PROVISIONS OF U.S. FEDERAL AND STATE AND APPLICABLE FOREIGN SECURITIES LAWS OR IF THE COMPANY IS PROVIDED AN OPINION OF COUNSEL SATISFACTORY TO THE COMPANY THAT REGISTRATION AND QUALIFICATION UNDER U.S. FEDERAL AND STATE AND APPLICABLE FOREIGN SECURITIES LAWS IS NOT REQUIRED.</w:t>
      </w:r>
    </w:p>
    <w:p>
      <w:pPr>
        <w:spacing w:after="0" w:line="193"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SECURITIES REPRESENTED BY THIS CERTIFICATE MAY NOT BE SOLD, TRANSFERRED, ENCUMBERED OR IN ANY MANNER DISPOSED OF, EXCEPT IN COMPLIANCE WITH THE TERMS OF A WRITTEN AGREEMENT BETWEEN THE COMPANY AND THE INITIAL HOLDER HEREOF. SUCH AGREEMENT PROVIDES FOR CERTAIN TRANSFER RESTRICTIONS, INCLUDING RIGHTS OF FIRST REFUSAL UPON AN ATTEMPTED TRANSFER OF THE SECURITIES AND CERTAIN REPURCHASE RIGHTS IN FAVOR OF THE COMPANY. THE SECRETARY OF THE COMPANY WILL UPON WRITTEN REQUEST FURNISH A COPY OF SUCH AGREEMENT TO THE HOLDER HEREOF WITHOUT CHARGE.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11.PURCHASER’S INVESTMENT REPRESENTATIONS</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40" w:hanging="644"/>
        <w:spacing w:after="0" w:line="291" w:lineRule="auto"/>
        <w:tabs>
          <w:tab w:leader="none" w:pos="129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This Agreement is made with Purchaser in reliance upon Purchaser’s representation to the Company, which by Purchaser’s acceptance hereof Purchaser confirms, that the Common Stock which Purchaser will receive will be acquired with Purchaser’s own funds for investment for an indefinite period for Purchaser’s own account, not as a nominee or agent, and not with a view to the sale or distribution of any part thereof, and that Purchaser has no present intention of selling, granting participation in, or otherwise distributing the same, but subject, nevertheless, to any requirement of law that the disposition of Purchaser’s property shall at all times be within Purchaser’s control. By executing this Agreement, Purchaser further represents that Purchaser does not have any contract, understanding or agreement with any person to sell, transfer, or grant participation to such person or to any third person, with respect to any of the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ectPr>
          <w:pgSz w:w="11900" w:h="16889" w:orient="portrait"/>
          <w:cols w:equalWidth="0" w:num="1">
            <w:col w:w="11420"/>
          </w:cols>
          <w:pgMar w:left="240" w:top="342" w:right="239" w:bottom="0" w:gutter="0" w:footer="0" w:header="0"/>
        </w:sectPr>
      </w:pPr>
    </w:p>
    <w:bookmarkStart w:id="335" w:name="page336"/>
    <w:bookmarkEnd w:id="335"/>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0" w:hanging="644"/>
        <w:spacing w:after="0" w:line="259" w:lineRule="auto"/>
        <w:tabs>
          <w:tab w:leader="none" w:pos="1307"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Purchaser understands that the Common Stock will not be registered or qualified under applicable U.S. federal, state or foreign securities laws on the ground that the sale provided for in this Agreement is exempt from registration or qualification under applicable U.S. federal, state or foreign securities laws and that the Company’s reliance on such exemption is predicated on Purchaser’s representations set forth herein.</w:t>
      </w:r>
    </w:p>
    <w:p>
      <w:pPr>
        <w:spacing w:after="0" w:line="186" w:lineRule="exact"/>
        <w:rPr>
          <w:rFonts w:ascii="Arial" w:cs="Arial" w:eastAsia="Arial" w:hAnsi="Arial"/>
          <w:sz w:val="18"/>
          <w:szCs w:val="18"/>
          <w:color w:val="auto"/>
        </w:rPr>
      </w:pPr>
    </w:p>
    <w:p>
      <w:pPr>
        <w:ind w:left="1300" w:right="80" w:hanging="644"/>
        <w:spacing w:after="0" w:line="291" w:lineRule="auto"/>
        <w:tabs>
          <w:tab w:leader="none" w:pos="131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Purchaser agrees that in no event shall Purchaser make a disposition of any of the Common Stock (including a disposition under Section 9 of this Agreement), unless and until (i) Purchaser shall have notified the Company of the proposed disposition and shall have furnished the Company with a statement of the circumstances surrounding the proposed disposition and payment of any and all taxes due as a result of such disposition and (ii) Purchaser shall have furnished the Company with an opinion of counsel satisfactory to the Company to the effect that (A) such disposition will not require registration or qualification of such Common Stock under applicable U.S. federal, state or foreign securities laws or (B) appropriate action necessary for compliance with the U.S. federal, state or foreign securities laws has been taken or (iii) the Company shall have waived, expressly and in writing, its rights under clauses (i) and (ii) of this Section.</w:t>
      </w:r>
    </w:p>
    <w:p>
      <w:pPr>
        <w:spacing w:after="0" w:line="167" w:lineRule="exact"/>
        <w:rPr>
          <w:rFonts w:ascii="Arial" w:cs="Arial" w:eastAsia="Arial" w:hAnsi="Arial"/>
          <w:sz w:val="16"/>
          <w:szCs w:val="16"/>
          <w:color w:val="auto"/>
        </w:rPr>
      </w:pPr>
    </w:p>
    <w:p>
      <w:pPr>
        <w:ind w:left="1300" w:right="120" w:hanging="644"/>
        <w:spacing w:after="0" w:line="290" w:lineRule="auto"/>
        <w:tabs>
          <w:tab w:leader="none" w:pos="1307" w:val="left"/>
        </w:tabs>
        <w:numPr>
          <w:ilvl w:val="0"/>
          <w:numId w:val="314"/>
        </w:numPr>
        <w:rPr>
          <w:rFonts w:ascii="Arial" w:cs="Arial" w:eastAsia="Arial" w:hAnsi="Arial"/>
          <w:sz w:val="16"/>
          <w:szCs w:val="16"/>
          <w:color w:val="auto"/>
        </w:rPr>
      </w:pPr>
      <w:r>
        <w:rPr>
          <w:rFonts w:ascii="Arial" w:cs="Arial" w:eastAsia="Arial" w:hAnsi="Arial"/>
          <w:sz w:val="16"/>
          <w:szCs w:val="16"/>
          <w:color w:val="auto"/>
        </w:rPr>
        <w:t>With respect to a transaction occurring prior to such date as the Plan and Common Stock thereunder are covered by a valid Form S-8 or similar U.S. federal registration statement, this Subsection shall apply unless the transaction is covered by the exemption in California Corporations Code section 25102(o) or a similar broad-based exemption. In connection with the investment representations made herein, Purchaser represents that Purchaser is able to fend for himself or herself in the transactions contemplated by this Agreement, has such knowledge and experience in financial and business matters as to be capable of evaluating the merits and risks of Purchaser’s investment, has the ability to bear the economic risks of Purchaser’s investment and has been furnished with and has had access to such information as would be made available in the form of a registration statement together with such additional information as is necessary to verify the accuracy of the information supplied and to have all questions answered by the Company.</w:t>
      </w:r>
    </w:p>
    <w:p>
      <w:pPr>
        <w:spacing w:after="0" w:line="166" w:lineRule="exact"/>
        <w:rPr>
          <w:rFonts w:ascii="Arial" w:cs="Arial" w:eastAsia="Arial" w:hAnsi="Arial"/>
          <w:sz w:val="16"/>
          <w:szCs w:val="16"/>
          <w:color w:val="auto"/>
        </w:rPr>
      </w:pPr>
    </w:p>
    <w:p>
      <w:pPr>
        <w:ind w:left="1300" w:right="160" w:hanging="644"/>
        <w:spacing w:after="0" w:line="293" w:lineRule="auto"/>
        <w:tabs>
          <w:tab w:leader="none" w:pos="131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Purchaser understands that if the Company does not register with the Securities and Exchange Commission pursuant to section 12 of the U.S. Securities Exchange Act of 1934, as amended, or if a registration statement covering the Common Stock (or a filing pursuant to the exemption from registration under Regulation A of the Securities Act) under the Securities Act is not in effect when Purchaser desires to sell the Common Stock, Purchaser may be required to hold the Common Stock for an indeterminate period. Purchaser also acknowledges that Purchaser understands that any sale of the Common Stock which might be made by Purchaser in reliance upon Rule 144 under the Securities Act may be made only in limited amounts in accordance with the terms and conditions of that Rule.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12.NO DUTY TO TRANSFER IN VIOLATION OF THIS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Company shall not be required (a) to transfer on its books any shares of Common Stock of the Company which shall have been sold or transferred in violation of any of the provisions set forth in this Agreement or (b) to treat as owner of such shares or to accord the right to vote as such owner or to pay dividends to any transferee to whom such shares shall have been so transferred.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13.RIGHTS OF PURCHASER</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120" w:hanging="644"/>
        <w:spacing w:after="0" w:line="264" w:lineRule="auto"/>
        <w:tabs>
          <w:tab w:leader="none" w:pos="129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Except as otherwise provided herein, Purchaser shall, during the term of this Agreement, exercise all rights and privileges of a stockholder of the Company with respect to the Common Stock, as beneficial owner of the Common Stock held by the Trustee for the benefit of the Purchaser.</w:t>
      </w:r>
    </w:p>
    <w:p>
      <w:pPr>
        <w:spacing w:after="0" w:line="181" w:lineRule="exact"/>
        <w:rPr>
          <w:rFonts w:ascii="Arial" w:cs="Arial" w:eastAsia="Arial" w:hAnsi="Arial"/>
          <w:sz w:val="18"/>
          <w:szCs w:val="18"/>
          <w:color w:val="auto"/>
        </w:rPr>
      </w:pPr>
    </w:p>
    <w:p>
      <w:pPr>
        <w:ind w:left="1300" w:right="40" w:hanging="644"/>
        <w:spacing w:after="0" w:line="264" w:lineRule="auto"/>
        <w:tabs>
          <w:tab w:leader="none" w:pos="1307"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Nothing in this Agreement shall be construed as a right by Purchaser to be retained by the Company, or a parent or subsidiary of the Company in any capacity. The Company reserves the right to terminate Purchaser’s Service at any time and for any reason without thereby incurring any liability to Purchaser.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14.RESALE RESTRICTIONS/MARKET STAND-OFF</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Purchaser hereby agrees that in connection with any underwritten public offering by the Company of its equity securities pursuant to an effective registration statement filed under the Securities Act, including the Company’s initial public offering, Purchaser shall not, directly or indirectly, engage in any transaction prohibited by the underwriter, or sell, make any short sale of, contract to sell, transfer the economic risk of ownership in, loan, hypothecate, pledge, grant any option for the purchase of, or otherwise dispose or transfer for value or agree to engage in any of the foregoing transactions with respect to any Common Stock without the prior written consent of the Company or its underwriters, for such period of time after the effective date of such registration statement as may be requested by the Company or such underwriters. Such period of time shall not exceed one hundred eighty (180) days; provided, however, that if either (a) during the last seventeen (17) days of such one hundred eighty (180) day period, the Company issues an earnings release or material news or a material event relating to the Company occurs or (b) prior to the expiration of such one hundred eighty (180) day period, the Company announces that it will release earnings results during the sixteen (16) day period beginning on the last day of the one hundred eighty (180) day period, then the restrictions imposed during such one hundred eighty (180) day period shall continue to apply until the expiration of the eighteen (18) day period beginning on the issuance of the earnings release or the occurrence of the material news or material event; and provided, further, that in the event the Company or the underwriter requests that the one hundred eighty (180) day period be extended or modified pursuant to then-applicable law, rules, regulations or trading policies, the restrictions imposed during the one hundred eighty (180) day period shall continue to apply to the extent requested by the Company or the underwriter to comply with such law, rules, regulations or trading policies. Purchaser hereby agrees to execute and deliver such other agreements as may be reasonably requested by the Company or the underwriter which are consistent with the foregoing or which</w:t>
      </w:r>
    </w:p>
    <w:p>
      <w:pPr>
        <w:sectPr>
          <w:pgSz w:w="11900" w:h="16930" w:orient="portrait"/>
          <w:cols w:equalWidth="0" w:num="1">
            <w:col w:w="11400"/>
          </w:cols>
          <w:pgMar w:left="240" w:top="125" w:right="259" w:bottom="0" w:gutter="0" w:footer="0" w:header="0"/>
        </w:sectPr>
      </w:pPr>
    </w:p>
    <w:bookmarkStart w:id="336" w:name="page337"/>
    <w:bookmarkEnd w:id="336"/>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are necessary to give further effect thereto. To enforce the provisions of this Section, the Company may impose stop-transfer instructions with respect to the Common Stock until the end of the applicable stand-off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15.OTHER NECESSARY ACTIONS</w:t>
      </w:r>
      <w:r>
        <w:rPr>
          <w:rFonts w:ascii="Arial" w:cs="Arial" w:eastAsia="Arial" w:hAnsi="Arial"/>
          <w:sz w:val="18"/>
          <w:szCs w:val="18"/>
          <w:b w:val="1"/>
          <w:bCs w:val="1"/>
          <w:color w:val="auto"/>
        </w:rPr>
        <w: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parties agree to execute such further instruments and to take such further action as may reasonably be necessary to carry out the intent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16.NOTICE</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deposit in the United States Post Office or foreign equivalent with postage and fees prepaid, addressed to the other party hereto at the address last known or at such other address as such party may designate by ten (10) days’ advance written notice to the other party hereto.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17.SUCCESSORS AND ASSIGNS</w:t>
      </w:r>
      <w:r>
        <w:rPr>
          <w:rFonts w:ascii="Arial" w:cs="Arial" w:eastAsia="Arial" w:hAnsi="Arial"/>
          <w:sz w:val="18"/>
          <w:szCs w:val="18"/>
          <w:b w:val="1"/>
          <w:bCs w:val="1"/>
          <w:color w:val="auto"/>
        </w:rPr>
        <w:t>.</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This Agreement shall inure to the benefit of the successors and assigns of the Company and, subject to the restrictions on transfer herein set forth, be binding upon Purchaser and Purchaser’s heirs, executors, administrators, successors and assigns. The failure of the Company in any instance to exercise the Repurchase Right or Right of First Refusal described herein shall not constitute a waiver of any other Repurchase Right or Right of First Refusal that may subsequently arise under the provisions of this Agreement. No waiver of any breach or condition of this Agreement shall be deemed to be a waiver of any other or subsequent breach or condition, whether of a like or different nature.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18.APPLICABLE LAW</w:t>
      </w:r>
      <w:r>
        <w:rPr>
          <w:rFonts w:ascii="Arial" w:cs="Arial" w:eastAsia="Arial" w:hAnsi="Arial"/>
          <w:sz w:val="18"/>
          <w:szCs w:val="18"/>
          <w:b w:val="1"/>
          <w:bCs w:val="1"/>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as such laws are applied to contracts entered into and performed in such state.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19.NO STATE QUALIFICATION</w:t>
      </w:r>
      <w:r>
        <w:rPr>
          <w:rFonts w:ascii="Arial" w:cs="Arial" w:eastAsia="Arial" w:hAnsi="Arial"/>
          <w:sz w:val="18"/>
          <w:szCs w:val="18"/>
          <w:b w:val="1"/>
          <w:bCs w:val="1"/>
          <w:color w:val="auto"/>
        </w:rPr>
        <w:t>.</w:t>
      </w:r>
    </w:p>
    <w:p>
      <w:pPr>
        <w:spacing w:after="0" w:line="229"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SALE OF THE SECURITIES WHICH ARE THE SUBJECT OF THIS AGREEMENT HAS NOT BEEN QUALIFIED WITH THE COMMISSIONER OF CORPORATIONS OF THE STATE OF NEW YORK, AND THE ISSUANCE OF SUCH SECURITIES OR THE PAYMENT OR RECEIPT OF ANY PART OF THE CONSIDERATION THEREFOR PRIOR TO SUCH QUALIFICATION IS UNLAWFUL, UNLESS THE SALE OF SECURITIES IS EXEMPT FROM QUALIFICATION BY SECTION 25100, 25102 OR 25105 OF THE CALIFORNIA CORPORATIONS CODE. THE RIGHTS OF ALL PARTIES TO THIS AGREEMENT ARE EXPRESSLY CONDITIONED UPON SUCH QUALIFICATION BEING OBTAINED, UNLESS THE SALE IS SO EXEMPT.</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20.NO ORAL MODIFICATION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modification of this Agreement shall be valid unless made in writing and signed by the parties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21.ENTIRE AGREEMENT</w:t>
      </w:r>
      <w:r>
        <w:rPr>
          <w:rFonts w:ascii="Arial" w:cs="Arial" w:eastAsia="Arial" w:hAnsi="Arial"/>
          <w:sz w:val="18"/>
          <w:szCs w:val="18"/>
          <w:b w:val="1"/>
          <w:bCs w:val="1"/>
          <w:color w:val="auto"/>
        </w:rPr>
        <w:t>.</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This Agreement, the Option Agreement and the Plan constitute the entire complete and final agreement between the parties hereto with regard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day and year first above written.</w:t>
      </w:r>
    </w:p>
    <w:p>
      <w:pPr>
        <w:spacing w:after="0" w:line="22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MongoDB, INC.</w:t>
      </w:r>
      <w:r>
        <w:rPr>
          <w:sz w:val="20"/>
          <w:szCs w:val="20"/>
          <w:color w:val="auto"/>
        </w:rPr>
        <w:tab/>
      </w:r>
      <w:r>
        <w:rPr>
          <w:rFonts w:ascii="Arial" w:cs="Arial" w:eastAsia="Arial" w:hAnsi="Arial"/>
          <w:sz w:val="16"/>
          <w:szCs w:val="16"/>
          <w:color w:val="auto"/>
        </w:rPr>
        <w:t>[First Name Last Name] (PURCHASER)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93801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9380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5715</wp:posOffset>
            </wp:positionV>
            <wp:extent cx="32588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 TO STOCK OPTION AGREEMENT</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NOTICE OF EXERCISE AND COMMON STOCK PURCHASE AGREEMENT</w:t>
      </w:r>
    </w:p>
    <w:p>
      <w:pPr>
        <w:sectPr>
          <w:pgSz w:w="11900" w:h="16838" w:orient="portrait"/>
          <w:cols w:equalWidth="0" w:num="1">
            <w:col w:w="11360"/>
          </w:cols>
          <w:pgMar w:left="240" w:top="341" w:right="299" w:bottom="0" w:gutter="0" w:footer="0" w:header="0"/>
        </w:sectPr>
      </w:pPr>
    </w:p>
    <w:bookmarkStart w:id="337" w:name="page338"/>
    <w:bookmarkEnd w:id="337"/>
    <w:p>
      <w:pPr>
        <w:jc w:val="center"/>
        <w:ind w:right="-379"/>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4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ACKNOWLEDGMENT OF AND AGREEMENT TO BE BOUND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BY THE NOTICE OF EXERCISE AND COMMON STOCK PURCHASE AGREEMENT</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MONGODB,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undersigned, as transferee of shares of MongoDB, Inc. hereby acknowledges that he or she has read and reviewed the terms of the Notice of Exercise and Common Stock Purchase Agreement of MongoDB, Inc. and hereby agrees to be bound by the terms and conditions thereof, as if the undersigned had executed said Agreement as an original party thereto.</w:t>
      </w:r>
    </w:p>
    <w:p>
      <w:pPr>
        <w:spacing w:after="0" w:line="181" w:lineRule="exact"/>
        <w:rPr>
          <w:sz w:val="20"/>
          <w:szCs w:val="20"/>
          <w:color w:val="auto"/>
        </w:rPr>
      </w:pPr>
    </w:p>
    <w:p>
      <w:pPr>
        <w:ind w:left="660"/>
        <w:spacing w:after="0"/>
        <w:tabs>
          <w:tab w:leader="none" w:pos="2060" w:val="left"/>
          <w:tab w:leader="none" w:pos="23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749935</wp:posOffset>
            </wp:positionH>
            <wp:positionV relativeFrom="paragraph">
              <wp:posOffset>-10160</wp:posOffset>
            </wp:positionV>
            <wp:extent cx="74295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(Signature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(Printed Name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MONGODB, INC.</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EXHIBIT B TO STOCK OPTION AGREEMENT</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60"/>
          </w:cols>
          <w:pgMar w:left="240" w:top="341" w:right="599" w:bottom="1440" w:gutter="0" w:footer="0" w:header="0"/>
          <w:type w:val="continuous"/>
        </w:sectPr>
      </w:pPr>
    </w:p>
    <w:bookmarkStart w:id="338" w:name="page339"/>
    <w:bookmarkEnd w:id="338"/>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gridSpan w:val="3"/>
          </w:tcPr>
          <w:p>
            <w:pPr>
              <w:ind w:left="1440"/>
              <w:spacing w:after="0"/>
              <w:rPr>
                <w:sz w:val="20"/>
                <w:szCs w:val="20"/>
                <w:color w:val="auto"/>
              </w:rPr>
            </w:pPr>
            <w:r>
              <w:rPr>
                <w:rFonts w:ascii="Arial" w:cs="Arial" w:eastAsia="Arial" w:hAnsi="Arial"/>
                <w:sz w:val="18"/>
                <w:szCs w:val="18"/>
                <w:b w:val="1"/>
                <w:bCs w:val="1"/>
                <w:color w:val="auto"/>
              </w:rPr>
              <w:t>List of Subsidiaries of MongoDB, Inc.</w:t>
            </w:r>
          </w:p>
        </w:tc>
        <w:tc>
          <w:tcPr>
            <w:tcW w:w="40" w:type="dxa"/>
            <w:vAlign w:val="bottom"/>
          </w:tcPr>
          <w:p>
            <w:pPr>
              <w:spacing w:after="0"/>
              <w:rPr>
                <w:sz w:val="20"/>
                <w:szCs w:val="20"/>
                <w:color w:val="auto"/>
              </w:rPr>
            </w:pPr>
          </w:p>
        </w:tc>
      </w:tr>
      <w:tr>
        <w:trPr>
          <w:trHeight w:val="365"/>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of Subsidiary</w:t>
            </w:r>
          </w:p>
        </w:tc>
        <w:tc>
          <w:tcPr>
            <w:tcW w:w="272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w:t>
            </w:r>
          </w:p>
        </w:tc>
        <w:tc>
          <w:tcPr>
            <w:tcW w:w="40" w:type="dxa"/>
            <w:vAlign w:val="bottom"/>
          </w:tcPr>
          <w:p>
            <w:pPr>
              <w:spacing w:after="0"/>
              <w:rPr>
                <w:sz w:val="24"/>
                <w:szCs w:val="24"/>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MongoDB Limited</w:t>
            </w:r>
          </w:p>
        </w:tc>
        <w:tc>
          <w:tcPr>
            <w:tcW w:w="2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40" w:type="dxa"/>
            <w:vAlign w:val="bottom"/>
          </w:tcPr>
          <w:p>
            <w:pPr>
              <w:spacing w:after="0"/>
              <w:rPr>
                <w:sz w:val="18"/>
                <w:szCs w:val="18"/>
                <w:color w:val="auto"/>
              </w:rPr>
            </w:pPr>
          </w:p>
        </w:tc>
      </w:tr>
      <w:tr>
        <w:trPr>
          <w:trHeight w:val="348"/>
        </w:trPr>
        <w:tc>
          <w:tcPr>
            <w:tcW w:w="28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6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328B9"/>
    <w:multiLevelType w:val="hybridMultilevel"/>
    <w:lvl w:ilvl="0">
      <w:lvlJc w:val="left"/>
      <w:lvlText w:val="(%1)"/>
      <w:numFmt w:val="decimal"/>
      <w:start w:val="1"/>
    </w:lvl>
  </w:abstractNum>
  <w:abstractNum w:abstractNumId="1">
    <w:nsid w:val="5D205E20"/>
    <w:multiLevelType w:val="hybridMultilevel"/>
    <w:lvl w:ilvl="0">
      <w:lvlJc w:val="left"/>
      <w:lvlText w:val="•"/>
      <w:numFmt w:val="bullet"/>
      <w:start w:val="1"/>
    </w:lvl>
    <w:lvl w:ilvl="1">
      <w:lvlJc w:val="left"/>
      <w:lvlText w:val="•"/>
      <w:numFmt w:val="bullet"/>
      <w:start w:val="1"/>
    </w:lvl>
  </w:abstractNum>
  <w:abstractNum w:abstractNumId="2">
    <w:nsid w:val="11CCA8BA"/>
    <w:multiLevelType w:val="hybridMultilevel"/>
    <w:lvl w:ilvl="0">
      <w:lvlJc w:val="left"/>
      <w:lvlText w:val="•"/>
      <w:numFmt w:val="bullet"/>
      <w:start w:val="1"/>
    </w:lvl>
  </w:abstractNum>
  <w:abstractNum w:abstractNumId="3">
    <w:nsid w:val="4D32AB86"/>
    <w:multiLevelType w:val="hybridMultilevel"/>
    <w:lvl w:ilvl="0">
      <w:lvlJc w:val="left"/>
      <w:lvlText w:val="•"/>
      <w:numFmt w:val="bullet"/>
      <w:start w:val="1"/>
    </w:lvl>
  </w:abstractNum>
  <w:abstractNum w:abstractNumId="4">
    <w:nsid w:val="3F07ACC3"/>
    <w:multiLevelType w:val="hybridMultilevel"/>
    <w:lvl w:ilvl="0">
      <w:lvlJc w:val="left"/>
      <w:lvlText w:val="•"/>
      <w:numFmt w:val="bullet"/>
      <w:start w:val="1"/>
    </w:lvl>
  </w:abstractNum>
  <w:abstractNum w:abstractNumId="5">
    <w:nsid w:val="6B47F63E"/>
    <w:multiLevelType w:val="hybridMultilevel"/>
    <w:lvl w:ilvl="0">
      <w:lvlJc w:val="left"/>
      <w:lvlText w:val="•"/>
      <w:numFmt w:val="bullet"/>
      <w:start w:val="1"/>
    </w:lvl>
  </w:abstractNum>
  <w:abstractNum w:abstractNumId="6">
    <w:nsid w:val="5CB44A05"/>
    <w:multiLevelType w:val="hybridMultilevel"/>
    <w:lvl w:ilvl="0">
      <w:lvlJc w:val="left"/>
      <w:lvlText w:val="•"/>
      <w:numFmt w:val="bullet"/>
      <w:start w:val="1"/>
    </w:lvl>
  </w:abstractNum>
  <w:abstractNum w:abstractNumId="7">
    <w:nsid w:val="16CF80F1"/>
    <w:multiLevelType w:val="hybridMultilevel"/>
    <w:lvl w:ilvl="0">
      <w:lvlJc w:val="left"/>
      <w:lvlText w:val="•"/>
      <w:numFmt w:val="bullet"/>
      <w:start w:val="1"/>
    </w:lvl>
  </w:abstractNum>
  <w:abstractNum w:abstractNumId="8">
    <w:nsid w:val="1C695DEC"/>
    <w:multiLevelType w:val="hybridMultilevel"/>
    <w:lvl w:ilvl="0">
      <w:lvlJc w:val="left"/>
      <w:lvlText w:val="•"/>
      <w:numFmt w:val="bullet"/>
      <w:start w:val="1"/>
    </w:lvl>
  </w:abstractNum>
  <w:abstractNum w:abstractNumId="9">
    <w:nsid w:val="3FCFAED9"/>
    <w:multiLevelType w:val="hybridMultilevel"/>
    <w:lvl w:ilvl="0">
      <w:lvlJc w:val="left"/>
      <w:lvlText w:val="•"/>
      <w:numFmt w:val="bullet"/>
      <w:start w:val="1"/>
    </w:lvl>
  </w:abstractNum>
  <w:abstractNum w:abstractNumId="10">
    <w:nsid w:val="F856867"/>
    <w:multiLevelType w:val="hybridMultilevel"/>
    <w:lvl w:ilvl="0">
      <w:lvlJc w:val="left"/>
      <w:lvlText w:val="•"/>
      <w:numFmt w:val="bullet"/>
      <w:start w:val="1"/>
    </w:lvl>
  </w:abstractNum>
  <w:abstractNum w:abstractNumId="11">
    <w:nsid w:val="11B1CC33"/>
    <w:multiLevelType w:val="hybridMultilevel"/>
    <w:lvl w:ilvl="0">
      <w:lvlJc w:val="left"/>
      <w:lvlText w:val="(%1)"/>
      <w:numFmt w:val="decimal"/>
      <w:start w:val="1"/>
    </w:lvl>
  </w:abstractNum>
  <w:abstractNum w:abstractNumId="12">
    <w:nsid w:val="2E22FBB7"/>
    <w:multiLevelType w:val="hybridMultilevel"/>
    <w:lvl w:ilvl="0">
      <w:lvlJc w:val="left"/>
      <w:lvlText w:val="(%1)"/>
      <w:numFmt w:val="decimal"/>
      <w:start w:val="2"/>
    </w:lvl>
  </w:abstractNum>
  <w:abstractNum w:abstractNumId="13">
    <w:nsid w:val="29934699"/>
    <w:multiLevelType w:val="hybridMultilevel"/>
    <w:lvl w:ilvl="0">
      <w:lvlJc w:val="left"/>
      <w:lvlText w:val="(%1)"/>
      <w:numFmt w:val="decimal"/>
      <w:start w:val="1"/>
    </w:lvl>
  </w:abstractNum>
  <w:abstractNum w:abstractNumId="14">
    <w:nsid w:val="77485850"/>
    <w:multiLevelType w:val="hybridMultilevel"/>
    <w:lvl w:ilvl="0">
      <w:lvlJc w:val="left"/>
      <w:lvlText w:val="(%1)"/>
      <w:numFmt w:val="decimal"/>
      <w:start w:val="3"/>
    </w:lvl>
  </w:abstractNum>
  <w:abstractNum w:abstractNumId="15">
    <w:nsid w:val="744939A3"/>
    <w:multiLevelType w:val="hybridMultilevel"/>
    <w:lvl w:ilvl="0">
      <w:lvlJc w:val="left"/>
      <w:lvlText w:val="(%1)"/>
      <w:numFmt w:val="decimal"/>
      <w:start w:val="4"/>
    </w:lvl>
  </w:abstractNum>
  <w:abstractNum w:abstractNumId="16">
    <w:nsid w:val="4FA0D2E3"/>
    <w:multiLevelType w:val="hybridMultilevel"/>
    <w:lvl w:ilvl="0">
      <w:lvlJc w:val="left"/>
      <w:lvlText w:val="•"/>
      <w:numFmt w:val="bullet"/>
      <w:start w:val="1"/>
    </w:lvl>
  </w:abstractNum>
  <w:abstractNum w:abstractNumId="17">
    <w:nsid w:val="6B1D2C14"/>
    <w:multiLevelType w:val="hybridMultilevel"/>
    <w:lvl w:ilvl="0">
      <w:lvlJc w:val="left"/>
      <w:lvlText w:val="•"/>
      <w:numFmt w:val="bullet"/>
      <w:start w:val="1"/>
    </w:lvl>
  </w:abstractNum>
  <w:abstractNum w:abstractNumId="18">
    <w:nsid w:val="68B867D3"/>
    <w:multiLevelType w:val="hybridMultilevel"/>
    <w:lvl w:ilvl="0">
      <w:lvlJc w:val="left"/>
      <w:lvlText w:val="•"/>
      <w:numFmt w:val="bullet"/>
      <w:start w:val="1"/>
    </w:lvl>
  </w:abstractNum>
  <w:abstractNum w:abstractNumId="19">
    <w:nsid w:val="3F7F5DD9"/>
    <w:multiLevelType w:val="hybridMultilevel"/>
    <w:lvl w:ilvl="0">
      <w:lvlJc w:val="left"/>
      <w:lvlText w:val="•"/>
      <w:numFmt w:val="bullet"/>
      <w:start w:val="1"/>
    </w:lvl>
  </w:abstractNum>
  <w:abstractNum w:abstractNumId="20">
    <w:nsid w:val="2AE05A34"/>
    <w:multiLevelType w:val="hybridMultilevel"/>
    <w:lvl w:ilvl="0">
      <w:lvlJc w:val="left"/>
      <w:lvlText w:val="•"/>
      <w:numFmt w:val="bullet"/>
      <w:start w:val="1"/>
    </w:lvl>
  </w:abstractNum>
  <w:abstractNum w:abstractNumId="21">
    <w:nsid w:val="32794FF7"/>
    <w:multiLevelType w:val="hybridMultilevel"/>
    <w:lvl w:ilvl="0">
      <w:lvlJc w:val="left"/>
      <w:lvlText w:val="•"/>
      <w:numFmt w:val="bullet"/>
      <w:start w:val="1"/>
    </w:lvl>
  </w:abstractNum>
  <w:abstractNum w:abstractNumId="22">
    <w:nsid w:val="5454945E"/>
    <w:multiLevelType w:val="hybridMultilevel"/>
    <w:lvl w:ilvl="0">
      <w:lvlJc w:val="left"/>
      <w:lvlText w:val="•"/>
      <w:numFmt w:val="bullet"/>
      <w:start w:val="1"/>
    </w:lvl>
  </w:abstractNum>
  <w:abstractNum w:abstractNumId="23">
    <w:nsid w:val="4DEFDFA0"/>
    <w:multiLevelType w:val="hybridMultilevel"/>
    <w:lvl w:ilvl="0">
      <w:lvlJc w:val="left"/>
      <w:lvlText w:val="•"/>
      <w:numFmt w:val="bullet"/>
      <w:start w:val="1"/>
    </w:lvl>
  </w:abstractNum>
  <w:abstractNum w:abstractNumId="24">
    <w:nsid w:val="2123D5F2"/>
    <w:multiLevelType w:val="hybridMultilevel"/>
    <w:lvl w:ilvl="0">
      <w:lvlJc w:val="left"/>
      <w:lvlText w:val="•"/>
      <w:numFmt w:val="bullet"/>
      <w:start w:val="1"/>
    </w:lvl>
  </w:abstractNum>
  <w:abstractNum w:abstractNumId="25">
    <w:nsid w:val="135B8110"/>
    <w:multiLevelType w:val="hybridMultilevel"/>
    <w:lvl w:ilvl="0">
      <w:lvlJc w:val="left"/>
      <w:lvlText w:val="•"/>
      <w:numFmt w:val="bullet"/>
      <w:start w:val="1"/>
    </w:lvl>
  </w:abstractNum>
  <w:abstractNum w:abstractNumId="26">
    <w:nsid w:val="94927A8"/>
    <w:multiLevelType w:val="hybridMultilevel"/>
    <w:lvl w:ilvl="0">
      <w:lvlJc w:val="left"/>
      <w:lvlText w:val="•"/>
      <w:numFmt w:val="bullet"/>
      <w:start w:val="1"/>
    </w:lvl>
  </w:abstractNum>
  <w:abstractNum w:abstractNumId="27">
    <w:nsid w:val="DCDF8F6"/>
    <w:multiLevelType w:val="hybridMultilevel"/>
    <w:lvl w:ilvl="0">
      <w:lvlJc w:val="left"/>
      <w:lvlText w:val="(%1)"/>
      <w:numFmt w:val="decimal"/>
      <w:start w:val="1"/>
    </w:lvl>
  </w:abstractNum>
  <w:abstractNum w:abstractNumId="28">
    <w:nsid w:val="52D7B105"/>
    <w:multiLevelType w:val="hybridMultilevel"/>
    <w:lvl w:ilvl="0">
      <w:lvlJc w:val="left"/>
      <w:lvlText w:val="•"/>
      <w:numFmt w:val="bullet"/>
      <w:start w:val="1"/>
    </w:lvl>
  </w:abstractNum>
  <w:abstractNum w:abstractNumId="29">
    <w:nsid w:val="2E8A6394"/>
    <w:multiLevelType w:val="hybridMultilevel"/>
    <w:lvl w:ilvl="0">
      <w:lvlJc w:val="left"/>
      <w:lvlText w:val="•"/>
      <w:numFmt w:val="bullet"/>
      <w:start w:val="1"/>
    </w:lvl>
  </w:abstractNum>
  <w:abstractNum w:abstractNumId="30">
    <w:nsid w:val="24E60401"/>
    <w:multiLevelType w:val="hybridMultilevel"/>
    <w:lvl w:ilvl="0">
      <w:lvlJc w:val="left"/>
      <w:lvlText w:val="(%1)"/>
      <w:numFmt w:val="decimal"/>
      <w:start w:val="1"/>
    </w:lvl>
  </w:abstractNum>
  <w:abstractNum w:abstractNumId="31">
    <w:nsid w:val="2A6AD9BE"/>
    <w:multiLevelType w:val="hybridMultilevel"/>
    <w:lvl w:ilvl="0">
      <w:lvlJc w:val="left"/>
      <w:lvlText w:val="(%1)"/>
      <w:numFmt w:val="decimal"/>
      <w:start w:val="2"/>
    </w:lvl>
  </w:abstractNum>
  <w:abstractNum w:abstractNumId="32">
    <w:nsid w:val="BAAC1B4"/>
    <w:multiLevelType w:val="hybridMultilevel"/>
    <w:lvl w:ilvl="0">
      <w:lvlJc w:val="left"/>
      <w:lvlText w:val="(%1)"/>
      <w:numFmt w:val="decimal"/>
      <w:start w:val="1"/>
    </w:lvl>
  </w:abstractNum>
  <w:abstractNum w:abstractNumId="33">
    <w:nsid w:val="36B2ACBC"/>
    <w:multiLevelType w:val="hybridMultilevel"/>
    <w:lvl w:ilvl="0">
      <w:lvlJc w:val="left"/>
      <w:lvlText w:val="(%1)"/>
      <w:numFmt w:val="decimal"/>
      <w:start w:val="1"/>
    </w:lvl>
  </w:abstractNum>
  <w:abstractNum w:abstractNumId="34">
    <w:nsid w:val="779D8544"/>
    <w:multiLevelType w:val="hybridMultilevel"/>
    <w:lvl w:ilvl="0">
      <w:lvlJc w:val="left"/>
      <w:lvlText w:val="•"/>
      <w:numFmt w:val="bullet"/>
      <w:start w:val="1"/>
    </w:lvl>
  </w:abstractNum>
  <w:abstractNum w:abstractNumId="35">
    <w:nsid w:val="4AB26E78"/>
    <w:multiLevelType w:val="hybridMultilevel"/>
    <w:lvl w:ilvl="0">
      <w:lvlJc w:val="left"/>
      <w:lvlText w:val="•"/>
      <w:numFmt w:val="bullet"/>
      <w:start w:val="1"/>
    </w:lvl>
  </w:abstractNum>
  <w:abstractNum w:abstractNumId="36">
    <w:nsid w:val="21FAA2FA"/>
    <w:multiLevelType w:val="hybridMultilevel"/>
    <w:lvl w:ilvl="0">
      <w:lvlJc w:val="left"/>
      <w:lvlText w:val="•"/>
      <w:numFmt w:val="bullet"/>
      <w:start w:val="1"/>
    </w:lvl>
    <w:lvl w:ilvl="1">
      <w:lvlJc w:val="left"/>
      <w:lvlText w:val="•"/>
      <w:numFmt w:val="bullet"/>
      <w:start w:val="1"/>
    </w:lvl>
  </w:abstractNum>
  <w:abstractNum w:abstractNumId="37">
    <w:nsid w:val="5451CF49"/>
    <w:multiLevelType w:val="hybridMultilevel"/>
    <w:lvl w:ilvl="0">
      <w:lvlJc w:val="left"/>
      <w:lvlText w:val="•"/>
      <w:numFmt w:val="bullet"/>
      <w:start w:val="1"/>
    </w:lvl>
  </w:abstractNum>
  <w:abstractNum w:abstractNumId="38">
    <w:nsid w:val="6181EF69"/>
    <w:multiLevelType w:val="hybridMultilevel"/>
    <w:lvl w:ilvl="0">
      <w:lvlJc w:val="left"/>
      <w:lvlText w:val="•"/>
      <w:numFmt w:val="bullet"/>
      <w:start w:val="1"/>
    </w:lvl>
  </w:abstractNum>
  <w:abstractNum w:abstractNumId="39">
    <w:nsid w:val="3E6400E6"/>
    <w:multiLevelType w:val="hybridMultilevel"/>
    <w:lvl w:ilvl="0">
      <w:lvlJc w:val="left"/>
      <w:lvlText w:val="•"/>
      <w:numFmt w:val="bullet"/>
      <w:start w:val="1"/>
    </w:lvl>
  </w:abstractNum>
  <w:abstractNum w:abstractNumId="40">
    <w:nsid w:val="14217E23"/>
    <w:multiLevelType w:val="hybridMultilevel"/>
    <w:lvl w:ilvl="0">
      <w:lvlJc w:val="left"/>
      <w:lvlText w:val="•"/>
      <w:numFmt w:val="bullet"/>
      <w:start w:val="1"/>
    </w:lvl>
  </w:abstractNum>
  <w:abstractNum w:abstractNumId="41">
    <w:nsid w:val="710757D0"/>
    <w:multiLevelType w:val="hybridMultilevel"/>
    <w:lvl w:ilvl="0">
      <w:lvlJc w:val="left"/>
      <w:lvlText w:val="•"/>
      <w:numFmt w:val="bullet"/>
      <w:start w:val="1"/>
    </w:lvl>
  </w:abstractNum>
  <w:abstractNum w:abstractNumId="42">
    <w:nsid w:val="5015CD1A"/>
    <w:multiLevelType w:val="hybridMultilevel"/>
    <w:lvl w:ilvl="0">
      <w:lvlJc w:val="left"/>
      <w:lvlText w:val="•"/>
      <w:numFmt w:val="bullet"/>
      <w:start w:val="1"/>
    </w:lvl>
  </w:abstractNum>
  <w:abstractNum w:abstractNumId="43">
    <w:nsid w:val="424479DA"/>
    <w:multiLevelType w:val="hybridMultilevel"/>
    <w:lvl w:ilvl="0">
      <w:lvlJc w:val="left"/>
      <w:lvlText w:val="•"/>
      <w:numFmt w:val="bullet"/>
      <w:start w:val="1"/>
    </w:lvl>
  </w:abstractNum>
  <w:abstractNum w:abstractNumId="44">
    <w:nsid w:val="1A9A9E69"/>
    <w:multiLevelType w:val="hybridMultilevel"/>
    <w:lvl w:ilvl="0">
      <w:lvlJc w:val="left"/>
      <w:lvlText w:val="•"/>
      <w:numFmt w:val="bullet"/>
      <w:start w:val="1"/>
    </w:lvl>
    <w:lvl w:ilvl="1">
      <w:lvlJc w:val="left"/>
      <w:lvlText w:val="•"/>
      <w:numFmt w:val="bullet"/>
      <w:start w:val="1"/>
    </w:lvl>
  </w:abstractNum>
  <w:abstractNum w:abstractNumId="45">
    <w:nsid w:val="475E256A"/>
    <w:multiLevelType w:val="hybridMultilevel"/>
    <w:lvl w:ilvl="0">
      <w:lvlJc w:val="left"/>
      <w:lvlText w:val="•"/>
      <w:numFmt w:val="bullet"/>
      <w:start w:val="1"/>
    </w:lvl>
  </w:abstractNum>
  <w:abstractNum w:abstractNumId="46">
    <w:nsid w:val="368DB37E"/>
    <w:multiLevelType w:val="hybridMultilevel"/>
    <w:lvl w:ilvl="0">
      <w:lvlJc w:val="left"/>
      <w:lvlText w:val="•"/>
      <w:numFmt w:val="bullet"/>
      <w:start w:val="1"/>
    </w:lvl>
  </w:abstractNum>
  <w:abstractNum w:abstractNumId="47">
    <w:nsid w:val="6A3B714C"/>
    <w:multiLevelType w:val="hybridMultilevel"/>
    <w:lvl w:ilvl="0">
      <w:lvlJc w:val="left"/>
      <w:lvlText w:val="•"/>
      <w:numFmt w:val="bullet"/>
      <w:start w:val="1"/>
    </w:lvl>
  </w:abstractNum>
  <w:abstractNum w:abstractNumId="48">
    <w:nsid w:val="327B517E"/>
    <w:multiLevelType w:val="hybridMultilevel"/>
    <w:lvl w:ilvl="0">
      <w:lvlJc w:val="left"/>
      <w:lvlText w:val="(%1)"/>
      <w:numFmt w:val="decimal"/>
      <w:start w:val="1"/>
    </w:lvl>
  </w:abstractNum>
  <w:abstractNum w:abstractNumId="49">
    <w:nsid w:val="1F461B51"/>
    <w:multiLevelType w:val="hybridMultilevel"/>
    <w:lvl w:ilvl="0">
      <w:lvlJc w:val="left"/>
      <w:lvlText w:val="%1"/>
      <w:numFmt w:val="decimal"/>
      <w:start w:val="36"/>
    </w:lvl>
  </w:abstractNum>
  <w:abstractNum w:abstractNumId="50">
    <w:nsid w:val="29BACF25"/>
    <w:multiLevelType w:val="hybridMultilevel"/>
    <w:lvl w:ilvl="0">
      <w:lvlJc w:val="left"/>
      <w:lvlText w:val="%1"/>
      <w:numFmt w:val="decimal"/>
      <w:start w:val="47"/>
    </w:lvl>
  </w:abstractNum>
  <w:abstractNum w:abstractNumId="51">
    <w:nsid w:val="5D5BABB3"/>
    <w:multiLevelType w:val="hybridMultilevel"/>
    <w:lvl w:ilvl="0">
      <w:lvlJc w:val="left"/>
      <w:lvlText w:val="%1"/>
      <w:numFmt w:val="decimal"/>
      <w:start w:val="50"/>
    </w:lvl>
  </w:abstractNum>
  <w:abstractNum w:abstractNumId="52">
    <w:nsid w:val="51BF6B48"/>
    <w:multiLevelType w:val="hybridMultilevel"/>
    <w:lvl w:ilvl="0">
      <w:lvlJc w:val="left"/>
      <w:lvlText w:val="%1"/>
      <w:numFmt w:val="decimal"/>
      <w:start w:val="41"/>
    </w:lvl>
  </w:abstractNum>
  <w:abstractNum w:abstractNumId="53">
    <w:nsid w:val="7E0F6384"/>
    <w:multiLevelType w:val="hybridMultilevel"/>
    <w:lvl w:ilvl="0">
      <w:lvlJc w:val="left"/>
      <w:lvlText w:val="%1"/>
      <w:numFmt w:val="decimal"/>
      <w:start w:val="53"/>
    </w:lvl>
  </w:abstractNum>
  <w:abstractNum w:abstractNumId="54">
    <w:nsid w:val="2B4B8B53"/>
    <w:multiLevelType w:val="hybridMultilevel"/>
    <w:lvl w:ilvl="0">
      <w:lvlJc w:val="left"/>
      <w:lvlText w:val="%1"/>
      <w:numFmt w:val="decimal"/>
      <w:start w:val="43"/>
    </w:lvl>
  </w:abstractNum>
  <w:abstractNum w:abstractNumId="55">
    <w:nsid w:val="72E3413A"/>
    <w:multiLevelType w:val="hybridMultilevel"/>
    <w:lvl w:ilvl="0">
      <w:lvlJc w:val="left"/>
      <w:lvlText w:val="%1"/>
      <w:numFmt w:val="decimal"/>
      <w:start w:val="45"/>
    </w:lvl>
  </w:abstractNum>
  <w:abstractNum w:abstractNumId="56">
    <w:nsid w:val="116AE494"/>
    <w:multiLevelType w:val="hybridMultilevel"/>
    <w:lvl w:ilvl="0">
      <w:lvlJc w:val="left"/>
      <w:lvlText w:val="%1"/>
      <w:numFmt w:val="decimal"/>
      <w:start w:val="49"/>
    </w:lvl>
  </w:abstractNum>
  <w:abstractNum w:abstractNumId="57">
    <w:nsid w:val="3494B2FB"/>
    <w:multiLevelType w:val="hybridMultilevel"/>
    <w:lvl w:ilvl="0">
      <w:lvlJc w:val="left"/>
      <w:lvlText w:val="%1"/>
      <w:numFmt w:val="decimal"/>
      <w:start w:val="49"/>
    </w:lvl>
  </w:abstractNum>
  <w:abstractNum w:abstractNumId="58">
    <w:nsid w:val="B13A31"/>
    <w:multiLevelType w:val="hybridMultilevel"/>
    <w:lvl w:ilvl="0">
      <w:lvlJc w:val="left"/>
      <w:lvlText w:val="%1"/>
      <w:numFmt w:val="decimal"/>
      <w:start w:val="61"/>
    </w:lvl>
  </w:abstractNum>
  <w:abstractNum w:abstractNumId="59">
    <w:nsid w:val="64429599"/>
    <w:multiLevelType w:val="hybridMultilevel"/>
    <w:lvl w:ilvl="0">
      <w:lvlJc w:val="left"/>
      <w:lvlText w:val="•"/>
      <w:numFmt w:val="bullet"/>
      <w:start w:val="1"/>
    </w:lvl>
  </w:abstractNum>
  <w:abstractNum w:abstractNumId="60">
    <w:nsid w:val="631F1690"/>
    <w:multiLevelType w:val="hybridMultilevel"/>
    <w:lvl w:ilvl="0">
      <w:lvlJc w:val="left"/>
      <w:lvlText w:val="•"/>
      <w:numFmt w:val="bullet"/>
      <w:start w:val="1"/>
    </w:lvl>
  </w:abstractNum>
  <w:abstractNum w:abstractNumId="61">
    <w:nsid w:val="25973E32"/>
    <w:multiLevelType w:val="hybridMultilevel"/>
    <w:lvl w:ilvl="0">
      <w:lvlJc w:val="left"/>
      <w:lvlText w:val="•"/>
      <w:numFmt w:val="bullet"/>
      <w:start w:val="1"/>
    </w:lvl>
  </w:abstractNum>
  <w:abstractNum w:abstractNumId="62">
    <w:nsid w:val="EAD6F57"/>
    <w:multiLevelType w:val="hybridMultilevel"/>
    <w:lvl w:ilvl="0">
      <w:lvlJc w:val="left"/>
      <w:lvlText w:val="(%1)"/>
      <w:numFmt w:val="decimal"/>
      <w:start w:val="1"/>
    </w:lvl>
  </w:abstractNum>
  <w:abstractNum w:abstractNumId="63">
    <w:nsid w:val="6EC9D844"/>
    <w:multiLevelType w:val="hybridMultilevel"/>
    <w:lvl w:ilvl="0">
      <w:lvlJc w:val="left"/>
      <w:lvlText w:val="(%1)"/>
      <w:numFmt w:val="lowerLetter"/>
      <w:start w:val="1"/>
    </w:lvl>
  </w:abstractNum>
  <w:abstractNum w:abstractNumId="64">
    <w:nsid w:val="5C49EAEE"/>
    <w:multiLevelType w:val="hybridMultilevel"/>
    <w:lvl w:ilvl="0">
      <w:lvlJc w:val="left"/>
      <w:lvlText w:val="%1"/>
      <w:numFmt w:val="decimal"/>
      <w:start w:val="1"/>
    </w:lvl>
    <w:lvl w:ilvl="1">
      <w:lvlJc w:val="left"/>
      <w:lvlText w:val="(%2)"/>
      <w:numFmt w:val="lowerLetter"/>
      <w:start w:val="2"/>
    </w:lvl>
  </w:abstractNum>
  <w:abstractNum w:abstractNumId="65">
    <w:nsid w:val="64AF49B"/>
    <w:multiLevelType w:val="hybridMultilevel"/>
    <w:lvl w:ilvl="0">
      <w:lvlJc w:val="left"/>
      <w:lvlText w:val="(%1)"/>
      <w:numFmt w:val="decimal"/>
      <w:start w:val="3"/>
    </w:lvl>
    <w:lvl w:ilvl="1">
      <w:lvlJc w:val="left"/>
      <w:lvlText w:val="%2"/>
      <w:numFmt w:val="lowerLetter"/>
      <w:start w:val="1"/>
    </w:lvl>
  </w:abstractNum>
  <w:abstractNum w:abstractNumId="66">
    <w:nsid w:val="397C46BC"/>
    <w:multiLevelType w:val="hybridMultilevel"/>
    <w:lvl w:ilvl="0">
      <w:lvlJc w:val="left"/>
      <w:lvlText w:val="(%1)"/>
      <w:numFmt w:val="decimal"/>
      <w:start w:val="1"/>
    </w:lvl>
  </w:abstractNum>
  <w:abstractNum w:abstractNumId="67">
    <w:nsid w:val="7E448DE9"/>
    <w:multiLevelType w:val="hybridMultilevel"/>
    <w:lvl w:ilvl="0">
      <w:lvlJc w:val="left"/>
      <w:lvlText w:val="(%1)"/>
      <w:numFmt w:val="decimal"/>
      <w:start w:val="1"/>
    </w:lvl>
  </w:abstractNum>
  <w:abstractNum w:abstractNumId="68">
    <w:nsid w:val="5A9CC3E5"/>
    <w:multiLevelType w:val="hybridMultilevel"/>
    <w:lvl w:ilvl="0">
      <w:lvlJc w:val="left"/>
      <w:lvlText w:val="•"/>
      <w:numFmt w:val="bullet"/>
      <w:start w:val="1"/>
    </w:lvl>
  </w:abstractNum>
  <w:abstractNum w:abstractNumId="69">
    <w:nsid w:val="1AFE3625"/>
    <w:multiLevelType w:val="hybridMultilevel"/>
    <w:lvl w:ilvl="0">
      <w:lvlJc w:val="left"/>
      <w:lvlText w:val="(%1)"/>
      <w:numFmt w:val="lowerRoman"/>
      <w:start w:val="2"/>
    </w:lvl>
    <w:lvl w:ilvl="1">
      <w:lvlJc w:val="left"/>
      <w:lvlText w:val="•"/>
      <w:numFmt w:val="bullet"/>
      <w:start w:val="1"/>
    </w:lvl>
  </w:abstractNum>
  <w:abstractNum w:abstractNumId="70">
    <w:nsid w:val="3CA88ECF"/>
    <w:multiLevelType w:val="hybridMultilevel"/>
    <w:lvl w:ilvl="0">
      <w:lvlJc w:val="left"/>
      <w:lvlText w:val="•"/>
      <w:numFmt w:val="bullet"/>
      <w:start w:val="1"/>
    </w:lvl>
  </w:abstractNum>
  <w:abstractNum w:abstractNumId="71">
    <w:nsid w:val="6EBE4208"/>
    <w:multiLevelType w:val="hybridMultilevel"/>
    <w:lvl w:ilvl="0">
      <w:lvlJc w:val="left"/>
      <w:lvlText w:val="(%1)"/>
      <w:numFmt w:val="decimal"/>
      <w:start w:val="9"/>
    </w:lvl>
  </w:abstractNum>
  <w:abstractNum w:abstractNumId="72">
    <w:nsid w:val="C058DF5"/>
    <w:multiLevelType w:val="hybridMultilevel"/>
    <w:lvl w:ilvl="0">
      <w:lvlJc w:val="left"/>
      <w:lvlText w:val="(%1)"/>
      <w:numFmt w:val="decimal"/>
      <w:start w:val="13"/>
    </w:lvl>
  </w:abstractNum>
  <w:abstractNum w:abstractNumId="73">
    <w:nsid w:val="CBE5BE9"/>
    <w:multiLevelType w:val="hybridMultilevel"/>
    <w:lvl w:ilvl="0">
      <w:lvlJc w:val="left"/>
      <w:lvlText w:val="(%1)"/>
      <w:numFmt w:val="decimal"/>
      <w:start w:val="18"/>
    </w:lvl>
  </w:abstractNum>
  <w:abstractNum w:abstractNumId="74">
    <w:nsid w:val="3102BBE2"/>
    <w:multiLevelType w:val="hybridMultilevel"/>
    <w:lvl w:ilvl="0">
      <w:lvlJc w:val="left"/>
      <w:lvlText w:val="(%1)"/>
      <w:numFmt w:val="decimal"/>
      <w:start w:val="37"/>
    </w:lvl>
  </w:abstractNum>
  <w:abstractNum w:abstractNumId="75">
    <w:nsid w:val="26A02C5E"/>
    <w:multiLevelType w:val="hybridMultilevel"/>
    <w:lvl w:ilvl="0">
      <w:lvlJc w:val="left"/>
      <w:lvlText w:val="(%1)"/>
      <w:numFmt w:val="lowerRoman"/>
      <w:start w:val="2"/>
    </w:lvl>
  </w:abstractNum>
  <w:abstractNum w:abstractNumId="76">
    <w:nsid w:val="541C8153"/>
    <w:multiLevelType w:val="hybridMultilevel"/>
    <w:lvl w:ilvl="0">
      <w:lvlJc w:val="left"/>
      <w:lvlText w:val="•"/>
      <w:numFmt w:val="bullet"/>
      <w:start w:val="1"/>
    </w:lvl>
  </w:abstractNum>
  <w:abstractNum w:abstractNumId="77">
    <w:nsid w:val="67906F60"/>
    <w:multiLevelType w:val="hybridMultilevel"/>
    <w:lvl w:ilvl="0">
      <w:lvlJc w:val="left"/>
      <w:lvlText w:val="(%1)"/>
      <w:numFmt w:val="decimal"/>
      <w:start w:val="1"/>
    </w:lvl>
  </w:abstractNum>
  <w:abstractNum w:abstractNumId="78">
    <w:nsid w:val="10DB9DAA"/>
    <w:multiLevelType w:val="hybridMultilevel"/>
    <w:lvl w:ilvl="0">
      <w:lvlJc w:val="left"/>
      <w:lvlText w:val="•"/>
      <w:numFmt w:val="bullet"/>
      <w:start w:val="1"/>
    </w:lvl>
  </w:abstractNum>
  <w:abstractNum w:abstractNumId="79">
    <w:nsid w:val="697D2D2"/>
    <w:multiLevelType w:val="hybridMultilevel"/>
    <w:lvl w:ilvl="0">
      <w:lvlJc w:val="left"/>
      <w:lvlText w:val="•"/>
      <w:numFmt w:val="bullet"/>
      <w:start w:val="1"/>
    </w:lvl>
  </w:abstractNum>
  <w:abstractNum w:abstractNumId="80">
    <w:nsid w:val="6D68AB2"/>
    <w:multiLevelType w:val="hybridMultilevel"/>
    <w:lvl w:ilvl="0">
      <w:lvlJc w:val="left"/>
      <w:lvlText w:val="•"/>
      <w:numFmt w:val="bullet"/>
      <w:start w:val="1"/>
    </w:lvl>
  </w:abstractNum>
  <w:abstractNum w:abstractNumId="81">
    <w:nsid w:val="3A966CD0"/>
    <w:multiLevelType w:val="hybridMultilevel"/>
    <w:lvl w:ilvl="0">
      <w:lvlJc w:val="left"/>
      <w:lvlText w:val="•"/>
      <w:numFmt w:val="bullet"/>
      <w:start w:val="1"/>
    </w:lvl>
  </w:abstractNum>
  <w:abstractNum w:abstractNumId="82">
    <w:nsid w:val="63F37E85"/>
    <w:multiLevelType w:val="hybridMultilevel"/>
    <w:lvl w:ilvl="0">
      <w:lvlJc w:val="left"/>
      <w:lvlText w:val="(%1)"/>
      <w:numFmt w:val="decimal"/>
      <w:start w:val="1"/>
    </w:lvl>
  </w:abstractNum>
  <w:abstractNum w:abstractNumId="83">
    <w:nsid w:val="5895F5FA"/>
    <w:multiLevelType w:val="hybridMultilevel"/>
    <w:lvl w:ilvl="0">
      <w:lvlJc w:val="left"/>
      <w:lvlText w:val="•"/>
      <w:numFmt w:val="bullet"/>
      <w:start w:val="1"/>
    </w:lvl>
  </w:abstractNum>
  <w:abstractNum w:abstractNumId="84">
    <w:nsid w:val="38A5D054"/>
    <w:multiLevelType w:val="hybridMultilevel"/>
    <w:lvl w:ilvl="0">
      <w:lvlJc w:val="left"/>
      <w:lvlText w:val="•"/>
      <w:numFmt w:val="bullet"/>
      <w:start w:val="1"/>
    </w:lvl>
  </w:abstractNum>
  <w:abstractNum w:abstractNumId="85">
    <w:nsid w:val="F3F09D8"/>
    <w:multiLevelType w:val="hybridMultilevel"/>
    <w:lvl w:ilvl="0">
      <w:lvlJc w:val="left"/>
      <w:lvlText w:val="*"/>
      <w:numFmt w:val="bullet"/>
      <w:start w:val="1"/>
    </w:lvl>
  </w:abstractNum>
  <w:abstractNum w:abstractNumId="86">
    <w:nsid w:val="4B793735"/>
    <w:multiLevelType w:val="hybridMultilevel"/>
    <w:lvl w:ilvl="0">
      <w:lvlJc w:val="left"/>
      <w:lvlText w:val="†"/>
      <w:numFmt w:val="bullet"/>
      <w:start w:val="1"/>
    </w:lvl>
  </w:abstractNum>
  <w:abstractNum w:abstractNumId="87">
    <w:nsid w:val="4A10B4E8"/>
    <w:multiLevelType w:val="hybridMultilevel"/>
    <w:lvl w:ilvl="0">
      <w:lvlJc w:val="left"/>
      <w:lvlText w:val="(%1)"/>
      <w:numFmt w:val="decimal"/>
      <w:start w:val="1"/>
    </w:lvl>
  </w:abstractNum>
  <w:abstractNum w:abstractNumId="88">
    <w:nsid w:val="43D3BCD4"/>
    <w:multiLevelType w:val="hybridMultilevel"/>
    <w:lvl w:ilvl="0">
      <w:lvlJc w:val="left"/>
      <w:lvlText w:val="(%1)"/>
      <w:numFmt w:val="decimal"/>
      <w:start w:val="2"/>
    </w:lvl>
    <w:lvl w:ilvl="1">
      <w:lvlJc w:val="left"/>
      <w:lvlText w:val="(%2)"/>
      <w:numFmt w:val="lowerLetter"/>
      <w:start w:val="2"/>
    </w:lvl>
  </w:abstractNum>
  <w:abstractNum w:abstractNumId="89">
    <w:nsid w:val="4C2A7166"/>
    <w:multiLevelType w:val="hybridMultilevel"/>
    <w:lvl w:ilvl="0">
      <w:lvlJc w:val="left"/>
      <w:lvlText w:val="•"/>
      <w:numFmt w:val="bullet"/>
      <w:start w:val="1"/>
    </w:lvl>
  </w:abstractNum>
  <w:abstractNum w:abstractNumId="90">
    <w:nsid w:val="2E534A82"/>
    <w:multiLevelType w:val="hybridMultilevel"/>
    <w:lvl w:ilvl="0">
      <w:lvlJc w:val="left"/>
      <w:lvlText w:val="•"/>
      <w:numFmt w:val="bullet"/>
      <w:start w:val="1"/>
    </w:lvl>
  </w:abstractNum>
  <w:abstractNum w:abstractNumId="91">
    <w:nsid w:val="26F2D364"/>
    <w:multiLevelType w:val="hybridMultilevel"/>
    <w:lvl w:ilvl="0">
      <w:lvlJc w:val="left"/>
      <w:lvlText w:val="•"/>
      <w:numFmt w:val="bullet"/>
      <w:start w:val="1"/>
    </w:lvl>
  </w:abstractNum>
  <w:abstractNum w:abstractNumId="92">
    <w:nsid w:val="71C1AF98"/>
    <w:multiLevelType w:val="hybridMultilevel"/>
    <w:lvl w:ilvl="0">
      <w:lvlJc w:val="left"/>
      <w:lvlText w:val="•"/>
      <w:numFmt w:val="bullet"/>
      <w:start w:val="1"/>
    </w:lvl>
  </w:abstractNum>
  <w:abstractNum w:abstractNumId="93">
    <w:nsid w:val="3D00B9D9"/>
    <w:multiLevelType w:val="hybridMultilevel"/>
    <w:lvl w:ilvl="0">
      <w:lvlJc w:val="left"/>
      <w:lvlText w:val="•"/>
      <w:numFmt w:val="bullet"/>
      <w:start w:val="1"/>
    </w:lvl>
  </w:abstractNum>
  <w:abstractNum w:abstractNumId="94">
    <w:nsid w:val="15BCABA8"/>
    <w:multiLevelType w:val="hybridMultilevel"/>
    <w:lvl w:ilvl="0">
      <w:lvlJc w:val="left"/>
      <w:lvlText w:val="•"/>
      <w:numFmt w:val="bullet"/>
      <w:start w:val="1"/>
    </w:lvl>
  </w:abstractNum>
  <w:abstractNum w:abstractNumId="95">
    <w:nsid w:val="4E0B9A87"/>
    <w:multiLevelType w:val="hybridMultilevel"/>
    <w:lvl w:ilvl="0">
      <w:lvlJc w:val="left"/>
      <w:lvlText w:val="•"/>
      <w:numFmt w:val="bullet"/>
      <w:start w:val="1"/>
    </w:lvl>
  </w:abstractNum>
  <w:abstractNum w:abstractNumId="96">
    <w:nsid w:val="434BAE75"/>
    <w:multiLevelType w:val="hybridMultilevel"/>
    <w:lvl w:ilvl="0">
      <w:lvlJc w:val="left"/>
      <w:lvlText w:val="•"/>
      <w:numFmt w:val="bullet"/>
      <w:start w:val="1"/>
    </w:lvl>
  </w:abstractNum>
  <w:abstractNum w:abstractNumId="97">
    <w:nsid w:val="4F38F265"/>
    <w:multiLevelType w:val="hybridMultilevel"/>
    <w:lvl w:ilvl="0">
      <w:lvlJc w:val="left"/>
      <w:lvlText w:val="•"/>
      <w:numFmt w:val="bullet"/>
      <w:start w:val="1"/>
    </w:lvl>
  </w:abstractNum>
  <w:abstractNum w:abstractNumId="98">
    <w:nsid w:val="4C502870"/>
    <w:multiLevelType w:val="hybridMultilevel"/>
    <w:lvl w:ilvl="0">
      <w:lvlJc w:val="left"/>
      <w:lvlText w:val="•"/>
      <w:numFmt w:val="bullet"/>
      <w:start w:val="1"/>
    </w:lvl>
  </w:abstractNum>
  <w:abstractNum w:abstractNumId="99">
    <w:nsid w:val="1DE8725A"/>
    <w:multiLevelType w:val="hybridMultilevel"/>
    <w:lvl w:ilvl="0">
      <w:lvlJc w:val="left"/>
      <w:lvlText w:val="•"/>
      <w:numFmt w:val="bullet"/>
      <w:start w:val="1"/>
    </w:lvl>
  </w:abstractNum>
  <w:abstractNum w:abstractNumId="100">
    <w:nsid w:val="6A37288A"/>
    <w:multiLevelType w:val="hybridMultilevel"/>
    <w:lvl w:ilvl="0">
      <w:lvlJc w:val="left"/>
      <w:lvlText w:val="(%1)"/>
      <w:numFmt w:val="decimal"/>
      <w:start w:val="1"/>
    </w:lvl>
  </w:abstractNum>
  <w:abstractNum w:abstractNumId="101">
    <w:nsid w:val="8F8B73F"/>
    <w:multiLevelType w:val="hybridMultilevel"/>
    <w:lvl w:ilvl="0">
      <w:lvlJc w:val="left"/>
      <w:lvlText w:val="•"/>
      <w:numFmt w:val="bullet"/>
      <w:start w:val="1"/>
    </w:lvl>
  </w:abstractNum>
  <w:abstractNum w:abstractNumId="102">
    <w:nsid w:val="CA6B462"/>
    <w:multiLevelType w:val="hybridMultilevel"/>
    <w:lvl w:ilvl="0">
      <w:lvlJc w:val="left"/>
      <w:lvlText w:val="•"/>
      <w:numFmt w:val="bullet"/>
      <w:start w:val="1"/>
    </w:lvl>
  </w:abstractNum>
  <w:abstractNum w:abstractNumId="103">
    <w:nsid w:val="763CB680"/>
    <w:multiLevelType w:val="hybridMultilevel"/>
    <w:lvl w:ilvl="0">
      <w:lvlJc w:val="left"/>
      <w:lvlText w:val="•"/>
      <w:numFmt w:val="bullet"/>
      <w:start w:val="1"/>
    </w:lvl>
  </w:abstractNum>
  <w:abstractNum w:abstractNumId="104">
    <w:nsid w:val="15B71329"/>
    <w:multiLevelType w:val="hybridMultilevel"/>
    <w:lvl w:ilvl="0">
      <w:lvlJc w:val="left"/>
      <w:lvlText w:val="(%1)"/>
      <w:numFmt w:val="lowerLetter"/>
      <w:start w:val="1"/>
    </w:lvl>
  </w:abstractNum>
  <w:abstractNum w:abstractNumId="105">
    <w:nsid w:val="3DA97044"/>
    <w:multiLevelType w:val="hybridMultilevel"/>
    <w:lvl w:ilvl="0">
      <w:lvlJc w:val="left"/>
      <w:lvlText w:val="(%1)"/>
      <w:numFmt w:val="lowerLetter"/>
      <w:start w:val="1"/>
    </w:lvl>
  </w:abstractNum>
  <w:abstractNum w:abstractNumId="106">
    <w:nsid w:val="1CDCE2DE"/>
    <w:multiLevelType w:val="hybridMultilevel"/>
    <w:lvl w:ilvl="0">
      <w:lvlJc w:val="left"/>
      <w:lvlText w:val="%1."/>
      <w:numFmt w:val="decimal"/>
      <w:start w:val="1"/>
    </w:lvl>
  </w:abstractNum>
  <w:abstractNum w:abstractNumId="107">
    <w:nsid w:val="69D3947C"/>
    <w:multiLevelType w:val="hybridMultilevel"/>
    <w:lvl w:ilvl="0">
      <w:lvlJc w:val="left"/>
      <w:lvlText w:val="•"/>
      <w:numFmt w:val="bullet"/>
      <w:start w:val="1"/>
    </w:lvl>
  </w:abstractNum>
  <w:abstractNum w:abstractNumId="108">
    <w:nsid w:val="2539DFA5"/>
    <w:multiLevelType w:val="hybridMultilevel"/>
    <w:lvl w:ilvl="0">
      <w:lvlJc w:val="left"/>
      <w:lvlText w:val="•"/>
      <w:numFmt w:val="bullet"/>
      <w:start w:val="1"/>
    </w:lvl>
  </w:abstractNum>
  <w:abstractNum w:abstractNumId="109">
    <w:nsid w:val="2DB88089"/>
    <w:multiLevelType w:val="hybridMultilevel"/>
    <w:lvl w:ilvl="0">
      <w:lvlJc w:val="left"/>
      <w:lvlText w:val="(%1)"/>
      <w:numFmt w:val="lowerRoman"/>
      <w:start w:val="1"/>
    </w:lvl>
  </w:abstractNum>
  <w:abstractNum w:abstractNumId="110">
    <w:nsid w:val="706B674E"/>
    <w:multiLevelType w:val="hybridMultilevel"/>
    <w:lvl w:ilvl="0">
      <w:lvlJc w:val="left"/>
      <w:lvlText w:val="(%1)"/>
      <w:numFmt w:val="decimal"/>
      <w:start w:val="1"/>
    </w:lvl>
  </w:abstractNum>
  <w:abstractNum w:abstractNumId="111">
    <w:nsid w:val="2C106A57"/>
    <w:multiLevelType w:val="hybridMultilevel"/>
    <w:lvl w:ilvl="0">
      <w:lvlJc w:val="left"/>
      <w:lvlText w:val="†"/>
      <w:numFmt w:val="bullet"/>
      <w:start w:val="1"/>
    </w:lvl>
  </w:abstractNum>
  <w:abstractNum w:abstractNumId="112">
    <w:nsid w:val="684EED59"/>
    <w:multiLevelType w:val="hybridMultilevel"/>
    <w:lvl w:ilvl="0">
      <w:lvlJc w:val="left"/>
      <w:lvlText w:val="+"/>
      <w:numFmt w:val="bullet"/>
      <w:start w:val="1"/>
    </w:lvl>
  </w:abstractNum>
  <w:abstractNum w:abstractNumId="113">
    <w:nsid w:val="545EE5D3"/>
    <w:multiLevelType w:val="hybridMultilevel"/>
    <w:lvl w:ilvl="0">
      <w:lvlJc w:val="left"/>
      <w:lvlText w:val="%1."/>
      <w:numFmt w:val="decimal"/>
      <w:start w:val="1"/>
    </w:lvl>
  </w:abstractNum>
  <w:abstractNum w:abstractNumId="114">
    <w:nsid w:val="4A66051"/>
    <w:multiLevelType w:val="hybridMultilevel"/>
    <w:lvl w:ilvl="0">
      <w:lvlJc w:val="left"/>
      <w:lvlText w:val="%1."/>
      <w:numFmt w:val="upperLetter"/>
      <w:start w:val="1"/>
    </w:lvl>
  </w:abstractNum>
  <w:abstractNum w:abstractNumId="115">
    <w:nsid w:val="20F4BDAD"/>
    <w:multiLevelType w:val="hybridMultilevel"/>
    <w:lvl w:ilvl="0">
      <w:lvlJc w:val="left"/>
      <w:lvlText w:val="%1."/>
      <w:numFmt w:val="decimal"/>
      <w:start w:val="1"/>
    </w:lvl>
    <w:lvl w:ilvl="1">
      <w:lvlJc w:val="left"/>
      <w:lvlText w:val="(%2)"/>
      <w:numFmt w:val="lowerLetter"/>
      <w:start w:val="1"/>
    </w:lvl>
  </w:abstractNum>
  <w:abstractNum w:abstractNumId="116">
    <w:nsid w:val="639DEFAC"/>
    <w:multiLevelType w:val="hybridMultilevel"/>
    <w:lvl w:ilvl="0">
      <w:lvlJc w:val="left"/>
      <w:lvlText w:val="%1"/>
      <w:numFmt w:val="decimal"/>
      <w:start w:val="1"/>
    </w:lvl>
    <w:lvl w:ilvl="1">
      <w:lvlJc w:val="left"/>
      <w:lvlText w:val="(%2)"/>
      <w:numFmt w:val="lowerLetter"/>
      <w:start w:val="3"/>
    </w:lvl>
  </w:abstractNum>
  <w:abstractNum w:abstractNumId="117">
    <w:nsid w:val="501F9786"/>
    <w:multiLevelType w:val="hybridMultilevel"/>
    <w:lvl w:ilvl="0">
      <w:lvlJc w:val="left"/>
      <w:lvlText w:val="%1."/>
      <w:numFmt w:val="decimal"/>
      <w:start w:val="3"/>
    </w:lvl>
    <w:lvl w:ilvl="1">
      <w:lvlJc w:val="left"/>
      <w:lvlText w:val="(%2)"/>
      <w:numFmt w:val="lowerLetter"/>
      <w:start w:val="1"/>
    </w:lvl>
  </w:abstractNum>
  <w:abstractNum w:abstractNumId="118">
    <w:nsid w:val="6B057295"/>
    <w:multiLevelType w:val="hybridMultilevel"/>
    <w:lvl w:ilvl="0">
      <w:lvlJc w:val="left"/>
      <w:lvlText w:val="(%1)"/>
      <w:numFmt w:val="lowerLetter"/>
      <w:start w:val="2"/>
    </w:lvl>
  </w:abstractNum>
  <w:abstractNum w:abstractNumId="119">
    <w:nsid w:val="2771AC8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0">
    <w:nsid w:val="1C4A08E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1">
    <w:nsid w:val="1958BD17"/>
    <w:multiLevelType w:val="hybridMultilevel"/>
    <w:lvl w:ilvl="0">
      <w:lvlJc w:val="left"/>
      <w:lvlText w:val="(%1)"/>
      <w:numFmt w:val="lowerRoman"/>
      <w:start w:val="1"/>
    </w:lvl>
  </w:abstractNum>
  <w:abstractNum w:abstractNumId="122">
    <w:nsid w:val="4E647FE4"/>
    <w:multiLevelType w:val="hybridMultilevel"/>
    <w:lvl w:ilvl="0">
      <w:lvlJc w:val="left"/>
      <w:lvlText w:val="%1."/>
      <w:numFmt w:val="decimal"/>
      <w:start w:val="6"/>
    </w:lvl>
    <w:lvl w:ilvl="1">
      <w:lvlJc w:val="left"/>
      <w:lvlText w:val="(%2)"/>
      <w:numFmt w:val="lowerLetter"/>
      <w:start w:val="1"/>
    </w:lvl>
  </w:abstractNum>
  <w:abstractNum w:abstractNumId="123">
    <w:nsid w:val="E0BB885"/>
    <w:multiLevelType w:val="hybridMultilevel"/>
    <w:lvl w:ilvl="0">
      <w:lvlJc w:val="left"/>
      <w:lvlText w:val="%1."/>
      <w:numFmt w:val="decimal"/>
      <w:start w:val="7"/>
    </w:lvl>
    <w:lvl w:ilvl="1">
      <w:lvlJc w:val="left"/>
      <w:lvlText w:val="(%2)"/>
      <w:numFmt w:val="lowerLetter"/>
      <w:start w:val="1"/>
    </w:lvl>
  </w:abstractNum>
  <w:abstractNum w:abstractNumId="124">
    <w:nsid w:val="565976F1"/>
    <w:multiLevelType w:val="hybridMultilevel"/>
    <w:lvl w:ilvl="0">
      <w:lvlJc w:val="left"/>
      <w:lvlText w:val="(%1)"/>
      <w:numFmt w:val="lowerLetter"/>
      <w:start w:val="6"/>
    </w:lvl>
  </w:abstractNum>
  <w:abstractNum w:abstractNumId="125">
    <w:nsid w:val="64212B8C"/>
    <w:multiLevelType w:val="hybridMultilevel"/>
    <w:lvl w:ilvl="0">
      <w:lvlJc w:val="left"/>
      <w:lvlText w:val="(%1)"/>
      <w:numFmt w:val="lowerRoman"/>
      <w:start w:val="1"/>
    </w:lvl>
  </w:abstractNum>
  <w:abstractNum w:abstractNumId="126">
    <w:nsid w:val="5C17530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127">
    <w:nsid w:val="19A52566"/>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128">
    <w:nsid w:val="335A1DF1"/>
    <w:multiLevelType w:val="hybridMultilevel"/>
    <w:lvl w:ilvl="0">
      <w:lvlJc w:val="left"/>
      <w:lvlText w:val="(%1)"/>
      <w:numFmt w:val="lowerLetter"/>
      <w:start w:val="35"/>
    </w:lvl>
    <w:lvl w:ilvl="1">
      <w:lvlJc w:val="left"/>
      <w:lvlText w:val="(%2)"/>
      <w:numFmt w:val="lowerLetter"/>
      <w:start w:val="11"/>
    </w:lvl>
    <w:lvl w:ilvl="2">
      <w:lvlJc w:val="left"/>
      <w:lvlText w:val="%3"/>
      <w:numFmt w:val="lowerRoman"/>
      <w:start w:val="1"/>
    </w:lvl>
  </w:abstractNum>
  <w:abstractNum w:abstractNumId="129">
    <w:nsid w:val="28677B7C"/>
    <w:multiLevelType w:val="hybridMultilevel"/>
    <w:lvl w:ilvl="0">
      <w:lvlJc w:val="left"/>
      <w:lvlText w:val="(%1)"/>
      <w:numFmt w:val="lowerRoman"/>
      <w:start w:val="1"/>
    </w:lvl>
  </w:abstractNum>
  <w:abstractNum w:abstractNumId="130">
    <w:nsid w:val="378D97C0"/>
    <w:multiLevelType w:val="hybridMultilevel"/>
    <w:lvl w:ilvl="0">
      <w:lvlJc w:val="left"/>
      <w:lvlText w:val="%1"/>
      <w:numFmt w:val="upperLetter"/>
      <w:start w:val="1"/>
    </w:lvl>
    <w:lvl w:ilvl="1">
      <w:lvlJc w:val="left"/>
      <w:lvlText w:val="(%2)"/>
      <w:numFmt w:val="lowerLetter"/>
      <w:start w:val="12"/>
    </w:lvl>
  </w:abstractNum>
  <w:abstractNum w:abstractNumId="131">
    <w:nsid w:val="1D91467C"/>
    <w:multiLevelType w:val="hybridMultilevel"/>
    <w:lvl w:ilvl="0">
      <w:lvlJc w:val="left"/>
      <w:lvlText w:val="%1."/>
      <w:numFmt w:val="upperLetter"/>
      <w:start w:val="2"/>
    </w:lvl>
    <w:lvl w:ilvl="1">
      <w:lvlJc w:val="left"/>
      <w:lvlText w:val="%2"/>
      <w:numFmt w:val="lowerLetter"/>
      <w:start w:val="1"/>
    </w:lvl>
  </w:abstractNum>
  <w:abstractNum w:abstractNumId="132">
    <w:nsid w:val="316032BB"/>
    <w:multiLevelType w:val="hybridMultilevel"/>
    <w:lvl w:ilvl="0">
      <w:lvlJc w:val="left"/>
      <w:lvlText w:val="%1."/>
      <w:numFmt w:val="decimal"/>
      <w:start w:val="1"/>
    </w:lvl>
  </w:abstractNum>
  <w:abstractNum w:abstractNumId="133">
    <w:nsid w:val="44344C22"/>
    <w:multiLevelType w:val="hybridMultilevel"/>
    <w:lvl w:ilvl="0">
      <w:lvlJc w:val="left"/>
      <w:lvlText w:val="(%1)"/>
      <w:numFmt w:val="lowerLetter"/>
      <w:start w:val="1"/>
    </w:lvl>
    <w:lvl w:ilvl="1">
      <w:lvlJc w:val="left"/>
      <w:lvlText w:val="(%2)"/>
      <w:numFmt w:val="lowerRoman"/>
      <w:start w:val="1"/>
    </w:lvl>
  </w:abstractNum>
  <w:abstractNum w:abstractNumId="134">
    <w:nsid w:val="13CDFCFC"/>
    <w:multiLevelType w:val="hybridMultilevel"/>
    <w:lvl w:ilvl="0">
      <w:lvlJc w:val="left"/>
      <w:lvlText w:val="(%1)"/>
      <w:numFmt w:val="lowerRoman"/>
      <w:start w:val="3"/>
    </w:lvl>
  </w:abstractNum>
  <w:abstractNum w:abstractNumId="135">
    <w:nsid w:val="471745E4"/>
    <w:multiLevelType w:val="hybridMultilevel"/>
    <w:lvl w:ilvl="0">
      <w:lvlJc w:val="left"/>
      <w:lvlText w:val="%1"/>
      <w:numFmt w:val="lowerLetter"/>
      <w:start w:val="1"/>
    </w:lvl>
    <w:lvl w:ilvl="1">
      <w:lvlJc w:val="left"/>
      <w:lvlText w:val="(%2)"/>
      <w:numFmt w:val="lowerLetter"/>
      <w:start w:val="1"/>
    </w:lvl>
  </w:abstractNum>
  <w:abstractNum w:abstractNumId="136">
    <w:nsid w:val="1DDBC66"/>
    <w:multiLevelType w:val="hybridMultilevel"/>
    <w:lvl w:ilvl="0">
      <w:lvlJc w:val="left"/>
      <w:lvlText w:val="(%1)"/>
      <w:numFmt w:val="lowerLetter"/>
      <w:start w:val="9"/>
    </w:lvl>
    <w:lvl w:ilvl="1">
      <w:lvlJc w:val="left"/>
      <w:lvlText w:val="(%2)"/>
      <w:numFmt w:val="lowerLetter"/>
      <w:start w:val="2"/>
    </w:lvl>
  </w:abstractNum>
  <w:abstractNum w:abstractNumId="137">
    <w:nsid w:val="30AADFDA"/>
    <w:multiLevelType w:val="hybridMultilevel"/>
    <w:lvl w:ilvl="0">
      <w:lvlJc w:val="left"/>
      <w:lvlText w:val="(%1)"/>
      <w:numFmt w:val="lowerLetter"/>
      <w:start w:val="1"/>
    </w:lvl>
    <w:lvl w:ilvl="1">
      <w:lvlJc w:val="left"/>
      <w:lvlText w:val="(%2)"/>
      <w:numFmt w:val="lowerRoman"/>
      <w:start w:val="1"/>
    </w:lvl>
  </w:abstractNum>
  <w:abstractNum w:abstractNumId="138">
    <w:nsid w:val="30EADA61"/>
    <w:multiLevelType w:val="hybridMultilevel"/>
    <w:lvl w:ilvl="0">
      <w:lvlJc w:val="left"/>
      <w:lvlText w:val="%1."/>
      <w:numFmt w:val="decimal"/>
      <w:start w:val="3"/>
    </w:lvl>
  </w:abstractNum>
  <w:abstractNum w:abstractNumId="139">
    <w:nsid w:val="27179C0B"/>
    <w:multiLevelType w:val="hybridMultilevel"/>
    <w:lvl w:ilvl="0">
      <w:lvlJc w:val="left"/>
      <w:lvlText w:val="(%1)"/>
      <w:numFmt w:val="lowerLetter"/>
      <w:start w:val="1"/>
    </w:lvl>
  </w:abstractNum>
  <w:abstractNum w:abstractNumId="140">
    <w:nsid w:val="5E636063"/>
    <w:multiLevelType w:val="hybridMultilevel"/>
    <w:lvl w:ilvl="0">
      <w:lvlJc w:val="left"/>
      <w:lvlText w:val="(%1)"/>
      <w:numFmt w:val="lowerLetter"/>
      <w:start w:val="2"/>
    </w:lvl>
  </w:abstractNum>
  <w:abstractNum w:abstractNumId="141">
    <w:nsid w:val="215641AF"/>
    <w:multiLevelType w:val="hybridMultilevel"/>
    <w:lvl w:ilvl="0">
      <w:lvlJc w:val="left"/>
      <w:lvlText w:val="(%1)"/>
      <w:numFmt w:val="lowerLetter"/>
      <w:start w:val="1"/>
    </w:lvl>
  </w:abstractNum>
  <w:abstractNum w:abstractNumId="142">
    <w:nsid w:val="53280662"/>
    <w:multiLevelType w:val="hybridMultilevel"/>
    <w:lvl w:ilvl="0">
      <w:lvlJc w:val="left"/>
      <w:lvlText w:val="(%1)"/>
      <w:numFmt w:val="lowerLetter"/>
      <w:start w:val="2"/>
    </w:lvl>
  </w:abstractNum>
  <w:abstractNum w:abstractNumId="143">
    <w:nsid w:val="46B24DBC"/>
    <w:multiLevelType w:val="hybridMultilevel"/>
    <w:lvl w:ilvl="0">
      <w:lvlJc w:val="left"/>
      <w:lvlText w:val="%1"/>
      <w:numFmt w:val="lowerLetter"/>
      <w:start w:val="1"/>
    </w:lvl>
    <w:lvl w:ilvl="1">
      <w:lvlJc w:val="left"/>
      <w:lvlText w:val="(%2)"/>
      <w:numFmt w:val="lowerLetter"/>
      <w:start w:val="6"/>
    </w:lvl>
  </w:abstractNum>
  <w:abstractNum w:abstractNumId="144">
    <w:nsid w:val="75B52783"/>
    <w:multiLevelType w:val="hybridMultilevel"/>
    <w:lvl w:ilvl="0">
      <w:lvlJc w:val="left"/>
      <w:lvlText w:val="(%1)"/>
      <w:numFmt w:val="lowerLetter"/>
      <w:start w:val="61"/>
    </w:lvl>
    <w:lvl w:ilvl="1">
      <w:lvlJc w:val="left"/>
      <w:lvlText w:val="(%2)"/>
      <w:numFmt w:val="lowerLetter"/>
      <w:start w:val="7"/>
    </w:lvl>
  </w:abstractNum>
  <w:abstractNum w:abstractNumId="145">
    <w:nsid w:val="57CE66B4"/>
    <w:multiLevelType w:val="hybridMultilevel"/>
    <w:lvl w:ilvl="0">
      <w:lvlJc w:val="left"/>
      <w:lvlText w:val="%1."/>
      <w:numFmt w:val="decimal"/>
      <w:start w:val="4"/>
    </w:lvl>
  </w:abstractNum>
  <w:abstractNum w:abstractNumId="146">
    <w:nsid w:val="67A70B69"/>
    <w:multiLevelType w:val="hybridMultilevel"/>
    <w:lvl w:ilvl="0">
      <w:lvlJc w:val="left"/>
      <w:lvlText w:val="(%1)"/>
      <w:numFmt w:val="lowerLetter"/>
      <w:start w:val="1"/>
    </w:lvl>
  </w:abstractNum>
  <w:abstractNum w:abstractNumId="147">
    <w:nsid w:val="5953172F"/>
    <w:multiLevelType w:val="hybridMultilevel"/>
    <w:lvl w:ilvl="0">
      <w:lvlJc w:val="left"/>
      <w:lvlText w:val="(%1)"/>
      <w:numFmt w:val="lowerLetter"/>
      <w:start w:val="2"/>
    </w:lvl>
  </w:abstractNum>
  <w:abstractNum w:abstractNumId="148">
    <w:nsid w:val="27EDFE3A"/>
    <w:multiLevelType w:val="hybridMultilevel"/>
    <w:lvl w:ilvl="0">
      <w:lvlJc w:val="left"/>
      <w:lvlText w:val="(%1)"/>
      <w:numFmt w:val="lowerLetter"/>
      <w:start w:val="3"/>
    </w:lvl>
    <w:lvl w:ilvl="1">
      <w:lvlJc w:val="left"/>
      <w:lvlText w:val="(%2)"/>
      <w:numFmt w:val="lowerRoman"/>
      <w:start w:val="1"/>
    </w:lvl>
  </w:abstractNum>
  <w:abstractNum w:abstractNumId="149">
    <w:nsid w:val="52AC7DFF"/>
    <w:multiLevelType w:val="hybridMultilevel"/>
    <w:lvl w:ilvl="0">
      <w:lvlJc w:val="left"/>
      <w:lvlText w:val="(%1)"/>
      <w:numFmt w:val="lowerLetter"/>
      <w:start w:val="1"/>
    </w:lvl>
  </w:abstractNum>
  <w:abstractNum w:abstractNumId="150">
    <w:nsid w:val="C4C3AF"/>
    <w:multiLevelType w:val="hybridMultilevel"/>
    <w:lvl w:ilvl="0">
      <w:lvlJc w:val="left"/>
      <w:lvlText w:val="%1"/>
      <w:numFmt w:val="lowerLetter"/>
      <w:start w:val="1"/>
    </w:lvl>
    <w:lvl w:ilvl="1">
      <w:lvlJc w:val="left"/>
      <w:lvlText w:val="(%2)"/>
      <w:numFmt w:val="lowerLetter"/>
      <w:start w:val="4"/>
    </w:lvl>
  </w:abstractNum>
  <w:abstractNum w:abstractNumId="151">
    <w:nsid w:val="44380727"/>
    <w:multiLevelType w:val="hybridMultilevel"/>
    <w:lvl w:ilvl="0">
      <w:lvlJc w:val="left"/>
      <w:lvlText w:val="(%1)"/>
      <w:numFmt w:val="lowerLetter"/>
      <w:start w:val="3"/>
    </w:lvl>
    <w:lvl w:ilvl="1">
      <w:lvlJc w:val="left"/>
      <w:lvlText w:val="%2"/>
      <w:numFmt w:val="lowerLetter"/>
      <w:start w:val="1"/>
    </w:lvl>
  </w:abstractNum>
  <w:abstractNum w:abstractNumId="152">
    <w:nsid w:val="6C053B16"/>
    <w:multiLevelType w:val="hybridMultilevel"/>
    <w:lvl w:ilvl="0">
      <w:lvlJc w:val="left"/>
      <w:lvlText w:val="(%1)"/>
      <w:numFmt w:val="lowerLetter"/>
      <w:start w:val="1"/>
    </w:lvl>
  </w:abstractNum>
  <w:abstractNum w:abstractNumId="153">
    <w:nsid w:val="4F294393"/>
    <w:multiLevelType w:val="hybridMultilevel"/>
    <w:lvl w:ilvl="0">
      <w:lvlJc w:val="left"/>
      <w:lvlText w:val="(%1)"/>
      <w:numFmt w:val="lowerLetter"/>
      <w:start w:val="2"/>
    </w:lvl>
  </w:abstractNum>
  <w:abstractNum w:abstractNumId="154">
    <w:nsid w:val="5243BFAC"/>
    <w:multiLevelType w:val="hybridMultilevel"/>
    <w:lvl w:ilvl="0">
      <w:lvlJc w:val="left"/>
      <w:lvlText w:val="(%1)"/>
      <w:numFmt w:val="lowerLetter"/>
      <w:start w:val="3"/>
    </w:lvl>
  </w:abstractNum>
  <w:abstractNum w:abstractNumId="155">
    <w:nsid w:val="425EB207"/>
    <w:multiLevelType w:val="hybridMultilevel"/>
    <w:lvl w:ilvl="0">
      <w:lvlJc w:val="left"/>
      <w:lvlText w:val="(%1)"/>
      <w:numFmt w:val="lowerLetter"/>
      <w:start w:val="5"/>
    </w:lvl>
  </w:abstractNum>
  <w:abstractNum w:abstractNumId="156">
    <w:nsid w:val="334A6F1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57">
    <w:nsid w:val="2E5B12B8"/>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58">
    <w:nsid w:val="5C03D76D"/>
    <w:multiLevelType w:val="hybridMultilevel"/>
    <w:lvl w:ilvl="0">
      <w:lvlJc w:val="left"/>
      <w:lvlText w:val="(%1)"/>
      <w:numFmt w:val="lowerRoman"/>
      <w:start w:val="2"/>
    </w:lvl>
  </w:abstractNum>
  <w:abstractNum w:abstractNumId="159">
    <w:nsid w:val="66A48D11"/>
    <w:multiLevelType w:val="hybridMultilevel"/>
    <w:lvl w:ilvl="0">
      <w:lvlJc w:val="left"/>
      <w:lvlText w:val="(%1)"/>
      <w:numFmt w:val="decimal"/>
      <w:start w:val="1"/>
    </w:lvl>
  </w:abstractNum>
  <w:abstractNum w:abstractNumId="160">
    <w:nsid w:val="56C28E34"/>
    <w:multiLevelType w:val="hybridMultilevel"/>
    <w:lvl w:ilvl="0">
      <w:lvlJc w:val="left"/>
      <w:lvlText w:val="(%1)"/>
      <w:numFmt w:val="lowerLetter"/>
      <w:start w:val="2"/>
    </w:lvl>
  </w:abstractNum>
  <w:abstractNum w:abstractNumId="161">
    <w:nsid w:val="13916F2D"/>
    <w:multiLevelType w:val="hybridMultilevel"/>
    <w:lvl w:ilvl="0">
      <w:lvlJc w:val="left"/>
      <w:lvlText w:val="(%1)"/>
      <w:numFmt w:val="lowerRoman"/>
      <w:start w:val="1"/>
    </w:lvl>
  </w:abstractNum>
  <w:abstractNum w:abstractNumId="162">
    <w:nsid w:val="435D38D"/>
    <w:multiLevelType w:val="hybridMultilevel"/>
    <w:lvl w:ilvl="0">
      <w:lvlJc w:val="left"/>
      <w:lvlText w:val="(%1)"/>
      <w:numFmt w:val="lowerLetter"/>
      <w:start w:val="1"/>
    </w:lvl>
  </w:abstractNum>
  <w:abstractNum w:abstractNumId="163">
    <w:nsid w:val="822C0EF"/>
    <w:multiLevelType w:val="hybridMultilevel"/>
    <w:lvl w:ilvl="0">
      <w:lvlJc w:val="left"/>
      <w:lvlText w:val="%1."/>
      <w:numFmt w:val="decimal"/>
      <w:start w:val="5"/>
    </w:lvl>
  </w:abstractNum>
  <w:abstractNum w:abstractNumId="164">
    <w:nsid w:val="57C5BB4F"/>
    <w:multiLevelType w:val="hybridMultilevel"/>
    <w:lvl w:ilvl="0">
      <w:lvlJc w:val="left"/>
      <w:lvlText w:val="(%1)"/>
      <w:numFmt w:val="lowerRoman"/>
      <w:start w:val="1"/>
    </w:lvl>
  </w:abstractNum>
  <w:abstractNum w:abstractNumId="165">
    <w:nsid w:val="1803D089"/>
    <w:multiLevelType w:val="hybridMultilevel"/>
    <w:lvl w:ilvl="0">
      <w:lvlJc w:val="left"/>
      <w:lvlText w:val="%1."/>
      <w:numFmt w:val="decimal"/>
      <w:start w:val="6"/>
    </w:lvl>
  </w:abstractNum>
  <w:abstractNum w:abstractNumId="166">
    <w:nsid w:val="4F3A06D4"/>
    <w:multiLevelType w:val="hybridMultilevel"/>
    <w:lvl w:ilvl="0">
      <w:lvlJc w:val="left"/>
      <w:lvlText w:val="(%1)"/>
      <w:numFmt w:val="lowerLetter"/>
      <w:start w:val="1"/>
    </w:lvl>
  </w:abstractNum>
  <w:abstractNum w:abstractNumId="167">
    <w:nsid w:val="59A377B6"/>
    <w:multiLevelType w:val="hybridMultilevel"/>
    <w:lvl w:ilvl="0">
      <w:lvlJc w:val="left"/>
      <w:lvlText w:val="(%1)"/>
      <w:numFmt w:val="lowerRoman"/>
      <w:start w:val="1"/>
    </w:lvl>
  </w:abstractNum>
  <w:abstractNum w:abstractNumId="168">
    <w:nsid w:val="48AEB063"/>
    <w:multiLevelType w:val="hybridMultilevel"/>
    <w:lvl w:ilvl="0">
      <w:lvlJc w:val="left"/>
      <w:lvlText w:val="%1."/>
      <w:numFmt w:val="decimal"/>
      <w:start w:val="7"/>
    </w:lvl>
  </w:abstractNum>
  <w:abstractNum w:abstractNumId="169">
    <w:nsid w:val="24E135"/>
    <w:multiLevelType w:val="hybridMultilevel"/>
    <w:lvl w:ilvl="0">
      <w:lvlJc w:val="left"/>
      <w:lvlText w:val="%1."/>
      <w:numFmt w:val="decimal"/>
      <w:start w:val="3"/>
    </w:lvl>
  </w:abstractNum>
  <w:abstractNum w:abstractNumId="170">
    <w:nsid w:val="BB13C1"/>
    <w:multiLevelType w:val="hybridMultilevel"/>
    <w:lvl w:ilvl="0">
      <w:lvlJc w:val="left"/>
      <w:lvlText w:val="%1."/>
      <w:numFmt w:val="decimal"/>
      <w:start w:val="4"/>
    </w:lvl>
  </w:abstractNum>
  <w:abstractNum w:abstractNumId="171">
    <w:nsid w:val="271210C7"/>
    <w:multiLevelType w:val="hybridMultilevel"/>
    <w:lvl w:ilvl="0">
      <w:lvlJc w:val="left"/>
      <w:lvlText w:val="(%1)"/>
      <w:numFmt w:val="lowerRoman"/>
      <w:start w:val="1"/>
    </w:lvl>
  </w:abstractNum>
  <w:abstractNum w:abstractNumId="172">
    <w:nsid w:val="217B22E4"/>
    <w:multiLevelType w:val="hybridMultilevel"/>
    <w:lvl w:ilvl="0">
      <w:lvlJc w:val="left"/>
      <w:lvlText w:val="(%1)"/>
      <w:numFmt w:val="lowerRoman"/>
      <w:start w:val="1"/>
    </w:lvl>
  </w:abstractNum>
  <w:abstractNum w:abstractNumId="173">
    <w:nsid w:val="53E31A24"/>
    <w:multiLevelType w:val="hybridMultilevel"/>
    <w:lvl w:ilvl="0">
      <w:lvlJc w:val="left"/>
      <w:lvlText w:val="(%1)"/>
      <w:numFmt w:val="lowerRoman"/>
      <w:start w:val="1"/>
    </w:lvl>
  </w:abstractNum>
  <w:abstractNum w:abstractNumId="174">
    <w:nsid w:val="6DC45E83"/>
    <w:multiLevelType w:val="hybridMultilevel"/>
    <w:lvl w:ilvl="0">
      <w:lvlJc w:val="left"/>
      <w:lvlText w:val="(%1)"/>
      <w:numFmt w:val="decimal"/>
      <w:start w:val="10"/>
    </w:lvl>
  </w:abstractNum>
  <w:abstractNum w:abstractNumId="175">
    <w:nsid w:val="17304A67"/>
    <w:multiLevelType w:val="hybridMultilevel"/>
    <w:lvl w:ilvl="0">
      <w:lvlJc w:val="left"/>
      <w:lvlText w:val="(%1)"/>
      <w:numFmt w:val="lowerRoman"/>
      <w:start w:val="1"/>
    </w:lvl>
  </w:abstractNum>
  <w:abstractNum w:abstractNumId="176">
    <w:nsid w:val="2BB180D8"/>
    <w:multiLevelType w:val="hybridMultilevel"/>
    <w:lvl w:ilvl="0">
      <w:lvlJc w:val="left"/>
      <w:lvlText w:val="(%1)"/>
      <w:numFmt w:val="lowerRoman"/>
      <w:start w:val="2"/>
    </w:lvl>
  </w:abstractNum>
  <w:abstractNum w:abstractNumId="177">
    <w:nsid w:val="556B69ED"/>
    <w:multiLevelType w:val="hybridMultilevel"/>
    <w:lvl w:ilvl="0">
      <w:lvlJc w:val="left"/>
      <w:lvlText w:val="(%1)"/>
      <w:numFmt w:val="lowerRoman"/>
      <w:start w:val="1"/>
    </w:lvl>
  </w:abstractNum>
  <w:abstractNum w:abstractNumId="178">
    <w:nsid w:val="70836196"/>
    <w:multiLevelType w:val="hybridMultilevel"/>
    <w:lvl w:ilvl="0">
      <w:lvlJc w:val="left"/>
      <w:lvlText w:val="(%1)"/>
      <w:numFmt w:val="lowerRoman"/>
      <w:start w:val="4"/>
    </w:lvl>
  </w:abstractNum>
  <w:abstractNum w:abstractNumId="179">
    <w:nsid w:val="539F7F12"/>
    <w:multiLevelType w:val="hybridMultilevel"/>
    <w:lvl w:ilvl="0">
      <w:lvlJc w:val="left"/>
      <w:lvlText w:val="(%1)"/>
      <w:numFmt w:val="lowerRoman"/>
      <w:start w:val="1"/>
    </w:lvl>
  </w:abstractNum>
  <w:abstractNum w:abstractNumId="180">
    <w:nsid w:val="2817E7EC"/>
    <w:multiLevelType w:val="hybridMultilevel"/>
    <w:lvl w:ilvl="0">
      <w:lvlJc w:val="left"/>
      <w:lvlText w:val="(%1)"/>
      <w:numFmt w:val="lowerRoman"/>
      <w:start w:val="5"/>
    </w:lvl>
  </w:abstractNum>
  <w:abstractNum w:abstractNumId="181">
    <w:nsid w:val="71482545"/>
    <w:multiLevelType w:val="hybridMultilevel"/>
    <w:lvl w:ilvl="0">
      <w:lvlJc w:val="left"/>
      <w:lvlText w:val="(%1)"/>
      <w:numFmt w:val="lowerRoman"/>
      <w:start w:val="7"/>
    </w:lvl>
  </w:abstractNum>
  <w:abstractNum w:abstractNumId="182">
    <w:nsid w:val="17D78639"/>
    <w:multiLevelType w:val="hybridMultilevel"/>
    <w:lvl w:ilvl="0">
      <w:lvlJc w:val="left"/>
      <w:lvlText w:val="(%1)"/>
      <w:numFmt w:val="lowerRoman"/>
      <w:start w:val="1"/>
    </w:lvl>
  </w:abstractNum>
  <w:abstractNum w:abstractNumId="183">
    <w:nsid w:val="141D2302"/>
    <w:multiLevelType w:val="hybridMultilevel"/>
    <w:lvl w:ilvl="0">
      <w:lvlJc w:val="left"/>
      <w:lvlText w:val="(%1)"/>
      <w:numFmt w:val="lowerRoman"/>
      <w:start w:val="1"/>
    </w:lvl>
  </w:abstractNum>
  <w:abstractNum w:abstractNumId="184">
    <w:nsid w:val="407168D8"/>
    <w:multiLevelType w:val="hybridMultilevel"/>
    <w:lvl w:ilvl="0">
      <w:lvlJc w:val="left"/>
      <w:lvlText w:val="(%1)"/>
      <w:numFmt w:val="lowerRoman"/>
      <w:start w:val="1"/>
    </w:lvl>
  </w:abstractNum>
  <w:abstractNum w:abstractNumId="185">
    <w:nsid w:val="6A1B45E5"/>
    <w:multiLevelType w:val="hybridMultilevel"/>
    <w:lvl w:ilvl="0">
      <w:lvlJc w:val="left"/>
      <w:lvlText w:val="(%1)"/>
      <w:numFmt w:val="lowerRoman"/>
      <w:start w:val="3"/>
    </w:lvl>
  </w:abstractNum>
  <w:abstractNum w:abstractNumId="186">
    <w:nsid w:val="567BD50A"/>
    <w:multiLevelType w:val="hybridMultilevel"/>
    <w:lvl w:ilvl="0">
      <w:lvlJc w:val="left"/>
      <w:lvlText w:val="(%1)"/>
      <w:numFmt w:val="lowerRoman"/>
      <w:start w:val="1"/>
    </w:lvl>
  </w:abstractNum>
  <w:abstractNum w:abstractNumId="187">
    <w:nsid w:val="73BBD7F8"/>
    <w:multiLevelType w:val="hybridMultilevel"/>
    <w:lvl w:ilvl="0">
      <w:lvlJc w:val="left"/>
      <w:lvlText w:val="%1"/>
      <w:numFmt w:val="upperLetter"/>
      <w:start w:val="1"/>
    </w:lvl>
    <w:lvl w:ilvl="1">
      <w:lvlJc w:val="left"/>
      <w:lvlText w:val="(%2)"/>
      <w:numFmt w:val="lowerRoman"/>
      <w:start w:val="1"/>
    </w:lvl>
  </w:abstractNum>
  <w:abstractNum w:abstractNumId="188">
    <w:nsid w:val="1876589D"/>
    <w:multiLevelType w:val="hybridMultilevel"/>
    <w:lvl w:ilvl="0">
      <w:lvlJc w:val="left"/>
      <w:lvlText w:val="(%1)"/>
      <w:numFmt w:val="upperLetter"/>
      <w:start w:val="1"/>
    </w:lvl>
    <w:lvl w:ilvl="1">
      <w:lvlJc w:val="left"/>
      <w:lvlText w:val="%2"/>
      <w:numFmt w:val="lowerRoman"/>
      <w:start w:val="1"/>
    </w:lvl>
  </w:abstractNum>
  <w:abstractNum w:abstractNumId="189">
    <w:nsid w:val="327FAC77"/>
    <w:multiLevelType w:val="hybridMultilevel"/>
    <w:lvl w:ilvl="0">
      <w:lvlJc w:val="left"/>
      <w:lvlText w:val="(%1)"/>
      <w:numFmt w:val="lowerRoman"/>
      <w:start w:val="4"/>
    </w:lvl>
  </w:abstractNum>
  <w:abstractNum w:abstractNumId="190">
    <w:nsid w:val="5A606509"/>
    <w:multiLevelType w:val="hybridMultilevel"/>
    <w:lvl w:ilvl="0">
      <w:lvlJc w:val="left"/>
      <w:lvlText w:val="%1."/>
      <w:numFmt w:val="decimal"/>
      <w:start w:val="1"/>
    </w:lvl>
  </w:abstractNum>
  <w:abstractNum w:abstractNumId="191">
    <w:nsid w:val="6F38E6D1"/>
    <w:multiLevelType w:val="hybridMultilevel"/>
    <w:lvl w:ilvl="0">
      <w:lvlJc w:val="left"/>
      <w:lvlText w:val="(%1)"/>
      <w:numFmt w:val="lowerRoman"/>
      <w:start w:val="1"/>
    </w:lvl>
  </w:abstractNum>
  <w:abstractNum w:abstractNumId="192">
    <w:nsid w:val="46111BA5"/>
    <w:multiLevelType w:val="hybridMultilevel"/>
    <w:lvl w:ilvl="0">
      <w:lvlJc w:val="left"/>
      <w:lvlText w:val="%1."/>
      <w:numFmt w:val="decimal"/>
      <w:start w:val="2"/>
    </w:lvl>
    <w:lvl w:ilvl="1">
      <w:lvlJc w:val="left"/>
      <w:lvlText w:val="(%2)"/>
      <w:numFmt w:val="lowerLetter"/>
      <w:start w:val="1"/>
    </w:lvl>
  </w:abstractNum>
  <w:abstractNum w:abstractNumId="193">
    <w:nsid w:val="5E963896"/>
    <w:multiLevelType w:val="hybridMultilevel"/>
    <w:lvl w:ilvl="0">
      <w:lvlJc w:val="left"/>
      <w:lvlText w:val="(%1)"/>
      <w:numFmt w:val="lowerLetter"/>
      <w:start w:val="3"/>
    </w:lvl>
  </w:abstractNum>
  <w:abstractNum w:abstractNumId="194">
    <w:nsid w:val="775BA7C1"/>
    <w:multiLevelType w:val="hybridMultilevel"/>
    <w:lvl w:ilvl="0">
      <w:lvlJc w:val="left"/>
      <w:lvlText w:val="(%1)"/>
      <w:numFmt w:val="decimal"/>
      <w:start w:val="120"/>
    </w:lvl>
  </w:abstractNum>
  <w:abstractNum w:abstractNumId="195">
    <w:nsid w:val="1DD6D6F4"/>
    <w:multiLevelType w:val="hybridMultilevel"/>
    <w:lvl w:ilvl="0">
      <w:lvlJc w:val="left"/>
      <w:lvlText w:val="(%1)"/>
      <w:numFmt w:val="lowerLetter"/>
      <w:start w:val="4"/>
    </w:lvl>
  </w:abstractNum>
  <w:abstractNum w:abstractNumId="196">
    <w:nsid w:val="769A091F"/>
    <w:multiLevelType w:val="hybridMultilevel"/>
    <w:lvl w:ilvl="0">
      <w:lvlJc w:val="left"/>
      <w:lvlText w:val="(%1)"/>
      <w:numFmt w:val="lowerLetter"/>
      <w:start w:val="1"/>
    </w:lvl>
  </w:abstractNum>
  <w:abstractNum w:abstractNumId="197">
    <w:nsid w:val="4695AE95"/>
    <w:multiLevelType w:val="hybridMultilevel"/>
    <w:lvl w:ilvl="0">
      <w:lvlJc w:val="left"/>
      <w:lvlText w:val="%1"/>
      <w:numFmt w:val="lowerLetter"/>
      <w:start w:val="1"/>
    </w:lvl>
    <w:lvl w:ilvl="1">
      <w:lvlJc w:val="left"/>
      <w:lvlText w:val="(%2)"/>
      <w:numFmt w:val="lowerLetter"/>
      <w:start w:val="2"/>
    </w:lvl>
  </w:abstractNum>
  <w:abstractNum w:abstractNumId="198">
    <w:nsid w:val="777A4EAA"/>
    <w:multiLevelType w:val="hybridMultilevel"/>
    <w:lvl w:ilvl="0">
      <w:lvlJc w:val="left"/>
      <w:lvlText w:val="(%1)"/>
      <w:numFmt w:val="lowerLetter"/>
      <w:start w:val="61"/>
    </w:lvl>
    <w:lvl w:ilvl="1">
      <w:lvlJc w:val="left"/>
      <w:lvlText w:val="%2"/>
      <w:numFmt w:val="lowerLetter"/>
      <w:start w:val="1"/>
    </w:lvl>
  </w:abstractNum>
  <w:abstractNum w:abstractNumId="199">
    <w:nsid w:val="3F48B982"/>
    <w:multiLevelType w:val="hybridMultilevel"/>
    <w:lvl w:ilvl="0">
      <w:lvlJc w:val="left"/>
      <w:lvlText w:val="(%1)"/>
      <w:numFmt w:val="lowerLetter"/>
      <w:start w:val="3"/>
    </w:lvl>
  </w:abstractNum>
  <w:abstractNum w:abstractNumId="200">
    <w:nsid w:val="46BA8FCA"/>
    <w:multiLevelType w:val="hybridMultilevel"/>
    <w:lvl w:ilvl="0">
      <w:lvlJc w:val="left"/>
      <w:lvlText w:val="%1"/>
      <w:numFmt w:val="decimal"/>
      <w:start w:val="1"/>
    </w:lvl>
    <w:lvl w:ilvl="1">
      <w:lvlJc w:val="left"/>
      <w:lvlText w:val="(%2)"/>
      <w:numFmt w:val="lowerLetter"/>
      <w:start w:val="1"/>
    </w:lvl>
  </w:abstractNum>
  <w:abstractNum w:abstractNumId="201">
    <w:nsid w:val="7835626C"/>
    <w:multiLevelType w:val="hybridMultilevel"/>
    <w:lvl w:ilvl="0">
      <w:lvlJc w:val="left"/>
      <w:lvlText w:val="(%1)"/>
      <w:numFmt w:val="decimal"/>
      <w:start w:val="120"/>
    </w:lvl>
    <w:lvl w:ilvl="1">
      <w:lvlJc w:val="left"/>
      <w:lvlText w:val="(%2)"/>
      <w:numFmt w:val="lowerLetter"/>
      <w:start w:val="2"/>
    </w:lvl>
  </w:abstractNum>
  <w:abstractNum w:abstractNumId="202">
    <w:nsid w:val="665ACA49"/>
    <w:multiLevelType w:val="hybridMultilevel"/>
    <w:lvl w:ilvl="0">
      <w:lvlJc w:val="left"/>
      <w:lvlText w:val="(%1)"/>
      <w:numFmt w:val="lowerLetter"/>
      <w:start w:val="9"/>
    </w:lvl>
  </w:abstractNum>
  <w:abstractNum w:abstractNumId="203">
    <w:nsid w:val="6835B2AE"/>
    <w:multiLevelType w:val="hybridMultilevel"/>
    <w:lvl w:ilvl="0">
      <w:lvlJc w:val="left"/>
      <w:lvlText w:val="(%1)"/>
      <w:numFmt w:val="lowerLetter"/>
      <w:start w:val="1"/>
    </w:lvl>
  </w:abstractNum>
  <w:abstractNum w:abstractNumId="204">
    <w:nsid w:val="4C187C90"/>
    <w:multiLevelType w:val="hybridMultilevel"/>
    <w:lvl w:ilvl="0">
      <w:lvlJc w:val="left"/>
      <w:lvlText w:val="(%1)"/>
      <w:numFmt w:val="lowerLetter"/>
      <w:start w:val="3"/>
    </w:lvl>
  </w:abstractNum>
  <w:abstractNum w:abstractNumId="205">
    <w:nsid w:val="541F28CD"/>
    <w:multiLevelType w:val="hybridMultilevel"/>
    <w:lvl w:ilvl="0">
      <w:lvlJc w:val="left"/>
      <w:lvlText w:val="(%1)"/>
      <w:numFmt w:val="lowerLetter"/>
      <w:start w:val="5"/>
    </w:lvl>
  </w:abstractNum>
  <w:abstractNum w:abstractNumId="206">
    <w:nsid w:val="7F65FD16"/>
    <w:multiLevelType w:val="hybridMultilevel"/>
    <w:lvl w:ilvl="0">
      <w:lvlJc w:val="left"/>
      <w:lvlText w:val="(%1)"/>
      <w:numFmt w:val="lowerLetter"/>
      <w:start w:val="1"/>
    </w:lvl>
  </w:abstractNum>
  <w:abstractNum w:abstractNumId="207">
    <w:nsid w:val="77C9FD68"/>
    <w:multiLevelType w:val="hybridMultilevel"/>
    <w:lvl w:ilvl="0">
      <w:lvlJc w:val="left"/>
      <w:lvlText w:val="(%1)"/>
      <w:numFmt w:val="lowerLetter"/>
      <w:start w:val="1"/>
    </w:lvl>
  </w:abstractNum>
  <w:abstractNum w:abstractNumId="208">
    <w:nsid w:val="298A92BA"/>
    <w:multiLevelType w:val="hybridMultilevel"/>
    <w:lvl w:ilvl="0">
      <w:lvlJc w:val="left"/>
      <w:lvlText w:val="(%1)"/>
      <w:numFmt w:val="lowerLetter"/>
      <w:start w:val="2"/>
    </w:lvl>
  </w:abstractNum>
  <w:abstractNum w:abstractNumId="209">
    <w:nsid w:val="6FE95EAC"/>
    <w:multiLevelType w:val="hybridMultilevel"/>
    <w:lvl w:ilvl="0">
      <w:lvlJc w:val="left"/>
      <w:lvlText w:val="(%1)"/>
      <w:numFmt w:val="lowerLetter"/>
      <w:start w:val="3"/>
    </w:lvl>
  </w:abstractNum>
  <w:abstractNum w:abstractNumId="210">
    <w:nsid w:val="4B697C7A"/>
    <w:multiLevelType w:val="hybridMultilevel"/>
    <w:lvl w:ilvl="0">
      <w:lvlJc w:val="left"/>
      <w:lvlText w:val="%1"/>
      <w:numFmt w:val="decimal"/>
      <w:start w:val="1"/>
    </w:lvl>
    <w:lvl w:ilvl="1">
      <w:lvlJc w:val="left"/>
      <w:lvlText w:val="(%2)"/>
      <w:numFmt w:val="lowerLetter"/>
      <w:start w:val="1"/>
    </w:lvl>
  </w:abstractNum>
  <w:abstractNum w:abstractNumId="211">
    <w:nsid w:val="51A27AA6"/>
    <w:multiLevelType w:val="hybridMultilevel"/>
    <w:lvl w:ilvl="0">
      <w:lvlJc w:val="left"/>
      <w:lvlText w:val="%1."/>
      <w:numFmt w:val="decimal"/>
      <w:start w:val="3"/>
    </w:lvl>
    <w:lvl w:ilvl="1">
      <w:lvlJc w:val="left"/>
      <w:lvlText w:val="(%2)"/>
      <w:numFmt w:val="lowerLetter"/>
      <w:start w:val="1"/>
    </w:lvl>
  </w:abstractNum>
  <w:abstractNum w:abstractNumId="212">
    <w:nsid w:val="613183F2"/>
    <w:multiLevelType w:val="hybridMultilevel"/>
    <w:lvl w:ilvl="0">
      <w:lvlJc w:val="left"/>
      <w:lvlText w:val="(%1)"/>
      <w:numFmt w:val="lowerLetter"/>
      <w:start w:val="3"/>
    </w:lvl>
  </w:abstractNum>
  <w:abstractNum w:abstractNumId="213">
    <w:nsid w:val="634102B4"/>
    <w:multiLevelType w:val="hybridMultilevel"/>
    <w:lvl w:ilvl="0">
      <w:lvlJc w:val="left"/>
      <w:lvlText w:val="%1."/>
      <w:numFmt w:val="decimal"/>
      <w:start w:val="4"/>
    </w:lvl>
  </w:abstractNum>
  <w:abstractNum w:abstractNumId="214">
    <w:nsid w:val="65BF9DA8"/>
    <w:multiLevelType w:val="hybridMultilevel"/>
    <w:lvl w:ilvl="0">
      <w:lvlJc w:val="left"/>
      <w:lvlText w:val="(%1)"/>
      <w:numFmt w:val="lowerLetter"/>
      <w:start w:val="1"/>
    </w:lvl>
  </w:abstractNum>
  <w:abstractNum w:abstractNumId="215">
    <w:nsid w:val="21A2ECCA"/>
    <w:multiLevelType w:val="hybridMultilevel"/>
    <w:lvl w:ilvl="0">
      <w:lvlJc w:val="left"/>
      <w:lvlText w:val="%1"/>
      <w:numFmt w:val="decimal"/>
      <w:start w:val="1"/>
    </w:lvl>
    <w:lvl w:ilvl="1">
      <w:lvlJc w:val="left"/>
      <w:lvlText w:val="(%2)"/>
      <w:numFmt w:val="lowerLetter"/>
      <w:start w:val="2"/>
    </w:lvl>
  </w:abstractNum>
  <w:abstractNum w:abstractNumId="216">
    <w:nsid w:val="4D5C4899"/>
    <w:multiLevelType w:val="hybridMultilevel"/>
    <w:lvl w:ilvl="0">
      <w:lvlJc w:val="left"/>
      <w:lvlText w:val="(%1)"/>
      <w:numFmt w:val="decimal"/>
      <w:start w:val="20"/>
    </w:lvl>
    <w:lvl w:ilvl="1">
      <w:lvlJc w:val="left"/>
      <w:lvlText w:val="(%2)"/>
      <w:numFmt w:val="lowerLetter"/>
      <w:start w:val="3"/>
    </w:lvl>
  </w:abstractNum>
  <w:abstractNum w:abstractNumId="217">
    <w:nsid w:val="3C3B72B2"/>
    <w:multiLevelType w:val="hybridMultilevel"/>
    <w:lvl w:ilvl="0">
      <w:lvlJc w:val="left"/>
      <w:lvlText w:val="(%1)"/>
      <w:numFmt w:val="lowerLetter"/>
      <w:start w:val="4"/>
    </w:lvl>
  </w:abstractNum>
  <w:abstractNum w:abstractNumId="218">
    <w:nsid w:val="155EC4C2"/>
    <w:multiLevelType w:val="hybridMultilevel"/>
    <w:lvl w:ilvl="0">
      <w:lvlJc w:val="left"/>
      <w:lvlText w:val="%1."/>
      <w:numFmt w:val="decimal"/>
      <w:start w:val="5"/>
    </w:lvl>
  </w:abstractNum>
  <w:abstractNum w:abstractNumId="219">
    <w:nsid w:val="65D2A137"/>
    <w:multiLevelType w:val="hybridMultilevel"/>
    <w:lvl w:ilvl="0">
      <w:lvlJc w:val="left"/>
      <w:lvlText w:val="(%1)"/>
      <w:numFmt w:val="lowerLetter"/>
      <w:start w:val="1"/>
    </w:lvl>
  </w:abstractNum>
  <w:abstractNum w:abstractNumId="220">
    <w:nsid w:val="6EBB1F2A"/>
    <w:multiLevelType w:val="hybridMultilevel"/>
    <w:lvl w:ilvl="0">
      <w:lvlJc w:val="left"/>
      <w:lvlText w:val="(%1)"/>
      <w:numFmt w:val="lowerLetter"/>
      <w:start w:val="4"/>
    </w:lvl>
  </w:abstractNum>
  <w:abstractNum w:abstractNumId="221">
    <w:nsid w:val="6FBF29CB"/>
    <w:multiLevelType w:val="hybridMultilevel"/>
    <w:lvl w:ilvl="0">
      <w:lvlJc w:val="left"/>
      <w:lvlText w:val="(%1)"/>
      <w:numFmt w:val="lowerLetter"/>
      <w:start w:val="3"/>
    </w:lvl>
  </w:abstractNum>
  <w:abstractNum w:abstractNumId="222">
    <w:nsid w:val="550B8808"/>
    <w:multiLevelType w:val="hybridMultilevel"/>
    <w:lvl w:ilvl="0">
      <w:lvlJc w:val="left"/>
      <w:lvlText w:val="%1."/>
      <w:numFmt w:val="decimal"/>
      <w:start w:val="6"/>
    </w:lvl>
  </w:abstractNum>
  <w:abstractNum w:abstractNumId="223">
    <w:nsid w:val="34CC3ACF"/>
    <w:multiLevelType w:val="hybridMultilevel"/>
    <w:lvl w:ilvl="0">
      <w:lvlJc w:val="left"/>
      <w:lvlText w:val="(%1)"/>
      <w:numFmt w:val="lowerLetter"/>
      <w:start w:val="1"/>
    </w:lvl>
  </w:abstractNum>
  <w:abstractNum w:abstractNumId="224">
    <w:nsid w:val="4E556261"/>
    <w:multiLevelType w:val="hybridMultilevel"/>
    <w:lvl w:ilvl="0">
      <w:lvlJc w:val="left"/>
      <w:lvlText w:val="(%1)"/>
      <w:numFmt w:val="lowerLetter"/>
      <w:start w:val="2"/>
    </w:lvl>
    <w:lvl w:ilvl="1">
      <w:lvlJc w:val="left"/>
      <w:lvlText w:val="(%2)"/>
      <w:numFmt w:val="lowerRoman"/>
      <w:start w:val="1"/>
    </w:lvl>
  </w:abstractNum>
  <w:abstractNum w:abstractNumId="225">
    <w:nsid w:val="4C672FC9"/>
    <w:multiLevelType w:val="hybridMultilevel"/>
    <w:lvl w:ilvl="0">
      <w:lvlJc w:val="left"/>
      <w:lvlText w:val=")"/>
      <w:numFmt w:val="bullet"/>
      <w:start w:val="1"/>
    </w:lvl>
  </w:abstractNum>
  <w:abstractNum w:abstractNumId="226">
    <w:nsid w:val="52A311C3"/>
    <w:multiLevelType w:val="hybridMultilevel"/>
    <w:lvl w:ilvl="0">
      <w:lvlJc w:val="left"/>
      <w:lvlText w:val="%1"/>
      <w:numFmt w:val="decimal"/>
      <w:start w:val="915"/>
    </w:lvl>
  </w:abstractNum>
  <w:abstractNum w:abstractNumId="227">
    <w:nsid w:val="44EF6B80"/>
    <w:multiLevelType w:val="hybridMultilevel"/>
    <w:lvl w:ilvl="0">
      <w:lvlJc w:val="left"/>
      <w:lvlText w:val="(%1)"/>
      <w:numFmt w:val="lowerLetter"/>
      <w:start w:val="1"/>
    </w:lvl>
  </w:abstractNum>
  <w:abstractNum w:abstractNumId="228">
    <w:nsid w:val="12FCDE5E"/>
    <w:multiLevelType w:val="hybridMultilevel"/>
    <w:lvl w:ilvl="0">
      <w:lvlJc w:val="left"/>
      <w:lvlText w:val="(%1)"/>
      <w:numFmt w:val="lowerLetter"/>
      <w:start w:val="1"/>
    </w:lvl>
  </w:abstractNum>
  <w:abstractNum w:abstractNumId="229">
    <w:nsid w:val="4A1D606E"/>
    <w:multiLevelType w:val="hybridMultilevel"/>
    <w:lvl w:ilvl="0">
      <w:lvlJc w:val="left"/>
      <w:lvlText w:val="(%1)"/>
      <w:numFmt w:val="lowerLetter"/>
      <w:start w:val="1"/>
    </w:lvl>
  </w:abstractNum>
  <w:abstractNum w:abstractNumId="230">
    <w:nsid w:val="4382503"/>
    <w:multiLevelType w:val="hybridMultilevel"/>
    <w:lvl w:ilvl="0">
      <w:lvlJc w:val="left"/>
      <w:lvlText w:val="(%1)"/>
      <w:numFmt w:val="lowerRoman"/>
      <w:start w:val="2"/>
    </w:lvl>
  </w:abstractNum>
  <w:abstractNum w:abstractNumId="231">
    <w:nsid w:val="59B76E28"/>
    <w:multiLevelType w:val="hybridMultilevel"/>
    <w:lvl w:ilvl="0">
      <w:lvlJc w:val="left"/>
      <w:lvlText w:val="(%1)"/>
      <w:numFmt w:val="lowerLetter"/>
      <w:start w:val="1"/>
    </w:lvl>
  </w:abstractNum>
  <w:abstractNum w:abstractNumId="232">
    <w:nsid w:val="4252C2DA"/>
    <w:multiLevelType w:val="hybridMultilevel"/>
    <w:lvl w:ilvl="0">
      <w:lvlJc w:val="left"/>
      <w:lvlText w:val="(%1)"/>
      <w:numFmt w:val="lowerLetter"/>
      <w:start w:val="1"/>
    </w:lvl>
  </w:abstractNum>
  <w:abstractNum w:abstractNumId="233">
    <w:nsid w:val="6A92EF4C"/>
    <w:multiLevelType w:val="hybridMultilevel"/>
    <w:lvl w:ilvl="0">
      <w:lvlJc w:val="left"/>
      <w:lvlText w:val="(%1)"/>
      <w:numFmt w:val="lowerLetter"/>
      <w:start w:val="2"/>
    </w:lvl>
  </w:abstractNum>
  <w:abstractNum w:abstractNumId="234">
    <w:nsid w:val="41ED20D7"/>
    <w:multiLevelType w:val="hybridMultilevel"/>
    <w:lvl w:ilvl="0">
      <w:lvlJc w:val="left"/>
      <w:lvlText w:val="(%1)"/>
      <w:numFmt w:val="lowerLetter"/>
      <w:start w:val="1"/>
    </w:lvl>
  </w:abstractNum>
  <w:abstractNum w:abstractNumId="235">
    <w:nsid w:val="E6B3F6A"/>
    <w:multiLevelType w:val="hybridMultilevel"/>
    <w:lvl w:ilvl="0">
      <w:lvlJc w:val="left"/>
      <w:lvlText w:val="(%1)"/>
      <w:numFmt w:val="lowerLetter"/>
      <w:start w:val="1"/>
    </w:lvl>
  </w:abstractNum>
  <w:abstractNum w:abstractNumId="236">
    <w:nsid w:val="3EB21819"/>
    <w:multiLevelType w:val="hybridMultilevel"/>
    <w:lvl w:ilvl="0">
      <w:lvlJc w:val="left"/>
      <w:lvlText w:val="(%1)"/>
      <w:numFmt w:val="lowerLetter"/>
      <w:start w:val="1"/>
    </w:lvl>
  </w:abstractNum>
  <w:abstractNum w:abstractNumId="237">
    <w:nsid w:val="41531DED"/>
    <w:multiLevelType w:val="hybridMultilevel"/>
    <w:lvl w:ilvl="0">
      <w:lvlJc w:val="left"/>
      <w:lvlText w:val="(%1)"/>
      <w:numFmt w:val="lowerLetter"/>
      <w:start w:val="2"/>
    </w:lvl>
  </w:abstractNum>
  <w:abstractNum w:abstractNumId="238">
    <w:nsid w:val="6353CD2"/>
    <w:multiLevelType w:val="hybridMultilevel"/>
    <w:lvl w:ilvl="0">
      <w:lvlJc w:val="left"/>
      <w:lvlText w:val="(%1)"/>
      <w:numFmt w:val="lowerLetter"/>
      <w:start w:val="1"/>
    </w:lvl>
  </w:abstractNum>
  <w:abstractNum w:abstractNumId="239">
    <w:nsid w:val="683CAAD3"/>
    <w:multiLevelType w:val="hybridMultilevel"/>
    <w:lvl w:ilvl="0">
      <w:lvlJc w:val="left"/>
      <w:lvlText w:val="(%1)"/>
      <w:numFmt w:val="lowerLetter"/>
      <w:start w:val="1"/>
    </w:lvl>
  </w:abstractNum>
  <w:abstractNum w:abstractNumId="240">
    <w:nsid w:val="313C7C99"/>
    <w:multiLevelType w:val="hybridMultilevel"/>
    <w:lvl w:ilvl="0">
      <w:lvlJc w:val="left"/>
      <w:lvlText w:val="(%1)"/>
      <w:numFmt w:val="lowerLetter"/>
      <w:start w:val="2"/>
    </w:lvl>
  </w:abstractNum>
  <w:abstractNum w:abstractNumId="241">
    <w:nsid w:val="519EB94C"/>
    <w:multiLevelType w:val="hybridMultilevel"/>
    <w:lvl w:ilvl="0">
      <w:lvlJc w:val="left"/>
      <w:lvlText w:val="(%1)"/>
      <w:numFmt w:val="lowerLetter"/>
      <w:start w:val="1"/>
    </w:lvl>
  </w:abstractNum>
  <w:abstractNum w:abstractNumId="242">
    <w:nsid w:val="39DF2579"/>
    <w:multiLevelType w:val="hybridMultilevel"/>
    <w:lvl w:ilvl="0">
      <w:lvlJc w:val="left"/>
      <w:lvlText w:val="(%1)"/>
      <w:numFmt w:val="lowerLetter"/>
      <w:start w:val="2"/>
    </w:lvl>
  </w:abstractNum>
  <w:abstractNum w:abstractNumId="243">
    <w:nsid w:val="126E008B"/>
    <w:multiLevelType w:val="hybridMultilevel"/>
    <w:lvl w:ilvl="0">
      <w:lvlJc w:val="left"/>
      <w:lvlText w:val="(%1)"/>
      <w:numFmt w:val="lowerLetter"/>
      <w:start w:val="1"/>
    </w:lvl>
  </w:abstractNum>
  <w:abstractNum w:abstractNumId="244">
    <w:nsid w:val="34DFBC00"/>
    <w:multiLevelType w:val="hybridMultilevel"/>
    <w:lvl w:ilvl="0">
      <w:lvlJc w:val="left"/>
      <w:lvlText w:val="(%1)"/>
      <w:numFmt w:val="lowerLetter"/>
      <w:start w:val="1"/>
    </w:lvl>
  </w:abstractNum>
  <w:abstractNum w:abstractNumId="245">
    <w:nsid w:val="1F9EC322"/>
    <w:multiLevelType w:val="hybridMultilevel"/>
    <w:lvl w:ilvl="0">
      <w:lvlJc w:val="left"/>
      <w:lvlText w:val="(%1)"/>
      <w:numFmt w:val="lowerLetter"/>
      <w:start w:val="2"/>
    </w:lvl>
  </w:abstractNum>
  <w:abstractNum w:abstractNumId="246">
    <w:nsid w:val="3410ED56"/>
    <w:multiLevelType w:val="hybridMultilevel"/>
    <w:lvl w:ilvl="0">
      <w:lvlJc w:val="left"/>
      <w:lvlText w:val="(%1)"/>
      <w:numFmt w:val="lowerLetter"/>
      <w:start w:val="1"/>
    </w:lvl>
  </w:abstractNum>
  <w:abstractNum w:abstractNumId="247">
    <w:nsid w:val="23C049A"/>
    <w:multiLevelType w:val="hybridMultilevel"/>
    <w:lvl w:ilvl="0">
      <w:lvlJc w:val="left"/>
      <w:lvlText w:val="%1."/>
      <w:numFmt w:val="decimal"/>
      <w:start w:val="4"/>
    </w:lvl>
  </w:abstractNum>
  <w:abstractNum w:abstractNumId="248">
    <w:nsid w:val="5BDA35D4"/>
    <w:multiLevelType w:val="hybridMultilevel"/>
    <w:lvl w:ilvl="0">
      <w:lvlJc w:val="left"/>
      <w:lvlText w:val="(%1)"/>
      <w:numFmt w:val="lowerLetter"/>
      <w:start w:val="1"/>
    </w:lvl>
  </w:abstractNum>
  <w:abstractNum w:abstractNumId="249">
    <w:nsid w:val="496FB218"/>
    <w:multiLevelType w:val="hybridMultilevel"/>
    <w:lvl w:ilvl="0">
      <w:lvlJc w:val="left"/>
      <w:lvlText w:val="(%1)"/>
      <w:numFmt w:val="lowerLetter"/>
      <w:start w:val="2"/>
    </w:lvl>
  </w:abstractNum>
  <w:abstractNum w:abstractNumId="250">
    <w:nsid w:val="680EA5D1"/>
    <w:multiLevelType w:val="hybridMultilevel"/>
    <w:lvl w:ilvl="0">
      <w:lvlJc w:val="left"/>
      <w:lvlText w:val="(%1)"/>
      <w:numFmt w:val="lowerLetter"/>
      <w:start w:val="7"/>
    </w:lvl>
  </w:abstractNum>
  <w:abstractNum w:abstractNumId="251">
    <w:nsid w:val="4A9554FE"/>
    <w:multiLevelType w:val="hybridMultilevel"/>
    <w:lvl w:ilvl="0">
      <w:lvlJc w:val="left"/>
      <w:lvlText w:val="(%1)"/>
      <w:numFmt w:val="lowerLetter"/>
      <w:start w:val="1"/>
    </w:lvl>
  </w:abstractNum>
  <w:abstractNum w:abstractNumId="252">
    <w:nsid w:val="392EDBE4"/>
    <w:multiLevelType w:val="hybridMultilevel"/>
    <w:lvl w:ilvl="0">
      <w:lvlJc w:val="left"/>
      <w:lvlText w:val="(%1)"/>
      <w:numFmt w:val="lowerLetter"/>
      <w:start w:val="1"/>
    </w:lvl>
  </w:abstractNum>
  <w:abstractNum w:abstractNumId="253">
    <w:nsid w:val="3D1A2DD9"/>
    <w:multiLevelType w:val="hybridMultilevel"/>
    <w:lvl w:ilvl="0">
      <w:lvlJc w:val="left"/>
      <w:lvlText w:val="(%1)"/>
      <w:numFmt w:val="lowerLetter"/>
      <w:start w:val="2"/>
    </w:lvl>
  </w:abstractNum>
  <w:abstractNum w:abstractNumId="254">
    <w:nsid w:val="7F618FCD"/>
    <w:multiLevelType w:val="hybridMultilevel"/>
    <w:lvl w:ilvl="0">
      <w:lvlJc w:val="left"/>
      <w:lvlText w:val="(%1)"/>
      <w:numFmt w:val="lowerLetter"/>
      <w:start w:val="1"/>
    </w:lvl>
  </w:abstractNum>
  <w:abstractNum w:abstractNumId="255">
    <w:nsid w:val="7843E45"/>
    <w:multiLevelType w:val="hybridMultilevel"/>
    <w:lvl w:ilvl="0">
      <w:lvlJc w:val="left"/>
      <w:lvlText w:val="(%1)"/>
      <w:numFmt w:val="lowerLetter"/>
      <w:start w:val="2"/>
    </w:lvl>
  </w:abstractNum>
  <w:abstractNum w:abstractNumId="256">
    <w:nsid w:val="9815DA3"/>
    <w:multiLevelType w:val="hybridMultilevel"/>
    <w:lvl w:ilvl="0">
      <w:lvlJc w:val="left"/>
      <w:lvlText w:val="(%1)"/>
      <w:numFmt w:val="lowerLetter"/>
      <w:start w:val="1"/>
    </w:lvl>
  </w:abstractNum>
  <w:abstractNum w:abstractNumId="257">
    <w:nsid w:val="5204A191"/>
    <w:multiLevelType w:val="hybridMultilevel"/>
    <w:lvl w:ilvl="0">
      <w:lvlJc w:val="left"/>
      <w:lvlText w:val="(%1)"/>
      <w:numFmt w:val="lowerLetter"/>
      <w:start w:val="1"/>
    </w:lvl>
  </w:abstractNum>
  <w:abstractNum w:abstractNumId="258">
    <w:nsid w:val="4C73A9C6"/>
    <w:multiLevelType w:val="hybridMultilevel"/>
    <w:lvl w:ilvl="0">
      <w:lvlJc w:val="left"/>
      <w:lvlText w:val="(%1)"/>
      <w:numFmt w:val="lowerLetter"/>
      <w:start w:val="3"/>
    </w:lvl>
  </w:abstractNum>
  <w:abstractNum w:abstractNumId="259">
    <w:nsid w:val="1C7E3C01"/>
    <w:multiLevelType w:val="hybridMultilevel"/>
    <w:lvl w:ilvl="0">
      <w:lvlJc w:val="left"/>
      <w:lvlText w:val="(%1)"/>
      <w:numFmt w:val="lowerLetter"/>
      <w:start w:val="1"/>
    </w:lvl>
  </w:abstractNum>
  <w:abstractNum w:abstractNumId="260">
    <w:nsid w:val="1C2201FF"/>
    <w:multiLevelType w:val="hybridMultilevel"/>
    <w:lvl w:ilvl="0">
      <w:lvlJc w:val="left"/>
      <w:lvlText w:val="(%1)"/>
      <w:numFmt w:val="lowerLetter"/>
      <w:start w:val="1"/>
    </w:lvl>
  </w:abstractNum>
  <w:abstractNum w:abstractNumId="261">
    <w:nsid w:val="50ABCEC9"/>
    <w:multiLevelType w:val="hybridMultilevel"/>
    <w:lvl w:ilvl="0">
      <w:lvlJc w:val="left"/>
      <w:lvlText w:val="(%1)"/>
      <w:numFmt w:val="lowerLetter"/>
      <w:start w:val="1"/>
    </w:lvl>
  </w:abstractNum>
  <w:abstractNum w:abstractNumId="262">
    <w:nsid w:val="7635AA2A"/>
    <w:multiLevelType w:val="hybridMultilevel"/>
    <w:lvl w:ilvl="0">
      <w:lvlJc w:val="left"/>
      <w:lvlText w:val="(%1)"/>
      <w:numFmt w:val="lowerLetter"/>
      <w:start w:val="1"/>
    </w:lvl>
  </w:abstractNum>
  <w:abstractNum w:abstractNumId="263">
    <w:nsid w:val="5E74C4D9"/>
    <w:multiLevelType w:val="hybridMultilevel"/>
    <w:lvl w:ilvl="0">
      <w:lvlJc w:val="left"/>
      <w:lvlText w:val="(%1)"/>
      <w:numFmt w:val="lowerLetter"/>
      <w:start w:val="2"/>
    </w:lvl>
  </w:abstractNum>
  <w:abstractNum w:abstractNumId="264">
    <w:nsid w:val="3B3EBE15"/>
    <w:multiLevelType w:val="hybridMultilevel"/>
    <w:lvl w:ilvl="0">
      <w:lvlJc w:val="left"/>
      <w:lvlText w:val="(%1)"/>
      <w:numFmt w:val="lowerLetter"/>
      <w:start w:val="4"/>
    </w:lvl>
  </w:abstractNum>
  <w:abstractNum w:abstractNumId="265">
    <w:nsid w:val="3822CB01"/>
    <w:multiLevelType w:val="hybridMultilevel"/>
    <w:lvl w:ilvl="0">
      <w:lvlJc w:val="left"/>
      <w:lvlText w:val="(%1)"/>
      <w:numFmt w:val="lowerLetter"/>
      <w:start w:val="1"/>
    </w:lvl>
  </w:abstractNum>
  <w:abstractNum w:abstractNumId="266">
    <w:nsid w:val="6CE00443"/>
    <w:multiLevelType w:val="hybridMultilevel"/>
    <w:lvl w:ilvl="0">
      <w:lvlJc w:val="left"/>
      <w:lvlText w:val="(%1)"/>
      <w:numFmt w:val="lowerLetter"/>
      <w:start w:val="2"/>
    </w:lvl>
  </w:abstractNum>
  <w:abstractNum w:abstractNumId="267">
    <w:nsid w:val="79F0D62F"/>
    <w:multiLevelType w:val="hybridMultilevel"/>
    <w:lvl w:ilvl="0">
      <w:lvlJc w:val="left"/>
      <w:lvlText w:val="(%1)"/>
      <w:numFmt w:val="lowerLetter"/>
      <w:start w:val="4"/>
    </w:lvl>
  </w:abstractNum>
  <w:abstractNum w:abstractNumId="268">
    <w:nsid w:val="7975E8EE"/>
    <w:multiLevelType w:val="hybridMultilevel"/>
    <w:lvl w:ilvl="0">
      <w:lvlJc w:val="left"/>
      <w:lvlText w:val="(%1)"/>
      <w:numFmt w:val="lowerLetter"/>
      <w:start w:val="1"/>
    </w:lvl>
  </w:abstractNum>
  <w:abstractNum w:abstractNumId="269">
    <w:nsid w:val="73154115"/>
    <w:multiLevelType w:val="hybridMultilevel"/>
    <w:lvl w:ilvl="0">
      <w:lvlJc w:val="left"/>
      <w:lvlText w:val="(%1)"/>
      <w:numFmt w:val="lowerLetter"/>
      <w:start w:val="1"/>
    </w:lvl>
  </w:abstractNum>
  <w:abstractNum w:abstractNumId="270">
    <w:nsid w:val="622D8102"/>
    <w:multiLevelType w:val="hybridMultilevel"/>
    <w:lvl w:ilvl="0">
      <w:lvlJc w:val="left"/>
      <w:lvlText w:val="(%1)"/>
      <w:numFmt w:val="lowerLetter"/>
      <w:start w:val="5"/>
    </w:lvl>
  </w:abstractNum>
  <w:abstractNum w:abstractNumId="271">
    <w:nsid w:val="2AB26587"/>
    <w:multiLevelType w:val="hybridMultilevel"/>
    <w:lvl w:ilvl="0">
      <w:lvlJc w:val="left"/>
      <w:lvlText w:val="(%1)"/>
      <w:numFmt w:val="lowerLetter"/>
      <w:start w:val="1"/>
    </w:lvl>
  </w:abstractNum>
  <w:abstractNum w:abstractNumId="272">
    <w:nsid w:val="44B3FA61"/>
    <w:multiLevelType w:val="hybridMultilevel"/>
    <w:lvl w:ilvl="0">
      <w:lvlJc w:val="left"/>
      <w:lvlText w:val="(%1)"/>
      <w:numFmt w:val="lowerLetter"/>
      <w:start w:val="2"/>
    </w:lvl>
  </w:abstractNum>
  <w:abstractNum w:abstractNumId="273">
    <w:nsid w:val="1C0CA67C"/>
    <w:multiLevelType w:val="hybridMultilevel"/>
    <w:lvl w:ilvl="0">
      <w:lvlJc w:val="left"/>
      <w:lvlText w:val="(%1)"/>
      <w:numFmt w:val="lowerLetter"/>
      <w:start w:val="1"/>
    </w:lvl>
  </w:abstractNum>
  <w:abstractNum w:abstractNumId="274">
    <w:nsid w:val="3D206613"/>
    <w:multiLevelType w:val="hybridMultilevel"/>
    <w:lvl w:ilvl="0">
      <w:lvlJc w:val="left"/>
      <w:lvlText w:val="(%1)"/>
      <w:numFmt w:val="lowerLetter"/>
      <w:start w:val="2"/>
    </w:lvl>
  </w:abstractNum>
  <w:abstractNum w:abstractNumId="275">
    <w:nsid w:val="7993B662"/>
    <w:multiLevelType w:val="hybridMultilevel"/>
    <w:lvl w:ilvl="0">
      <w:lvlJc w:val="left"/>
      <w:lvlText w:val="(%1)"/>
      <w:numFmt w:val="lowerLetter"/>
      <w:start w:val="5"/>
    </w:lvl>
  </w:abstractNum>
  <w:abstractNum w:abstractNumId="276">
    <w:nsid w:val="3BAB699E"/>
    <w:multiLevelType w:val="hybridMultilevel"/>
    <w:lvl w:ilvl="0">
      <w:lvlJc w:val="left"/>
      <w:lvlText w:val="(%1)"/>
      <w:numFmt w:val="lowerLetter"/>
      <w:start w:val="1"/>
    </w:lvl>
  </w:abstractNum>
  <w:abstractNum w:abstractNumId="277">
    <w:nsid w:val="71315369"/>
    <w:multiLevelType w:val="hybridMultilevel"/>
    <w:lvl w:ilvl="0">
      <w:lvlJc w:val="left"/>
      <w:lvlText w:val="(%1)"/>
      <w:numFmt w:val="lowerLetter"/>
      <w:start w:val="1"/>
    </w:lvl>
  </w:abstractNum>
  <w:abstractNum w:abstractNumId="278">
    <w:nsid w:val="7BCFBAFC"/>
    <w:multiLevelType w:val="hybridMultilevel"/>
    <w:lvl w:ilvl="0">
      <w:lvlJc w:val="left"/>
      <w:lvlText w:val="(%1)"/>
      <w:numFmt w:val="lowerLetter"/>
      <w:start w:val="2"/>
    </w:lvl>
  </w:abstractNum>
  <w:abstractNum w:abstractNumId="279">
    <w:nsid w:val="17859F72"/>
    <w:multiLevelType w:val="hybridMultilevel"/>
    <w:lvl w:ilvl="0">
      <w:lvlJc w:val="left"/>
      <w:lvlText w:val="(%1)"/>
      <w:numFmt w:val="lowerLetter"/>
      <w:start w:val="1"/>
    </w:lvl>
  </w:abstractNum>
  <w:abstractNum w:abstractNumId="280">
    <w:nsid w:val="3AA10581"/>
    <w:multiLevelType w:val="hybridMultilevel"/>
    <w:lvl w:ilvl="0">
      <w:lvlJc w:val="left"/>
      <w:lvlText w:val="(%1)"/>
      <w:numFmt w:val="lowerLetter"/>
      <w:start w:val="1"/>
    </w:lvl>
  </w:abstractNum>
  <w:abstractNum w:abstractNumId="281">
    <w:nsid w:val="63DE60CD"/>
    <w:multiLevelType w:val="hybridMultilevel"/>
    <w:lvl w:ilvl="0">
      <w:lvlJc w:val="left"/>
      <w:lvlText w:val="(%1)"/>
      <w:numFmt w:val="lowerLetter"/>
      <w:start w:val="2"/>
    </w:lvl>
  </w:abstractNum>
  <w:abstractNum w:abstractNumId="282">
    <w:nsid w:val="621AF471"/>
    <w:multiLevelType w:val="hybridMultilevel"/>
    <w:lvl w:ilvl="0">
      <w:lvlJc w:val="left"/>
      <w:lvlText w:val="(%1)"/>
      <w:numFmt w:val="lowerLetter"/>
      <w:start w:val="1"/>
    </w:lvl>
  </w:abstractNum>
  <w:abstractNum w:abstractNumId="283">
    <w:nsid w:val="73CFE165"/>
    <w:multiLevelType w:val="hybridMultilevel"/>
    <w:lvl w:ilvl="0">
      <w:lvlJc w:val="left"/>
      <w:lvlText w:val="(%1)"/>
      <w:numFmt w:val="lowerLetter"/>
      <w:start w:val="2"/>
    </w:lvl>
  </w:abstractNum>
  <w:abstractNum w:abstractNumId="284">
    <w:nsid w:val="20F88EA6"/>
    <w:multiLevelType w:val="hybridMultilevel"/>
    <w:lvl w:ilvl="0">
      <w:lvlJc w:val="left"/>
      <w:lvlText w:val="(%1)"/>
      <w:numFmt w:val="lowerLetter"/>
      <w:start w:val="1"/>
    </w:lvl>
  </w:abstractNum>
  <w:abstractNum w:abstractNumId="285">
    <w:nsid w:val="617C843E"/>
    <w:multiLevelType w:val="hybridMultilevel"/>
    <w:lvl w:ilvl="0">
      <w:lvlJc w:val="left"/>
      <w:lvlText w:val="(%1)"/>
      <w:numFmt w:val="lowerLetter"/>
      <w:start w:val="1"/>
    </w:lvl>
  </w:abstractNum>
  <w:abstractNum w:abstractNumId="286">
    <w:nsid w:val="7B541FAB"/>
    <w:multiLevelType w:val="hybridMultilevel"/>
    <w:lvl w:ilvl="0">
      <w:lvlJc w:val="left"/>
      <w:lvlText w:val="(%1)"/>
      <w:numFmt w:val="lowerLetter"/>
      <w:start w:val="3"/>
    </w:lvl>
  </w:abstractNum>
  <w:abstractNum w:abstractNumId="287">
    <w:nsid w:val="2A79EC49"/>
    <w:multiLevelType w:val="hybridMultilevel"/>
    <w:lvl w:ilvl="0">
      <w:lvlJc w:val="left"/>
      <w:lvlText w:val="(%1)"/>
      <w:numFmt w:val="lowerLetter"/>
      <w:start w:val="1"/>
    </w:lvl>
  </w:abstractNum>
  <w:abstractNum w:abstractNumId="288">
    <w:nsid w:val="338125CF"/>
    <w:multiLevelType w:val="hybridMultilevel"/>
    <w:lvl w:ilvl="0">
      <w:lvlJc w:val="left"/>
      <w:lvlText w:val="·"/>
      <w:numFmt w:val="bullet"/>
      <w:start w:val="1"/>
    </w:lvl>
  </w:abstractNum>
  <w:abstractNum w:abstractNumId="289">
    <w:nsid w:val="47C7C971"/>
    <w:multiLevelType w:val="hybridMultilevel"/>
    <w:lvl w:ilvl="0">
      <w:lvlJc w:val="left"/>
      <w:lvlText w:val="·"/>
      <w:numFmt w:val="bullet"/>
      <w:start w:val="1"/>
    </w:lvl>
  </w:abstractNum>
  <w:abstractNum w:abstractNumId="290">
    <w:nsid w:val="46F8284B"/>
    <w:multiLevelType w:val="hybridMultilevel"/>
    <w:lvl w:ilvl="0">
      <w:lvlJc w:val="left"/>
      <w:lvlText w:val="·"/>
      <w:numFmt w:val="bullet"/>
      <w:start w:val="1"/>
    </w:lvl>
  </w:abstractNum>
  <w:abstractNum w:abstractNumId="291">
    <w:nsid w:val="4FA327CE"/>
    <w:multiLevelType w:val="hybridMultilevel"/>
    <w:lvl w:ilvl="0">
      <w:lvlJc w:val="left"/>
      <w:lvlText w:val="%1."/>
      <w:numFmt w:val="decimal"/>
      <w:start w:val="1"/>
    </w:lvl>
  </w:abstractNum>
  <w:abstractNum w:abstractNumId="292">
    <w:nsid w:val="1873983A"/>
    <w:multiLevelType w:val="hybridMultilevel"/>
    <w:lvl w:ilvl="0">
      <w:lvlJc w:val="left"/>
      <w:lvlText w:val="%1."/>
      <w:numFmt w:val="decimal"/>
      <w:start w:val="2"/>
    </w:lvl>
  </w:abstractNum>
  <w:abstractNum w:abstractNumId="293">
    <w:nsid w:val="3D2DD275"/>
    <w:multiLevelType w:val="hybridMultilevel"/>
    <w:lvl w:ilvl="0">
      <w:lvlJc w:val="left"/>
      <w:lvlText w:val="%1."/>
      <w:numFmt w:val="decimal"/>
      <w:start w:val="3"/>
    </w:lvl>
  </w:abstractNum>
  <w:abstractNum w:abstractNumId="294">
    <w:nsid w:val="2E17ECA7"/>
    <w:multiLevelType w:val="hybridMultilevel"/>
    <w:lvl w:ilvl="0">
      <w:lvlJc w:val="left"/>
      <w:lvlText w:val="%1."/>
      <w:numFmt w:val="decimal"/>
      <w:start w:val="4"/>
    </w:lvl>
  </w:abstractNum>
  <w:abstractNum w:abstractNumId="295">
    <w:nsid w:val="53B2564F"/>
    <w:multiLevelType w:val="hybridMultilevel"/>
    <w:lvl w:ilvl="0">
      <w:lvlJc w:val="left"/>
      <w:lvlText w:val="%1."/>
      <w:numFmt w:val="decimal"/>
      <w:start w:val="5"/>
    </w:lvl>
  </w:abstractNum>
  <w:abstractNum w:abstractNumId="296">
    <w:nsid w:val="75509D76"/>
    <w:multiLevelType w:val="hybridMultilevel"/>
    <w:lvl w:ilvl="0">
      <w:lvlJc w:val="left"/>
      <w:lvlText w:val="%1."/>
      <w:numFmt w:val="decimal"/>
      <w:start w:val="6"/>
    </w:lvl>
  </w:abstractNum>
  <w:abstractNum w:abstractNumId="297">
    <w:nsid w:val="1AF7F0EA"/>
    <w:multiLevelType w:val="hybridMultilevel"/>
    <w:lvl w:ilvl="0">
      <w:lvlJc w:val="left"/>
      <w:lvlText w:val="%1."/>
      <w:numFmt w:val="decimal"/>
      <w:start w:val="7"/>
    </w:lvl>
  </w:abstractNum>
  <w:abstractNum w:abstractNumId="298">
    <w:nsid w:val="4DA32C7E"/>
    <w:multiLevelType w:val="hybridMultilevel"/>
    <w:lvl w:ilvl="0">
      <w:lvlJc w:val="left"/>
      <w:lvlText w:val="%1."/>
      <w:numFmt w:val="decimal"/>
      <w:start w:val="8"/>
    </w:lvl>
  </w:abstractNum>
  <w:abstractNum w:abstractNumId="299">
    <w:nsid w:val="6EC68664"/>
    <w:multiLevelType w:val="hybridMultilevel"/>
    <w:lvl w:ilvl="0">
      <w:lvlJc w:val="left"/>
      <w:lvlText w:val="%1."/>
      <w:numFmt w:val="decimal"/>
      <w:start w:val="9"/>
    </w:lvl>
  </w:abstractNum>
  <w:abstractNum w:abstractNumId="300">
    <w:nsid w:val="E0D31FF"/>
    <w:multiLevelType w:val="hybridMultilevel"/>
    <w:lvl w:ilvl="0">
      <w:lvlJc w:val="left"/>
      <w:lvlText w:val="%1."/>
      <w:numFmt w:val="decimal"/>
      <w:start w:val="10"/>
    </w:lvl>
  </w:abstractNum>
  <w:abstractNum w:abstractNumId="301">
    <w:nsid w:val="2FD0AD81"/>
    <w:multiLevelType w:val="hybridMultilevel"/>
    <w:lvl w:ilvl="0">
      <w:lvlJc w:val="left"/>
      <w:lvlText w:val="%1."/>
      <w:numFmt w:val="decimal"/>
      <w:start w:val="11"/>
    </w:lvl>
  </w:abstractNum>
  <w:abstractNum w:abstractNumId="302">
    <w:nsid w:val="1978EBEB"/>
    <w:multiLevelType w:val="hybridMultilevel"/>
    <w:lvl w:ilvl="0">
      <w:lvlJc w:val="left"/>
      <w:lvlText w:val="%1."/>
      <w:numFmt w:val="decimal"/>
      <w:start w:val="12"/>
    </w:lvl>
  </w:abstractNum>
  <w:abstractNum w:abstractNumId="303">
    <w:nsid w:val="52C12C61"/>
    <w:multiLevelType w:val="hybridMultilevel"/>
    <w:lvl w:ilvl="0">
      <w:lvlJc w:val="left"/>
      <w:lvlText w:val="(%1)"/>
      <w:numFmt w:val="lowerLetter"/>
      <w:start w:val="1"/>
    </w:lvl>
  </w:abstractNum>
  <w:abstractNum w:abstractNumId="304">
    <w:nsid w:val="4BDD53FD"/>
    <w:multiLevelType w:val="hybridMultilevel"/>
    <w:lvl w:ilvl="0">
      <w:lvlJc w:val="left"/>
      <w:lvlText w:val="(%1)"/>
      <w:numFmt w:val="lowerLetter"/>
      <w:start w:val="2"/>
    </w:lvl>
  </w:abstractNum>
  <w:abstractNum w:abstractNumId="305">
    <w:nsid w:val="569951FE"/>
    <w:multiLevelType w:val="hybridMultilevel"/>
    <w:lvl w:ilvl="0">
      <w:lvlJc w:val="left"/>
      <w:lvlText w:val="(%1)"/>
      <w:numFmt w:val="lowerLetter"/>
      <w:start w:val="8"/>
    </w:lvl>
  </w:abstractNum>
  <w:abstractNum w:abstractNumId="306">
    <w:nsid w:val="4C54E2C3"/>
    <w:multiLevelType w:val="hybridMultilevel"/>
    <w:lvl w:ilvl="0">
      <w:lvlJc w:val="left"/>
      <w:lvlText w:val="(%1)"/>
      <w:numFmt w:val="lowerLetter"/>
      <w:start w:val="12"/>
    </w:lvl>
  </w:abstractNum>
  <w:abstractNum w:abstractNumId="307">
    <w:nsid w:val="788BD9B"/>
    <w:multiLevelType w:val="hybridMultilevel"/>
    <w:lvl w:ilvl="0">
      <w:lvlJc w:val="left"/>
      <w:lvlText w:val="(%1)"/>
      <w:numFmt w:val="lowerLetter"/>
      <w:start w:val="13"/>
    </w:lvl>
  </w:abstractNum>
  <w:abstractNum w:abstractNumId="308">
    <w:nsid w:val="47CAA567"/>
    <w:multiLevelType w:val="hybridMultilevel"/>
    <w:lvl w:ilvl="0">
      <w:lvlJc w:val="left"/>
      <w:lvlText w:val="(%1)"/>
      <w:numFmt w:val="lowerLetter"/>
      <w:start w:val="1"/>
    </w:lvl>
  </w:abstractNum>
  <w:abstractNum w:abstractNumId="309">
    <w:nsid w:val="48249DBF"/>
    <w:multiLevelType w:val="hybridMultilevel"/>
    <w:lvl w:ilvl="0">
      <w:lvlJc w:val="left"/>
      <w:lvlText w:val="(%1)"/>
      <w:numFmt w:val="lowerLetter"/>
      <w:start w:val="1"/>
    </w:lvl>
  </w:abstractNum>
  <w:abstractNum w:abstractNumId="310">
    <w:nsid w:val="1F0E5D0D"/>
    <w:multiLevelType w:val="hybridMultilevel"/>
    <w:lvl w:ilvl="0">
      <w:lvlJc w:val="left"/>
      <w:lvlText w:val="(%1)"/>
      <w:numFmt w:val="lowerLetter"/>
      <w:start w:val="4"/>
    </w:lvl>
  </w:abstractNum>
  <w:abstractNum w:abstractNumId="311">
    <w:nsid w:val="26BAAE9"/>
    <w:multiLevelType w:val="hybridMultilevel"/>
    <w:lvl w:ilvl="0">
      <w:lvlJc w:val="left"/>
      <w:lvlText w:val="(%1)"/>
      <w:numFmt w:val="lowerLetter"/>
      <w:start w:val="1"/>
    </w:lvl>
  </w:abstractNum>
  <w:abstractNum w:abstractNumId="312">
    <w:nsid w:val="2C02FE8C"/>
    <w:multiLevelType w:val="hybridMultilevel"/>
    <w:lvl w:ilvl="0">
      <w:lvlJc w:val="left"/>
      <w:lvlText w:val="(%1)"/>
      <w:numFmt w:val="lowerLetter"/>
      <w:start w:val="1"/>
    </w:lvl>
  </w:abstractNum>
  <w:abstractNum w:abstractNumId="313">
    <w:nsid w:val="129517E"/>
    <w:multiLevelType w:val="hybridMultilevel"/>
    <w:lvl w:ilvl="0">
      <w:lvlJc w:val="left"/>
      <w:lvlText w:val="(%1)"/>
      <w:numFmt w:val="lowerLetter"/>
      <w:start w:val="2"/>
    </w:lvl>
  </w:abstractNum>
  <w:abstractNum w:abstractNumId="314">
    <w:nsid w:val="763B8C4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2019-12-07T10:09:07Z</dcterms:created>
  <dcterms:modified xsi:type="dcterms:W3CDTF">2019-12-07T10:09:07Z</dcterms:modified>
</cp:coreProperties>
</file>