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2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DSOUZA FRANCISCO</w:t>
              </w:r>
            </w:hyperlink>
          </w:p>
        </w:tc>
        <w:tc>
          <w:tcPr>
            <w:tcW w:w="1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MongoDB,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MDB</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20" w:type="dxa"/>
            <w:vAlign w:val="bottom"/>
            <w:gridSpan w:val="2"/>
            <w:vMerge w:val="continue"/>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40" w:type="dxa"/>
            <w:vAlign w:val="bottom"/>
            <w:tcBorders>
              <w:bottom w:val="single" w:sz="8" w:color="0000EE"/>
            </w:tcBorders>
          </w:tcPr>
          <w:p>
            <w:pPr>
              <w:spacing w:after="0"/>
              <w:rPr>
                <w:sz w:val="6"/>
                <w:szCs w:val="6"/>
                <w:color w:val="auto"/>
              </w:rPr>
            </w:pPr>
          </w:p>
        </w:tc>
        <w:tc>
          <w:tcPr>
            <w:tcW w:w="24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2120" w:type="dxa"/>
            <w:vAlign w:val="bottom"/>
            <w:tcBorders>
              <w:bottom w:val="single" w:sz="8" w:color="0000EE"/>
            </w:tcBorders>
            <w:gridSpan w:val="2"/>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15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4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520" w:type="dxa"/>
            <w:vAlign w:val="bottom"/>
            <w:vMerge w:val="restart"/>
          </w:tcPr>
          <w:p>
            <w:pPr>
              <w:ind w:left="3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520" w:type="dxa"/>
            <w:vAlign w:val="bottom"/>
            <w:vMerge w:val="continue"/>
          </w:tcPr>
          <w:p>
            <w:pPr>
              <w:spacing w:after="0"/>
              <w:rPr>
                <w:sz w:val="8"/>
                <w:szCs w:val="8"/>
                <w:color w:val="auto"/>
              </w:rPr>
            </w:pPr>
          </w:p>
        </w:tc>
        <w:tc>
          <w:tcPr>
            <w:tcW w:w="15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06/30/2026</w:t>
            </w:r>
          </w:p>
        </w:tc>
        <w:tc>
          <w:tcPr>
            <w:tcW w:w="24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MONGODB, INC.</w:t>
            </w:r>
          </w:p>
        </w:tc>
        <w:tc>
          <w:tcPr>
            <w:tcW w:w="1520" w:type="dxa"/>
            <w:vAlign w:val="bottom"/>
          </w:tcPr>
          <w:p>
            <w:pPr>
              <w:spacing w:after="0"/>
              <w:rPr>
                <w:sz w:val="11"/>
                <w:szCs w:val="11"/>
                <w:color w:val="auto"/>
              </w:rPr>
            </w:pPr>
          </w:p>
        </w:tc>
        <w:tc>
          <w:tcPr>
            <w:tcW w:w="1500" w:type="dxa"/>
            <w:vAlign w:val="bottom"/>
            <w:gridSpan w:val="3"/>
            <w:vMerge w:val="continue"/>
          </w:tcPr>
          <w:p>
            <w:pPr>
              <w:spacing w:after="0"/>
              <w:rPr>
                <w:sz w:val="11"/>
                <w:szCs w:val="11"/>
                <w:color w:val="auto"/>
              </w:rPr>
            </w:pPr>
          </w:p>
        </w:tc>
        <w:tc>
          <w:tcPr>
            <w:tcW w:w="24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20" w:type="dxa"/>
            <w:vAlign w:val="bottom"/>
            <w:gridSpan w:val="2"/>
            <w:vMerge w:val="continue"/>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1633 BROADWAY, 38TH FLOOR</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340" w:type="dxa"/>
            <w:vAlign w:val="bottom"/>
            <w:tcBorders>
              <w:bottom w:val="single" w:sz="8" w:color="2C2C2C"/>
            </w:tcBorders>
          </w:tcPr>
          <w:p>
            <w:pPr>
              <w:spacing w:after="0"/>
              <w:rPr>
                <w:sz w:val="12"/>
                <w:szCs w:val="12"/>
                <w:color w:val="auto"/>
              </w:rPr>
            </w:pPr>
          </w:p>
        </w:tc>
        <w:tc>
          <w:tcPr>
            <w:tcW w:w="24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06/30/2026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w w:val="93"/>
                <w:vertAlign w:val="subscript"/>
              </w:rPr>
              <w:t>767</w:t>
            </w:r>
            <w:r>
              <w:rPr>
                <w:rFonts w:ascii="Times New Roman" w:cs="Times New Roman" w:eastAsia="Times New Roman" w:hAnsi="Times New Roman"/>
                <w:sz w:val="11"/>
                <w:szCs w:val="11"/>
                <w:color w:val="008000"/>
                <w:w w:val="93"/>
              </w:rPr>
              <w:t>(1)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8,422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06/30/2026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w w:val="93"/>
                <w:vertAlign w:val="subscript"/>
              </w:rPr>
              <w:t>184</w:t>
            </w:r>
            <w:r>
              <w:rPr>
                <w:rFonts w:ascii="Times New Roman" w:cs="Times New Roman" w:eastAsia="Times New Roman" w:hAnsi="Times New Roman"/>
                <w:sz w:val="11"/>
                <w:szCs w:val="11"/>
                <w:color w:val="008000"/>
                <w:w w:val="93"/>
              </w:rPr>
              <w:t>(2)</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8,606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issued to the Reporting Person pursuant to the annual equity grant under the Issuer's non-employee director compensation policy. Each restricted stock unit represents a contingent right to receive one share of common stock of the Issuer and has no expiration date. The shares underlying the restricted stock unit award shall vest in full on the earlier of (i) the first anniversary of the grant date and (ii) the date of the Issuer's 2027 annual stockholders' meeting, subject to the Reporting Person providing continuous service to the Issuer through such date.</w:t>
      </w:r>
    </w:p>
    <w:p>
      <w:pPr>
        <w:spacing w:after="0" w:line="20" w:lineRule="exact"/>
        <w:rPr>
          <w:rFonts w:ascii="Times New Roman" w:cs="Times New Roman" w:eastAsia="Times New Roman" w:hAnsi="Times New Roman"/>
          <w:sz w:val="13"/>
          <w:szCs w:val="13"/>
          <w:color w:val="008000"/>
        </w:rPr>
      </w:pPr>
    </w:p>
    <w:p>
      <w:pPr>
        <w:jc w:val="both"/>
        <w:ind w:left="40" w:right="3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fully vested shares issued to the Reporting Person who elected to receive stock in lieu of cash for services as a director under the Issuer's non-employee director compensation policy. The number of shares was calculated based on the 30-day volume-weighted average share price as of the date immediately prior to the date of issuance and the amount of fees owed to the Reporting Person.</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Gahee Lee, Attorney in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07/02/2026</w:t>
            </w:r>
          </w:p>
        </w:tc>
        <w:tc>
          <w:tcPr>
            <w:tcW w:w="0" w:type="dxa"/>
            <w:vAlign w:val="bottom"/>
          </w:tcPr>
          <w:p>
            <w:pPr>
              <w:spacing w:after="0"/>
              <w:rPr>
                <w:sz w:val="1"/>
                <w:szCs w:val="1"/>
                <w:color w:val="auto"/>
              </w:rPr>
            </w:pPr>
          </w:p>
        </w:tc>
      </w:tr>
      <w:tr>
        <w:trPr>
          <w:trHeight w:val="87"/>
        </w:trPr>
        <w:tc>
          <w:tcPr>
            <w:tcW w:w="184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2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840" w:type="dxa"/>
            <w:vAlign w:val="bottom"/>
            <w:tcBorders>
              <w:top w:val="single" w:sz="8" w:color="auto"/>
            </w:tcBorders>
            <w:gridSpan w:val="2"/>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31715" TargetMode="External"/><Relationship Id="rId14" Type="http://schemas.openxmlformats.org/officeDocument/2006/relationships/hyperlink" Target="http://www.sec.gov/cgi-bin/browse-edgar?action=getcompany&amp;CIK=00014418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2026-07-02T15:52:05Z</dcterms:created>
  <dcterms:modified xsi:type="dcterms:W3CDTF">2026-07-02T15:52:05Z</dcterms:modified>
</cp:coreProperties>
</file>