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rFonts w:ascii="MS PGothic" w:cs="MS PGothic" w:eastAsia="MS PGothic" w:hAnsi="MS PGothic"/>
          <w:sz w:val="22"/>
          <w:szCs w:val="22"/>
          <w:color w:val="auto"/>
        </w:rPr>
      </w:pPr>
    </w:p>
    <w:p>
      <w:pPr>
        <w:ind w:left="390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July 31, 2022</w:t>
      </w:r>
    </w:p>
    <w:p>
      <w:pPr>
        <w:spacing w:after="0" w:line="63" w:lineRule="exact"/>
        <w:rPr>
          <w:rFonts w:ascii="MS PGothic" w:cs="MS PGothic" w:eastAsia="MS PGothic" w:hAnsi="MS PGothic"/>
          <w:sz w:val="22"/>
          <w:szCs w:val="22"/>
          <w:color w:val="auto"/>
        </w:rPr>
      </w:pPr>
    </w:p>
    <w:p>
      <w:pPr>
        <w:ind w:left="548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-6350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26-1463205</w:t>
            </w:r>
          </w:p>
        </w:tc>
      </w:tr>
      <w:tr>
        <w:trPr>
          <w:trHeight w:val="146"/>
        </w:trPr>
        <w:tc>
          <w:tcPr>
            <w:tcW w:w="3880" w:type="dxa"/>
            <w:vAlign w:val="bottom"/>
          </w:tcPr>
          <w:p>
            <w:pPr>
              <w:jc w:val="center"/>
              <w:ind w:right="13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32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1633 Broadway, 38th Floor</w:t>
            </w:r>
          </w:p>
        </w:tc>
        <w:tc>
          <w:tcPr>
            <w:tcW w:w="2560" w:type="dxa"/>
            <w:vAlign w:val="bottom"/>
          </w:tcPr>
          <w:p>
            <w:pPr>
              <w:spacing w:after="0"/>
              <w:rPr>
                <w:sz w:val="24"/>
                <w:szCs w:val="24"/>
                <w:color w:val="auto"/>
              </w:rPr>
            </w:pPr>
          </w:p>
        </w:tc>
      </w:tr>
      <w:tr>
        <w:trPr>
          <w:trHeight w:val="286"/>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56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190"/>
        </w:trPr>
        <w:tc>
          <w:tcPr>
            <w:tcW w:w="38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Common Stock, par value $0.001 per</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7" w:lineRule="exact"/>
        <w:rPr>
          <w:sz w:val="24"/>
          <w:szCs w:val="24"/>
          <w:color w:val="auto"/>
        </w:rPr>
      </w:pPr>
    </w:p>
    <w:p>
      <w:pPr>
        <w:ind w:firstLine="44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7"/>
          <w:szCs w:val="17"/>
          <w:color w:val="auto"/>
        </w:rPr>
        <w:t xml:space="preserve">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51" w:lineRule="exact"/>
        <w:rPr>
          <w:sz w:val="24"/>
          <w:szCs w:val="24"/>
          <w:color w:val="auto"/>
        </w:rPr>
      </w:pPr>
    </w:p>
    <w:p>
      <w:pPr>
        <w:ind w:right="20" w:firstLine="445"/>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13" w:lineRule="exact"/>
        <w:rPr>
          <w:sz w:val="24"/>
          <w:szCs w:val="24"/>
          <w:color w:val="auto"/>
        </w:rPr>
      </w:pPr>
    </w:p>
    <w:p>
      <w:pPr>
        <w:ind w:right="220" w:firstLine="445"/>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0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24" w:lineRule="exact"/>
        <w:rPr>
          <w:sz w:val="24"/>
          <w:szCs w:val="24"/>
          <w:color w:val="auto"/>
        </w:rPr>
      </w:pPr>
    </w:p>
    <w:p>
      <w:pPr>
        <w:ind w:right="20" w:firstLine="445"/>
        <w:spacing w:after="0" w:line="25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left="460" w:right="1740"/>
        <w:spacing w:after="0" w:line="26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30, 2022, there were 68,707,084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96520</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121920</wp:posOffset>
            </wp:positionV>
            <wp:extent cx="6652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160"/>
          </w:cols>
          <w:pgMar w:left="320" w:top="1235" w:right="419"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10840"/>
          </w:cols>
          <w:pgMar w:left="540" w:top="12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380" w:lineRule="auto"/>
        <w:rPr>
          <w:sz w:val="20"/>
          <w:szCs w:val="20"/>
          <w:color w:val="auto"/>
        </w:rPr>
      </w:pPr>
      <w:r>
        <w:rPr>
          <w:rFonts w:ascii="Times New Roman" w:cs="Times New Roman" w:eastAsia="Times New Roman" w:hAnsi="Times New Roman"/>
          <w:sz w:val="18"/>
          <w:szCs w:val="18"/>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360" w:type="dxa"/>
            <w:vAlign w:val="bottom"/>
            <w:gridSpan w:val="7"/>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60" w:type="dxa"/>
            <w:vAlign w:val="bottom"/>
            <w:tcBorders>
              <w:bottom w:val="single" w:sz="8" w:color="0000FF"/>
            </w:tcBorders>
            <w:gridSpan w:val="5"/>
            <w:vMerge w:val="continue"/>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July 31, 2022 and January 31, 2022</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87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six months ended July 31, 2022 and 2021</w:t>
            </w:r>
          </w:p>
        </w:tc>
        <w:tc>
          <w:tcPr>
            <w:tcW w:w="44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six months ended July 31, 2022 and</w:t>
            </w:r>
          </w:p>
        </w:tc>
        <w:tc>
          <w:tcPr>
            <w:tcW w:w="120" w:type="dxa"/>
            <w:vAlign w:val="bottom"/>
          </w:tcPr>
          <w:p>
            <w:pPr>
              <w:spacing w:after="0"/>
              <w:rPr>
                <w:sz w:val="18"/>
                <w:szCs w:val="18"/>
                <w:color w:val="auto"/>
              </w:rPr>
            </w:pP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75"/>
        </w:trPr>
        <w:tc>
          <w:tcPr>
            <w:tcW w:w="480" w:type="dxa"/>
            <w:vAlign w:val="bottom"/>
            <w:gridSpan w:val="2"/>
            <w:vMerge w:val="restart"/>
          </w:tcPr>
          <w:p>
            <w:pPr>
              <w:spacing w:after="0"/>
              <w:rPr>
                <w:sz w:val="6"/>
                <w:szCs w:val="6"/>
                <w:color w:val="auto"/>
              </w:rPr>
            </w:pPr>
          </w:p>
        </w:tc>
        <w:tc>
          <w:tcPr>
            <w:tcW w:w="360" w:type="dxa"/>
            <w:vAlign w:val="bottom"/>
            <w:gridSpan w:val="2"/>
            <w:vMerge w:val="restart"/>
          </w:tcPr>
          <w:p>
            <w:pPr>
              <w:jc w:val="right"/>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80" w:type="dxa"/>
            <w:vAlign w:val="bottom"/>
            <w:gridSpan w:val="2"/>
            <w:vMerge w:val="continue"/>
          </w:tcPr>
          <w:p>
            <w:pPr>
              <w:spacing w:after="0"/>
              <w:rPr>
                <w:sz w:val="6"/>
                <w:szCs w:val="6"/>
                <w:color w:val="auto"/>
              </w:rPr>
            </w:pPr>
          </w:p>
        </w:tc>
        <w:tc>
          <w:tcPr>
            <w:tcW w:w="360" w:type="dxa"/>
            <w:vAlign w:val="bottom"/>
            <w:tcBorders>
              <w:bottom w:val="single" w:sz="8" w:color="0000FF"/>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(Deficit)</w:t>
            </w:r>
          </w:p>
        </w:tc>
        <w:tc>
          <w:tcPr>
            <w:tcW w:w="330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July 31, 2022 and 2021</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0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10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3"/>
          </w:tcPr>
          <w:p>
            <w:pPr>
              <w:spacing w:after="0"/>
              <w:rPr>
                <w:sz w:val="24"/>
                <w:szCs w:val="24"/>
                <w:color w:val="auto"/>
              </w:rPr>
            </w:pPr>
          </w:p>
        </w:tc>
        <w:tc>
          <w:tcPr>
            <w:tcW w:w="3520" w:type="dxa"/>
            <w:vAlign w:val="bottom"/>
            <w:gridSpan w:val="8"/>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7560" w:type="dxa"/>
            <w:vAlign w:val="bottom"/>
            <w:gridSpan w:val="14"/>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-3719830</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-3342640</wp:posOffset>
            </wp:positionV>
            <wp:extent cx="689229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-2931160</wp:posOffset>
            </wp:positionV>
            <wp:extent cx="68922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-1877060</wp:posOffset>
            </wp:positionV>
            <wp:extent cx="68922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-1568450</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-1156970</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-745490</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-334010</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56"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12"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24" w:lineRule="exact"/>
        <w:rPr>
          <w:sz w:val="20"/>
          <w:szCs w:val="20"/>
          <w:color w:val="auto"/>
        </w:rPr>
      </w:pPr>
    </w:p>
    <w:p>
      <w:pPr>
        <w:jc w:val="right"/>
        <w:ind w:right="260"/>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July 31, 2022</w:t>
      </w:r>
      <w:r>
        <w:rPr>
          <w:sz w:val="20"/>
          <w:szCs w:val="20"/>
          <w:color w:val="auto"/>
        </w:rPr>
        <w:tab/>
      </w:r>
      <w:r>
        <w:rPr>
          <w:rFonts w:ascii="Times New Roman" w:cs="Times New Roman" w:eastAsia="Times New Roman" w:hAnsi="Times New Roman"/>
          <w:sz w:val="12"/>
          <w:szCs w:val="12"/>
          <w:b w:val="1"/>
          <w:bCs w:val="1"/>
          <w:color w:val="auto"/>
        </w:rPr>
        <w:t>January 31, 2022</w:t>
      </w:r>
    </w:p>
    <w:p>
      <w:pPr>
        <w:sectPr>
          <w:pgSz w:w="11900" w:h="16838" w:orient="portrait"/>
          <w:cols w:equalWidth="0" w:num="1">
            <w:col w:w="11240"/>
          </w:cols>
          <w:pgMar w:left="320" w:top="130" w:right="339" w:bottom="1440" w:gutter="0" w:footer="0" w:header="0"/>
        </w:sectPr>
      </w:pP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2"/>
          <w:szCs w:val="12"/>
          <w:color w:val="auto"/>
        </w:rPr>
        <w:t>$</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$4,960 and $4,966 as of July 31, 2022 and January 31, 2022,</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respectively</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Goodwill</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Acquired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Other accrued liabilities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liability,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Convertible senior notes, net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7)</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right="140" w:hanging="120"/>
        <w:spacing w:after="0" w:line="271" w:lineRule="auto"/>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July 31, 2022 and January 31, 2022; 68,785,903 shares issued and 68,686,532 shares outstanding as of July 31, 2022; 67,543,731 shares issued and 67,444,360 shares outstanding as of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Treasury stock, 99,371 shares (repurchased at an average of $13.27 per share) as of July 31, 2022 and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96"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liabilities and stockholders’ equity</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651,420</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473,904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1,144,192</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1,352,019</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213,267</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195,383</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72,069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63,523</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27,566</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32,573</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2,108,514</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2,117,402</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61,604</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46,418</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57,779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57,775</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16,018</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20,608</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2,163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159,102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147,494</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2,451,598</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2,449,588</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7,303</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83,806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112,568</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9,163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73,916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48,848</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350,709</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352,001</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524,897</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526,735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40,437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38,707</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24,462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23,179</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1,138,200</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1,136,521</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55,339</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57,665</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1,783,430</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1,782,888</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-7620</wp:posOffset>
            </wp:positionV>
            <wp:extent cx="9258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-2056765</wp:posOffset>
            </wp:positionV>
            <wp:extent cx="925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-3256915</wp:posOffset>
            </wp:positionV>
            <wp:extent cx="925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0"/>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2,059,405</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1,860,514</w:t>
            </w:r>
          </w:p>
        </w:tc>
        <w:tc>
          <w:tcPr>
            <w:tcW w:w="0" w:type="dxa"/>
            <w:vAlign w:val="bottom"/>
          </w:tcPr>
          <w:p>
            <w:pPr>
              <w:spacing w:after="0"/>
              <w:rPr>
                <w:sz w:val="1"/>
                <w:szCs w:val="1"/>
                <w:color w:val="auto"/>
              </w:rPr>
            </w:pPr>
          </w:p>
        </w:tc>
      </w:tr>
      <w:tr>
        <w:trPr>
          <w:trHeight w:val="23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(1,319)</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3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(4,194)</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243"/>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7"/>
              </w:rPr>
              <w:t>(1,385,793)</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(1,189,634)</w:t>
            </w: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668,168</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666,700</w:t>
            </w:r>
          </w:p>
        </w:tc>
        <w:tc>
          <w:tcPr>
            <w:tcW w:w="0" w:type="dxa"/>
            <w:vAlign w:val="bottom"/>
          </w:tcPr>
          <w:p>
            <w:pPr>
              <w:spacing w:after="0"/>
              <w:rPr>
                <w:sz w:val="1"/>
                <w:szCs w:val="1"/>
                <w:color w:val="auto"/>
              </w:rPr>
            </w:pPr>
          </w:p>
        </w:tc>
      </w:tr>
      <w:tr>
        <w:trPr>
          <w:trHeight w:val="24"/>
        </w:trPr>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2,451,598</w:t>
            </w: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0" w:type="dxa"/>
            <w:vAlign w:val="bottom"/>
            <w:vMerge w:val="continue"/>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2,449,588</w:t>
            </w: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-33655</wp:posOffset>
            </wp:positionV>
            <wp:extent cx="925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-8255</wp:posOffset>
            </wp:positionV>
            <wp:extent cx="925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-179705</wp:posOffset>
            </wp:positionV>
            <wp:extent cx="9258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680"/>
            <w:col w:w="2260"/>
          </w:cols>
          <w:pgMar w:left="320" w:top="130" w:right="339"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37"/>
        </w:trPr>
        <w:tc>
          <w:tcPr>
            <w:tcW w:w="50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191,381</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566,188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365,951</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589,107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380,395</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96,357</w:t>
            </w:r>
          </w:p>
        </w:tc>
        <w:tc>
          <w:tcPr>
            <w:tcW w:w="0" w:type="dxa"/>
            <w:vAlign w:val="bottom"/>
          </w:tcPr>
          <w:p>
            <w:pPr>
              <w:spacing w:after="0"/>
              <w:rPr>
                <w:sz w:val="1"/>
                <w:szCs w:val="1"/>
                <w:color w:val="auto"/>
              </w:rPr>
            </w:pPr>
          </w:p>
        </w:tc>
      </w:tr>
      <w:tr>
        <w:trPr>
          <w:trHeight w:val="284"/>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115,230</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265,165</w:t>
            </w:r>
          </w:p>
        </w:tc>
        <w:tc>
          <w:tcPr>
            <w:tcW w:w="0" w:type="dxa"/>
            <w:vAlign w:val="bottom"/>
          </w:tcPr>
          <w:p>
            <w:pPr>
              <w:spacing w:after="0"/>
              <w:rPr>
                <w:sz w:val="1"/>
                <w:szCs w:val="1"/>
                <w:color w:val="auto"/>
              </w:rPr>
            </w:pPr>
          </w:p>
        </w:tc>
      </w:tr>
      <w:tr>
        <w:trPr>
          <w:trHeight w:val="229"/>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207,267</w:t>
            </w: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137,147</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613,398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399,142</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(133,977)</w:t>
            </w:r>
          </w:p>
        </w:tc>
        <w:tc>
          <w:tcPr>
            <w:tcW w:w="0" w:type="dxa"/>
            <w:vAlign w:val="bottom"/>
          </w:tcPr>
          <w:p>
            <w:pPr>
              <w:spacing w:after="0"/>
              <w:rPr>
                <w:sz w:val="1"/>
                <w:szCs w:val="1"/>
                <w:color w:val="auto"/>
              </w:rPr>
            </w:pPr>
          </w:p>
        </w:tc>
      </w:tr>
      <w:tr>
        <w:trPr>
          <w:trHeight w:val="229"/>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84"/>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50"/>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(140,963)</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64"/>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(141,125)</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68,334,464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63,426,694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68,025,687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62,411,295</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8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(141,125)</w:t>
            </w: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83"/>
        </w:trPr>
        <w:tc>
          <w:tcPr>
            <w:tcW w:w="5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64"/>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63"/>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(197,425)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(140,701)</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900" w:type="dxa"/>
            <w:vAlign w:val="bottom"/>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3"/>
        </w:trPr>
        <w:tc>
          <w:tcPr>
            <w:tcW w:w="3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3320" w:type="dxa"/>
            <w:vAlign w:val="bottom"/>
          </w:tcPr>
          <w:p>
            <w:pPr>
              <w:spacing w:after="0"/>
              <w:rPr>
                <w:sz w:val="2"/>
                <w:szCs w:val="2"/>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4"/>
                <w:szCs w:val="14"/>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6"/>
        </w:trPr>
        <w:tc>
          <w:tcPr>
            <w:tcW w:w="33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67,444,360</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1,860,514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(1,189,634)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666,700</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235,517</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April 30,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68,061,063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1,945,737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(1,266,928)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672,879</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163,986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388,483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Plan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72,982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(118,865)</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July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68,686,532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2,059,405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(1,385,793)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668,168</w:t>
            </w:r>
          </w:p>
        </w:tc>
        <w:tc>
          <w:tcPr>
            <w:tcW w:w="0" w:type="dxa"/>
            <w:vAlign w:val="bottom"/>
          </w:tcPr>
          <w:p>
            <w:pPr>
              <w:spacing w:after="0"/>
              <w:rPr>
                <w:sz w:val="1"/>
                <w:szCs w:val="1"/>
                <w:color w:val="auto"/>
              </w:rPr>
            </w:pPr>
          </w:p>
        </w:tc>
      </w:tr>
      <w:tr>
        <w:trPr>
          <w:trHeight w:val="23"/>
        </w:trPr>
        <w:tc>
          <w:tcPr>
            <w:tcW w:w="3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3320" w:type="dxa"/>
        <w:tblCellMar>
          <w:top w:w="0" w:type="dxa"/>
          <w:left w:w="0" w:type="dxa"/>
          <w:bottom w:w="0" w:type="dxa"/>
          <w:right w:w="0" w:type="dxa"/>
        </w:tblCellMar>
      </w:tblPr>
      <w:tr>
        <w:trPr>
          <w:trHeight w:val="166"/>
        </w:trPr>
        <w:tc>
          <w:tcPr>
            <w:tcW w:w="214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43"/>
        </w:trPr>
        <w:tc>
          <w:tcPr>
            <w:tcW w:w="1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January 31, 2021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60,898,451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as of April 30, 2021</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62,096,273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as of July 31, 2021</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66,130,589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-2873375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-2581910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-2290445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-1998980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-1124585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-833120</wp:posOffset>
            </wp:positionV>
            <wp:extent cx="71323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-1707515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932,332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(935,403)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0" w:type="dxa"/>
            <w:vAlign w:val="bottom"/>
          </w:tcPr>
          <w:p>
            <w:pPr>
              <w:spacing w:after="0"/>
              <w:rPr>
                <w:sz w:val="1"/>
                <w:szCs w:val="1"/>
                <w:color w:val="auto"/>
              </w:rPr>
            </w:pPr>
          </w:p>
        </w:tc>
      </w:tr>
      <w:tr>
        <w:trPr>
          <w:trHeight w:val="229"/>
        </w:trPr>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(309,381)</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(256,746)</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3,539</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50,914</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50,914</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2,999</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(63,992)</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680,413</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(946,760)</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(268,364)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2,206</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57,705</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57,705</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56,682</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56,683</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889,181</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889,184</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12,963</w:t>
            </w:r>
          </w:p>
        </w:tc>
        <w:tc>
          <w:tcPr>
            <w:tcW w:w="24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12,963</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(77,133)</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1,699,150</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(1,023,893)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260"/>
            <w:col w:w="5320"/>
          </w:cols>
          <w:pgMar w:left="320" w:top="130"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July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(196,159)</w:t>
            </w:r>
          </w:p>
        </w:tc>
        <w:tc>
          <w:tcPr>
            <w:tcW w:w="100" w:type="dxa"/>
            <w:vAlign w:val="bottom"/>
          </w:tcPr>
          <w:p>
            <w:pPr>
              <w:spacing w:after="0"/>
              <w:rPr>
                <w:sz w:val="16"/>
                <w:szCs w:val="16"/>
                <w:color w:val="auto"/>
              </w:rPr>
            </w:pPr>
          </w:p>
        </w:tc>
        <w:tc>
          <w:tcPr>
            <w:tcW w:w="700" w:type="dxa"/>
            <w:vAlign w:val="bottom"/>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(141,125)</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108,619</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finance right-of-use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operating right-of-use assets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discount on short-term investments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non-marketable securities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7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Unrealized foreign exchange (gain) loss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16,323</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(5,849)</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commissions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(16,456)</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long-term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0" w:type="dxa"/>
            <w:vAlign w:val="bottom"/>
          </w:tcPr>
          <w:p>
            <w:pPr>
              <w:spacing w:after="0"/>
              <w:rPr>
                <w:sz w:val="1"/>
                <w:szCs w:val="1"/>
                <w:color w:val="auto"/>
              </w:rPr>
            </w:pPr>
          </w:p>
        </w:tc>
      </w:tr>
      <w:tr>
        <w:trPr>
          <w:trHeight w:val="221"/>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0" w:type="dxa"/>
            <w:vAlign w:val="bottom"/>
          </w:tcPr>
          <w:p>
            <w:pPr>
              <w:spacing w:after="0"/>
              <w:rPr>
                <w:sz w:val="1"/>
                <w:szCs w:val="1"/>
                <w:color w:val="auto"/>
              </w:rPr>
            </w:pPr>
          </w:p>
        </w:tc>
      </w:tr>
      <w:tr>
        <w:trPr>
          <w:trHeight w:val="238"/>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liabilities, non-current</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4,068</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(33,097)</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(9,541)</w:t>
            </w:r>
          </w:p>
        </w:tc>
        <w:tc>
          <w:tcPr>
            <w:tcW w:w="0" w:type="dxa"/>
            <w:vAlign w:val="bottom"/>
          </w:tcPr>
          <w:p>
            <w:pPr>
              <w:spacing w:after="0"/>
              <w:rPr>
                <w:sz w:val="1"/>
                <w:szCs w:val="1"/>
                <w:color w:val="auto"/>
              </w:rPr>
            </w:pPr>
          </w:p>
        </w:tc>
      </w:tr>
      <w:tr>
        <w:trPr>
          <w:trHeight w:val="151"/>
        </w:trPr>
        <w:tc>
          <w:tcPr>
            <w:tcW w:w="778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 net of cash acquired</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Investment in non-marketable securities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0" w:type="dxa"/>
            <w:vAlign w:val="bottom"/>
          </w:tcPr>
          <w:p>
            <w:pPr>
              <w:spacing w:after="0"/>
              <w:rPr>
                <w:sz w:val="1"/>
                <w:szCs w:val="1"/>
                <w:color w:val="auto"/>
              </w:rPr>
            </w:pPr>
          </w:p>
        </w:tc>
      </w:tr>
      <w:tr>
        <w:trPr>
          <w:trHeight w:val="238"/>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(197,614)</w:t>
            </w:r>
          </w:p>
        </w:tc>
        <w:tc>
          <w:tcPr>
            <w:tcW w:w="1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(403,986)</w:t>
            </w: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196,115</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(136,923)</w:t>
            </w: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net of issuance costs</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889,564</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the issuance of common stock under the Employee Stock Purchase Plan</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12,963</w:t>
            </w: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Principal repayments of finance leases</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0" w:type="dxa"/>
            <w:vAlign w:val="bottom"/>
          </w:tcPr>
          <w:p>
            <w:pPr>
              <w:spacing w:after="0"/>
              <w:rPr>
                <w:sz w:val="1"/>
                <w:szCs w:val="1"/>
                <w:color w:val="auto"/>
              </w:rPr>
            </w:pPr>
          </w:p>
        </w:tc>
      </w:tr>
      <w:tr>
        <w:trPr>
          <w:trHeight w:val="223"/>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of convertible senior notes attributable to principal</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(27,594)</w:t>
            </w:r>
          </w:p>
        </w:tc>
        <w:tc>
          <w:tcPr>
            <w:tcW w:w="0" w:type="dxa"/>
            <w:vAlign w:val="bottom"/>
          </w:tcPr>
          <w:p>
            <w:pPr>
              <w:spacing w:after="0"/>
              <w:rPr>
                <w:sz w:val="1"/>
                <w:szCs w:val="1"/>
                <w:color w:val="auto"/>
              </w:rPr>
            </w:pPr>
          </w:p>
        </w:tc>
      </w:tr>
      <w:tr>
        <w:trPr>
          <w:trHeight w:val="189"/>
        </w:trPr>
        <w:tc>
          <w:tcPr>
            <w:tcW w:w="77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16,883</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878,263</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177,506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731,297</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474,420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430,222</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651,926</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1,161,519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Cash paid during the period for:</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Income taxes, net of refunds</w:t>
            </w: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100" w:type="dxa"/>
            <w:vAlign w:val="bottom"/>
          </w:tcPr>
          <w:p>
            <w:pPr>
              <w:spacing w:after="0"/>
              <w:rPr>
                <w:sz w:val="19"/>
                <w:szCs w:val="19"/>
                <w:color w:val="auto"/>
              </w:rPr>
            </w:pPr>
          </w:p>
        </w:tc>
        <w:tc>
          <w:tcPr>
            <w:tcW w:w="700" w:type="dxa"/>
            <w:vAlign w:val="bottom"/>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Reconciliation of cash, cash equivalents and restricted cash within the condensed consolidated balance sheets, end of period, to the amounts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77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shown in the statements of cash flows above: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00" w:type="dxa"/>
            <w:vAlign w:val="bottom"/>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651,420</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1,160,996</w:t>
            </w:r>
          </w:p>
        </w:tc>
        <w:tc>
          <w:tcPr>
            <w:tcW w:w="0" w:type="dxa"/>
            <w:vAlign w:val="bottom"/>
          </w:tcPr>
          <w:p>
            <w:pPr>
              <w:spacing w:after="0"/>
              <w:rPr>
                <w:sz w:val="1"/>
                <w:szCs w:val="1"/>
                <w:color w:val="auto"/>
              </w:rPr>
            </w:pPr>
          </w:p>
        </w:tc>
      </w:tr>
      <w:tr>
        <w:trPr>
          <w:trHeight w:val="70"/>
        </w:trPr>
        <w:tc>
          <w:tcPr>
            <w:tcW w:w="778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0" w:type="dxa"/>
            <w:vAlign w:val="bottom"/>
          </w:tcPr>
          <w:p>
            <w:pPr>
              <w:spacing w:after="0"/>
              <w:rPr>
                <w:sz w:val="1"/>
                <w:szCs w:val="1"/>
                <w:color w:val="auto"/>
              </w:rPr>
            </w:pPr>
          </w:p>
        </w:tc>
      </w:tr>
      <w:tr>
        <w:trPr>
          <w:trHeight w:val="64"/>
        </w:trPr>
        <w:tc>
          <w:tcPr>
            <w:tcW w:w="77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651,926</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1,161,519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the Company’s platform at scale in the cloud, on-premise or in a hybrid environment. In addition to selling subscriptions to its software, the Company provides post-contract support, training and consulting services for its offerings. The Company’s fiscal year ends on January 31.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Basis of Presentation</w:t>
      </w:r>
    </w:p>
    <w:p>
      <w:pPr>
        <w:spacing w:after="0" w:line="17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July 31, 2022, the interim condensed consolidated statements of stockholders’ equity (deficit) for the three and six months ended July 31, 2022 and 2021, the interim condensed consolidated statements of operations and of comprehensive loss for the three and six months ended July 31, 2022 and 2021 and the interim condensed consolidated statements of cash flows for the six months ended July 31, 2022 and 2021 are unaudited. The interim unaudited condensed consolidated financial statements have been prepared on a basis consistent with the annual consolidated financial statements and, in the opinion of management, reflect all adjustments, which include only normal recurring adjustments, necessary to state fairly the Company’s financial position as of July 31, 2022, its statements of stockholders’ equity (deficit) as of July 31, 2022 and 2021, its results of operations and of comprehensive loss for the three and six months ended July 31, 2022 and 2021 and its statements of cash flows for the six months ended July 31, 2022 and 2021. The financial data and the other financial information disclosed in the notes to these interim condensed consolidated financial statements related to the three- and six-month periods are also unaudited. The results of operations for the three and six months ended July 31, 2022 are not necessarily indicative of the results to be expected for the fiscal year ending January 31, 2023 or for any other future year or interim period.</w:t>
      </w:r>
    </w:p>
    <w:p>
      <w:pPr>
        <w:spacing w:after="0" w:line="13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 Certain information and note disclosures normally included in the financial statements prepared in accordance with U.S. GAAP have been condensed or omitted pursuant to the applicable rules and regulations of the Securities and Exchange Commission. The condensed balance sheet data as of January 31, 2022 was derived from the Company’s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2022 (the “2022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Use of Estimates</w:t>
      </w:r>
    </w:p>
    <w:p>
      <w:pPr>
        <w:spacing w:after="0" w:line="17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3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ongoing COVID-19 pandemic and global macroeconomic conditions, including rising interest rates and inflation, continue to impact demand and supply for a broad variety of goods and services, including demand from the Company’s customers, while also disrupting sales channels and marketing activities for an unknown period of time.</w:t>
      </w:r>
    </w:p>
    <w:p>
      <w:pPr>
        <w:spacing w:after="0" w:line="12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Significant Accounting Policies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the Company’s 2022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2022 and January 31, 2022 and indicate the fair value hierarchy of the valuation inputs utilized to determine such fair value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July 31, 2022</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520,528</w:t>
            </w: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4"/>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1,144,192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1,144,192</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1,664,720</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1,664,720</w:t>
            </w: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0"/>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January 31, 2022</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331,221</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1,352,019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1,352,019</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1,683,240</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1,683,240</w:t>
            </w:r>
          </w:p>
        </w:tc>
      </w:tr>
      <w:tr>
        <w:trPr>
          <w:trHeight w:val="21"/>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Company utilized the market approach and Level 1 valuation inputs to value its money market mutual funds and U.S. government treasury securities because published net asset values were readily available. The contractual maturity of all marketable securities was less than one year as of July 31, 2022 and January 31, 2022. As of July 31, 2022, unrealized losses on our U.S. government treasury securities were approximately $4.6 million. The increase in market interest rates as of July 31, 2022 has resulted in unrealized losses on these securities. The Company intends to hold these securities to maturity and, as a result, does not expect to realize these losses in its financial statements. The Company concluded that an allowance for credit losses was unnecessary for short-term investments as of July 31, 2022. Gross realized gains and losses were not material for each of the three- and six-month periods ended July 31, 2022 and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Convertible Senior Notes</w:t>
      </w:r>
    </w:p>
    <w:p>
      <w:pPr>
        <w:spacing w:after="0" w:line="17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measures the fair value of its outstanding convertible senior notes on a quarterly basis for disclosure purposes. The Company considers the fair value of its convertible senior notes at July 31, 2022 to be a Level 2 measurement due to limited trading activity of the convertible senior notes.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further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Non-marketable Securities</w:t>
      </w:r>
    </w:p>
    <w:p>
      <w:pPr>
        <w:spacing w:after="0" w:line="173" w:lineRule="exact"/>
        <w:rPr>
          <w:sz w:val="20"/>
          <w:szCs w:val="20"/>
          <w:color w:val="auto"/>
        </w:rPr>
      </w:pPr>
    </w:p>
    <w:p>
      <w:pPr>
        <w:ind w:right="60" w:firstLine="486"/>
        <w:spacing w:after="0" w:line="281" w:lineRule="auto"/>
        <w:rPr>
          <w:sz w:val="20"/>
          <w:szCs w:val="20"/>
          <w:color w:val="auto"/>
        </w:rPr>
      </w:pPr>
      <w:r>
        <w:rPr>
          <w:rFonts w:ascii="Times New Roman" w:cs="Times New Roman" w:eastAsia="Times New Roman" w:hAnsi="Times New Roman"/>
          <w:sz w:val="17"/>
          <w:szCs w:val="17"/>
          <w:color w:val="auto"/>
        </w:rPr>
        <w:t>As of July 31, 2022 and January 31, 2022, the total amount of non-marketable equity and debt securities included in other assets on the Company’s condensed consolidated balance sheets were $7.7 million and $4.8 million, respectively. During the six months ended July 31, 2022, the Company invested an additional $1.1 million of its cash in non-marketable equity securities. In addition, the Company recognized a gain on certain of these non-marketable securities of $1.7 million during the six months ended July 31, 2022. No gain or loss was recognized for the three and six months ended July 31, 2021.</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Refer to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in the Notes to Consolidated Financial Statements included in Part II, Item 8 of the Company’s 2022 Form 10-K for further information. The Company considers these assets as Level 3 within the fair value hierarchy.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75"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goodwill carrying amounts during the six months ended July 31, 2022. The gross carrying amounts and accumulated amortization of the Company’s intangible assets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Amortization expense of intangible assets was $2.3 million and $4.6 million for the three and six months ended July 31, 2022, respectively, and $2.3 million and $4.5 million for the three and six months ended July 31, 2021, respectively. Amortization expense for developed technology was included as research and development expense in the Company’s condensed consolidated statements of operations. Amortization expense for customer relationships was included as sales and marketing expense in the Company’s interim unaudited condensed consolidated statements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July 31, 2022, future amortization expense related to the intangible assets is as follows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January 31,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16,018</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amounts of the Company’s convertible notes were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40" w:type="dxa"/>
            <w:vAlign w:val="bottom"/>
          </w:tcPr>
          <w:p>
            <w:pPr>
              <w:spacing w:after="0"/>
              <w:rPr>
                <w:sz w:val="16"/>
                <w:szCs w:val="16"/>
                <w:color w:val="auto"/>
              </w:rPr>
            </w:pPr>
          </w:p>
        </w:tc>
        <w:tc>
          <w:tcPr>
            <w:tcW w:w="15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23"/>
        </w:trPr>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74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 Notes</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1,149,982</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1,149,988</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w:t>
            </w:r>
          </w:p>
        </w:tc>
      </w:tr>
      <w:tr>
        <w:trPr>
          <w:trHeight w:val="223"/>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1,138,200</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1,136,521</w:t>
            </w:r>
          </w:p>
        </w:tc>
      </w:tr>
      <w:tr>
        <w:trPr>
          <w:trHeight w:val="21"/>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40" w:firstLine="486"/>
        <w:spacing w:after="0" w:line="289" w:lineRule="auto"/>
        <w:rPr>
          <w:sz w:val="20"/>
          <w:szCs w:val="20"/>
          <w:color w:val="auto"/>
        </w:rPr>
      </w:pPr>
      <w:r>
        <w:rPr>
          <w:rFonts w:ascii="Times New Roman" w:cs="Times New Roman" w:eastAsia="Times New Roman" w:hAnsi="Times New Roman"/>
          <w:sz w:val="17"/>
          <w:szCs w:val="17"/>
          <w:color w:val="auto"/>
        </w:rPr>
        <w:t>As of July 31, 2022, the estimated fair value (Level 2) of the outstanding 2026 Notes (as defined herein), which is utilized solely for disclosure purposes, was approximately $1.8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0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31"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2022 Form 10-K for further information on the 2026 Notes.</w:t>
      </w:r>
    </w:p>
    <w:p>
      <w:pPr>
        <w:spacing w:after="0" w:line="10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2022, the conditional conversion feature of the 2026 Notes was triggered as the last reported sale price of the Company's common stock was more than or equal to 130% of the conversion price for at least 20 trading days in the period of 30 consecutive trading days ending on July 31, 2022 (the last trading day of the fiscal quarter) and therefore the 2026 Notes are currently convertible, in whole or in part, at the option of the holders from August 1, 2022 through October 31, 2022. Whether the 2026 Notes will be convertible following such period will depend on the continued satisfaction of this condition or another conversion condition in the future.</w:t>
      </w:r>
    </w:p>
    <w:p>
      <w:pPr>
        <w:spacing w:after="0" w:line="1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July 31, 2022, certain holders elected to redeem an immaterial aggregate principal amount of the 2026 Notes. The Company elected to settle the redemption through the issuance of common stock. The Company may elect to repay the 2026 Notes in cash, shares of the Company’s common stock or a combination of both cash and shares with respect to future conversions of the 2026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2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its Capped Calls through July 31, 2022.</w:t>
      </w:r>
    </w:p>
    <w:p>
      <w:pPr>
        <w:spacing w:after="0" w:line="120"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2022 Form 10-K for further information on the Capped Calls and the 2024 Notes.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2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entered into a new agreement to lease office space in Gurgaon, India for a term of five years with total estimated aggregate base rent payments of $7.0 million. This lease commenced and payments began in April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Lease Costs</w:t>
      </w:r>
    </w:p>
    <w:p>
      <w:pPr>
        <w:spacing w:after="0" w:line="17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the Company’s lease costs included in its interim unaudited condensed consolidated statement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6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w:t>
            </w:r>
          </w:p>
        </w:tc>
      </w:tr>
      <w:tr>
        <w:trPr>
          <w:trHeight w:val="21"/>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Balance Sheet Components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the Company’s finance and operating leases were recorded on the condensed consolidated balance sheet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23"/>
        </w:trPr>
        <w:tc>
          <w:tcPr>
            <w:tcW w:w="6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49,173</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41,745</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Supplemental Information</w:t>
      </w:r>
    </w:p>
    <w:p>
      <w:pPr>
        <w:spacing w:after="0" w:line="17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related to the Company’s finance and operating leases (in thousands, except weighted-average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16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1,621</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3,626</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18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2,415</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12,073</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as of period end (in years):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Maturities of Lease Liabilities</w:t>
      </w:r>
    </w:p>
    <w:p>
      <w:pPr>
        <w:spacing w:after="0" w:line="17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July 31, 2022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Remainder of 2023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30"/>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84"/>
        </w:trPr>
        <w:tc>
          <w:tcPr>
            <w:tcW w:w="7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58,183</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Non-cancelable Material Commitments</w:t>
      </w:r>
    </w:p>
    <w:p>
      <w:pPr>
        <w:spacing w:after="0" w:line="171"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During the six months ended July 31, 2022, other than certain non-cancelable operating leases described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material changes outside the ordinary course of business to the Company’s contractual obligations and commitments from those disclosed in the 2022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Legal Matters</w:t>
      </w:r>
    </w:p>
    <w:p>
      <w:pPr>
        <w:spacing w:after="0" w:line="173"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the Company has become involved in claims, litigation and other legal matters arising in the ordinary course of business, including intellectual property claims, labor and employment claims and breach of contract claims. For example, on March 12, 2019, Realtime Data LLC (“Realtime”) filed a lawsuit against the Company in the United States District Court for the District of Delaware alleging that the Company is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the Company on May 18, 2021, and the Company moved to dismiss that amended complaint on June 29, 2021. On August 23, 2021, the District Court granted the Company's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has not yet been scheduled.</w:t>
      </w:r>
    </w:p>
    <w:p>
      <w:pPr>
        <w:spacing w:after="0" w:line="14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investigates all claims, litigation and other legal matters as they arise. Although claims and litigation are inherently unpredictable, as of July 31, 2022 and January 31, 2022,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Indemnification</w:t>
      </w:r>
    </w:p>
    <w:p>
      <w:pPr>
        <w:spacing w:after="0" w:line="173"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7"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Disaggregation of Revenue</w:t>
      </w:r>
    </w:p>
    <w:p>
      <w:pPr>
        <w:spacing w:after="0" w:line="173" w:lineRule="exact"/>
        <w:rPr>
          <w:sz w:val="20"/>
          <w:szCs w:val="20"/>
          <w:color w:val="auto"/>
        </w:rPr>
      </w:pPr>
    </w:p>
    <w:p>
      <w:pPr>
        <w:ind w:right="260" w:firstLine="486"/>
        <w:spacing w:after="0" w:line="277" w:lineRule="auto"/>
        <w:rPr>
          <w:sz w:val="20"/>
          <w:szCs w:val="20"/>
          <w:color w:val="auto"/>
        </w:rPr>
      </w:pPr>
      <w:r>
        <w:rPr>
          <w:rFonts w:ascii="Times New Roman" w:cs="Times New Roman" w:eastAsia="Times New Roman" w:hAnsi="Times New Roman"/>
          <w:sz w:val="17"/>
          <w:szCs w:val="17"/>
          <w:color w:val="auto"/>
        </w:rPr>
        <w:t>Based on the information provided to and reviewed by the Company’s Chief Executive Officer (“CEO”),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primary geographical markets, subscription product categories and services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185,796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120,827</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359,852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230,303</w:t>
            </w:r>
          </w:p>
        </w:tc>
      </w:tr>
      <w:tr>
        <w:trPr>
          <w:trHeight w:val="27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112,307</w:t>
            </w:r>
          </w:p>
        </w:tc>
      </w:tr>
      <w:tr>
        <w:trPr>
          <w:trHeight w:val="283"/>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37,785</w:t>
            </w:r>
          </w:p>
        </w:tc>
      </w:tr>
      <w:tr>
        <w:trPr>
          <w:trHeight w:val="288"/>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380,395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MongoDB Atlas-related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193,354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111,756</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363,349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205,267</w:t>
            </w:r>
          </w:p>
        </w:tc>
      </w:tr>
      <w:tr>
        <w:trPr>
          <w:trHeight w:val="27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subscription</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160,684</w:t>
            </w:r>
          </w:p>
        </w:tc>
      </w:tr>
      <w:tr>
        <w:trPr>
          <w:trHeight w:val="283"/>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w:t>
            </w:r>
          </w:p>
        </w:tc>
      </w:tr>
      <w:tr>
        <w:trPr>
          <w:trHeight w:val="288"/>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380,395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Customers located in the United States accounted for 55% of total revenue for both the three and six months ended July 31, 2022 and 54% of total revenue for both the three and six months ended July 31, 2021. No other country accounted for 10% or more of revenue for the periods presented.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Contract Liabilities</w:t>
      </w:r>
    </w:p>
    <w:p>
      <w:pPr>
        <w:spacing w:after="0" w:line="17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are recorded as deferred revenue in the Company’s condensed consolidated balance sheet and consist of customer invoices issued or payments received in advance of revenues being recognized from the Company’s subscription and services contracts. Deferred revenue, including current and non-current balances, was $375.2 million for each of July 31, 2022 and January 31, 2022. Approximately 36% of the total revenue recognized for each of the six months ended July 31, 2022 and 2021 was from deferred revenue at the beginning of each respective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Remaining Performance Obligations</w:t>
      </w:r>
    </w:p>
    <w:p>
      <w:pPr>
        <w:spacing w:after="0" w:line="17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July 31, 2022, the aggregate transaction price allocated to remaining performance obligations was $400.2 million. Approximately 62%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Unbilled Receivables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July 31, 2022 and January 31, 2022, unbilled receivables were $7.5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Allowance for Doubtful Accounts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r>
      <w:tr>
        <w:trPr>
          <w:trHeight w:val="23"/>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shd w:val="clear" w:color="auto" w:fill="CCEEFF"/>
          </w:tcPr>
          <w:p>
            <w:pPr>
              <w:jc w:val="center"/>
              <w:ind w:left="2734"/>
              <w:spacing w:after="0"/>
              <w:rPr>
                <w:sz w:val="20"/>
                <w:szCs w:val="20"/>
                <w:color w:val="auto"/>
              </w:rPr>
            </w:pPr>
            <w:r>
              <w:rPr>
                <w:rFonts w:ascii="Times New Roman" w:cs="Times New Roman" w:eastAsia="Times New Roman" w:hAnsi="Times New Roman"/>
                <w:sz w:val="18"/>
                <w:szCs w:val="18"/>
                <w:color w:val="auto"/>
                <w:w w:val="98"/>
              </w:rPr>
              <w:t>4,966</w:t>
            </w: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Times New Roman" w:cs="Times New Roman" w:eastAsia="Times New Roman" w:hAnsi="Times New Roman"/>
                <w:sz w:val="18"/>
                <w:szCs w:val="18"/>
                <w:color w:val="auto"/>
                <w:w w:val="98"/>
              </w:rPr>
              <w:t>2,471</w:t>
            </w: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Times New Roman" w:cs="Times New Roman" w:eastAsia="Times New Roman" w:hAnsi="Times New Roman"/>
                <w:sz w:val="18"/>
                <w:szCs w:val="18"/>
                <w:color w:val="auto"/>
              </w:rPr>
              <w:t>(2,477)</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tcBorders>
              <w:bottom w:val="single" w:sz="8" w:color="auto"/>
            </w:tcBorders>
          </w:tcPr>
          <w:p>
            <w:pPr>
              <w:jc w:val="center"/>
              <w:ind w:left="2734"/>
              <w:spacing w:after="0"/>
              <w:rPr>
                <w:sz w:val="20"/>
                <w:szCs w:val="20"/>
                <w:color w:val="auto"/>
              </w:rPr>
            </w:pPr>
            <w:r>
              <w:rPr>
                <w:rFonts w:ascii="Times New Roman" w:cs="Times New Roman" w:eastAsia="Times New Roman" w:hAnsi="Times New Roman"/>
                <w:sz w:val="18"/>
                <w:szCs w:val="18"/>
                <w:color w:val="auto"/>
                <w:w w:val="98"/>
              </w:rPr>
              <w:t>4,960</w:t>
            </w:r>
          </w:p>
        </w:tc>
      </w:tr>
      <w:tr>
        <w:trPr>
          <w:trHeight w:val="21"/>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Costs Capitalized to Obtain Contracts with Customers</w:t>
      </w:r>
    </w:p>
    <w:p>
      <w:pPr>
        <w:spacing w:after="0" w:line="173"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Deferred commissions were $219.9 million and $203.3 million as of July 31, 2022 and January 31, 2022, respectively. Amortization expense with respect to deferred commissions, which is included in sales and marketing expense in the Company’s interim unaudited condensed consolidated statement of operations, was $18.9 million and $36.5 million for the three and six months ended July 31, 2022, respectively, and $10.5 million and $20.2 million for the three and six months ended July 31, 2021, respectively. There was no impairment loss in relation to the costs capitalized for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Plans and Employee Stock Purchase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2008 Stock Incentive Plan and 2016 Equity Incentive Plan</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 Options</w:t>
      </w:r>
    </w:p>
    <w:p>
      <w:pPr>
        <w:spacing w:after="0" w:line="17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incentive stock options to employees and non-statutory stock options to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six months ended July 31, 2022.</w:t>
      </w:r>
    </w:p>
    <w:p>
      <w:pPr>
        <w:spacing w:after="0" w:line="126"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July 31, 2022 (in thousands, except share and per share data and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6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4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400" w:type="dxa"/>
            <w:vAlign w:val="bottom"/>
          </w:tcPr>
          <w:p>
            <w:pPr>
              <w:jc w:val="center"/>
              <w:ind w:left="288"/>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7"/>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 January 31, 2022</w:t>
            </w: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2,591,894</w:t>
            </w:r>
          </w:p>
        </w:tc>
        <w:tc>
          <w:tcPr>
            <w:tcW w:w="152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1,030,680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(399,503)</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 July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2,191,582</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668,474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Vested and exercisable - January 31,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2,591,894</w:t>
            </w:r>
          </w:p>
        </w:tc>
        <w:tc>
          <w:tcPr>
            <w:tcW w:w="1520" w:type="dxa"/>
            <w:vAlign w:val="bottom"/>
            <w:gridSpan w:val="2"/>
          </w:tcPr>
          <w:p>
            <w:pPr>
              <w:jc w:val="right"/>
              <w:ind w:right="12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1,030,680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exercisable - July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2,191,582</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668,474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Restricted Stock Units</w:t>
      </w:r>
    </w:p>
    <w:p>
      <w:pPr>
        <w:spacing w:after="0" w:line="173"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2016 Plan provides for the issuance of RSUs to employees, directors and consultants. RSUs granted to new employees generally vest over a period of four years with 25% vesting on the one-year anniversary of the vesting start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six months ended July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0" w:type="dxa"/>
            <w:vAlign w:val="bottom"/>
          </w:tcPr>
          <w:p>
            <w:pPr>
              <w:spacing w:after="0"/>
              <w:rPr>
                <w:sz w:val="1"/>
                <w:szCs w:val="1"/>
                <w:color w:val="auto"/>
              </w:rPr>
            </w:pPr>
          </w:p>
        </w:tc>
      </w:tr>
      <w:tr>
        <w:trPr>
          <w:trHeight w:val="37"/>
        </w:trPr>
        <w:tc>
          <w:tcPr>
            <w:tcW w:w="7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Unvested - January 31, 2022</w:t>
            </w: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July 31, 2022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3,576,782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Executive Performance Share Awards</w:t>
      </w:r>
    </w:p>
    <w:p>
      <w:pPr>
        <w:spacing w:after="0" w:line="17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During three months ended April 30, 2022, the Company created a long-term performance-based equity award program and granted performance share units (“PSUs”) to the Company’s CEO and certain other executives. The vesting of PSUs is conditioned upon the achievement of certain targets for the year ended January 31, 2023. Upon achievement of those conditions, 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the date of grant, the Company assumed a performance factor of 100, which would result in 74,823 PSUs to be issued, if fully vested.</w:t>
      </w:r>
    </w:p>
    <w:p>
      <w:pPr>
        <w:spacing w:after="0" w:line="133"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grant date fair value of these PSUs was $23.7 million at a performance factor of 100, which was determined by using the closing price of the Company’s stock at the date of grant. Compensation expense is being recognized over the requisite service period based on the probability of the performance conditions being satisfied using the accelerated attribution method.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2017 Employee Stock Purchase Plan</w:t>
      </w:r>
    </w:p>
    <w:p>
      <w:pPr>
        <w:spacing w:after="0" w:line="17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2022, the Company issued 72,982 shares of its common stock under the 2017 ESPP. The Company’s current offering period began June 16, 2022 and ends on December 15,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Stock-Based Compensation Expense</w:t>
      </w:r>
    </w:p>
    <w:p>
      <w:pPr>
        <w:spacing w:after="0" w:line="17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Company’s unaudited condensed consolidated statements of operations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revenue—subscription</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revenue—services</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70"/>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35,653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39,958</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40,642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w:t>
            </w:r>
          </w:p>
        </w:tc>
      </w:tr>
      <w:tr>
        <w:trPr>
          <w:trHeight w:val="283"/>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12,690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r>
      <w:tr>
        <w:trPr>
          <w:trHeight w:val="26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96,554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108,619</w:t>
            </w:r>
          </w:p>
        </w:tc>
      </w:tr>
      <w:tr>
        <w:trPr>
          <w:trHeight w:val="21"/>
        </w:trPr>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(118,865)</w:t>
            </w:r>
          </w:p>
        </w:tc>
        <w:tc>
          <w:tcPr>
            <w:tcW w:w="10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2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(196,159)</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(141,125)</w:t>
            </w:r>
          </w:p>
        </w:tc>
        <w:tc>
          <w:tcPr>
            <w:tcW w:w="0" w:type="dxa"/>
            <w:vAlign w:val="bottom"/>
          </w:tcPr>
          <w:p>
            <w:pPr>
              <w:spacing w:after="0"/>
              <w:rPr>
                <w:sz w:val="1"/>
                <w:szCs w:val="1"/>
                <w:color w:val="auto"/>
              </w:rPr>
            </w:pPr>
          </w:p>
        </w:tc>
      </w:tr>
      <w:tr>
        <w:trPr>
          <w:trHeight w:val="67"/>
        </w:trPr>
        <w:tc>
          <w:tcPr>
            <w:tcW w:w="53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68,334,464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63,426,694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68,025,687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62,411,295</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the 2026 Notes. The Company has not exercised any of its Capped Calls as of July 31, 2022.</w:t>
      </w:r>
    </w:p>
    <w:p>
      <w:pPr>
        <w:spacing w:after="0" w:line="12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1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88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2016 Equity Incentive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584,405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815,591</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602,856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866,849</w:t>
            </w:r>
          </w:p>
        </w:tc>
      </w:tr>
      <w:tr>
        <w:trPr>
          <w:trHeight w:val="270"/>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2008 Stock Incentive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1,666,919</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2,422,645</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1,751,927</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2,589,037</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3,851,114</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3,691,436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3,763,435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3,780,079</w:t>
            </w:r>
          </w:p>
        </w:tc>
      </w:tr>
      <w:tr>
        <w:trPr>
          <w:trHeight w:val="27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Unvested executive PSUs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81,557</w:t>
            </w:r>
          </w:p>
        </w:tc>
        <w:tc>
          <w:tcPr>
            <w:tcW w:w="10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81,557</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Early exercised stock options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70"/>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2024 Notes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120" w:type="dxa"/>
            <w:vAlign w:val="bottom"/>
          </w:tcPr>
          <w:p>
            <w:pPr>
              <w:spacing w:after="0"/>
              <w:rPr>
                <w:sz w:val="23"/>
                <w:szCs w:val="2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449,605</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2026 Notes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5,445,050</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5,445,121</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5,445,059</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5,445,128</w:t>
            </w:r>
          </w:p>
        </w:tc>
      </w:tr>
      <w:tr>
        <w:trPr>
          <w:trHeight w:val="223"/>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11,629,045</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12,402,306</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11,644,834</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13,130,903</w:t>
            </w:r>
          </w:p>
        </w:tc>
      </w:tr>
      <w:tr>
        <w:trPr>
          <w:trHeight w:val="20"/>
        </w:trPr>
        <w:tc>
          <w:tcPr>
            <w:tcW w:w="5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85"/>
        </w:trPr>
        <w:tc>
          <w:tcPr>
            <w:tcW w:w="5220" w:type="dxa"/>
            <w:vAlign w:val="bottom"/>
          </w:tcPr>
          <w:p>
            <w:pPr>
              <w:spacing w:after="0"/>
              <w:rPr>
                <w:sz w:val="24"/>
                <w:szCs w:val="24"/>
                <w:color w:val="auto"/>
              </w:rPr>
            </w:pPr>
          </w:p>
        </w:tc>
        <w:tc>
          <w:tcPr>
            <w:tcW w:w="146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5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Company recorded a provision for income taxes of $3.0 million and $4.2 million for the three and six months ended July 31, 2022, respectively, and a provision for income taxes of $1.5 million and $0.2 million for the three and six months ended July 31, 2021, respectively. The provision recorded during the three and six months ended July 31, 2022 was driven by the increase in global income and the associated foreign taxes as the Company continues its global expansion. The provision recorded during the three and six months ended July 31, 2021 was driven by the increase in global income and the associated foreign taxes as the Company continued its global expansion, partially offset by the second quarter release of the valuation allowance as a result of goodwill recorded associated with an immaterial business combination and the impact from the adoption of ASU 2020-06. The calculation of income taxes was based upon the estimated annual effective tax rates for the year applied to the jurisdictional mix of current period income (loss) before tax plus the tax effect of any significant unusual items, discrete events or changes in tax law.</w:t>
      </w:r>
    </w:p>
    <w:p>
      <w:pPr>
        <w:spacing w:after="0" w:line="138"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27"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assesses uncertain tax positions in accordance with ASC 740-10, </w:t>
      </w:r>
      <w:r>
        <w:rPr>
          <w:rFonts w:ascii="Times New Roman" w:cs="Times New Roman" w:eastAsia="Times New Roman" w:hAnsi="Times New Roman"/>
          <w:sz w:val="18"/>
          <w:szCs w:val="18"/>
          <w:i w:val="1"/>
          <w:iCs w:val="1"/>
          <w:color w:val="auto"/>
        </w:rPr>
        <w:t>Accounting for Uncertainties in Tax</w:t>
      </w:r>
      <w:r>
        <w:rPr>
          <w:rFonts w:ascii="Times New Roman" w:cs="Times New Roman" w:eastAsia="Times New Roman" w:hAnsi="Times New Roman"/>
          <w:sz w:val="18"/>
          <w:szCs w:val="18"/>
          <w:color w:val="auto"/>
        </w:rPr>
        <w:t>. As of January 31, 2022, the Company’s net unrecognized tax benefits totaled $22.7 million, which would have no impact on the Company’s effective tax rate if recognized.</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continues to monitor and interpret the impact of proposed and enacted global tax legislation, such as the U.S. Tax Cuts and Jobs Act of 2017 (“Tax Act”). To date, based on the net operating losses and full valuation allowances against the Company’s two most significant tax jurisdictions, the United States and Ireland, the impact of global enacted and proposed legislation has not had an impact on the tax provisions of the financial statements. The Company continues to monitor to ensure both the Company’s financial results and its related tax disclosures are in compliance with any tax legislation.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900" w:right="620" w:hanging="85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95"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2022 (the “2022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ongoing COVID-19 pandemic and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corporate website is located at </w:t>
      </w:r>
      <w:r>
        <w:rPr>
          <w:rFonts w:ascii="Times New Roman" w:cs="Times New Roman" w:eastAsia="Times New Roman" w:hAnsi="Times New Roman"/>
          <w:sz w:val="18"/>
          <w:szCs w:val="18"/>
          <w:i w:val="1"/>
          <w:iCs w:val="1"/>
          <w:color w:val="auto"/>
        </w:rPr>
        <w:t>www.mongodb.com</w:t>
      </w:r>
      <w:r>
        <w:rPr>
          <w:rFonts w:ascii="Times New Roman" w:cs="Times New Roman" w:eastAsia="Times New Roman" w:hAnsi="Times New Roman"/>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continue to redefine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 and our total headcount increased to 4,240 as of July 31, 2022, from 2,934 as of July 31, 2021.</w:t>
      </w:r>
    </w:p>
    <w:p>
      <w:pPr>
        <w:spacing w:after="0" w:line="14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subscriptions, which accounted for 96% of our total revenue for each of the three and six months ended July 31, 2022 and July 31, 2021.</w:t>
      </w:r>
    </w:p>
    <w:p>
      <w:pPr>
        <w:spacing w:after="0" w:line="10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MongoDB Atlas is our hosted multi-cloud database-as-a-service (“DBaaS”) offering that includes comprehensive infrastructure and management, which we run and manage in the cloud. During the three and six months ended July 31, 2022, MongoDB Atlas revenue represented 64% and 62%, respectively, as compared to 56% and 54% of our total revenue during the three and six months ended July 31, 2021, respectively, reflecting the continued growth of MongoDB Atlas since its introduction in June 2016. We have experienced strong growth in self-serve customers of MongoDB Atlas. These customers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108"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color w:val="auto"/>
        </w:rPr>
        <w:t>MongoDB Enterprise Advanced is our proprietary commercial database server offering for enterprise customers that can run in the cloud, on-premise or in a hybrid environment. MongoDB Enterprise Advanced revenue represented 28% and 31% of our subscription revenue for the three and six months ended July 31, 2022, respectively, and 36% and 38% of our subscription revenue for the three and six months ended July 31, 2021, respectively. 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114"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300 million times since February 2009 and over 100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3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also generate revenue from services, which consist primarily of fees associated with consulting and training services. Revenue from services accounted for 4% of our total revenue for each of the three and six months ended July 31, 2022 and July 31, 2021. We expect to continue to invest in our services organization as we believe it plays an important role in accelerating our customers’ realization of the benefits of our platform, which helps drive customer retention and expansion.</w:t>
      </w:r>
    </w:p>
    <w:p>
      <w:pPr>
        <w:spacing w:after="0" w:line="12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IDC, the worldwide database software market, which it refers to as the data management software market, is forecast to be approximately $85 billion in 2022 growing to approximately $138 billion in 2026, representing a 13% compound annual growth rate.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Ongoing COVID-19 Pandemic</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ongoing COVID-19 pandemic has continued to impact the United States (“U.S.”) and the world. The full extent of the impact of the ongoing COVID-19 pandemic on our future operational and financial performance will depend on certain developments, including the duration and spread of the outbreak and the impact of new variants of the virus that cause COVID-19; the public health measures taken by authorities and other entities to contain and treat COVID-19; the actions taken to effect a widespread, global roll-out of the available vaccines and the efficacy and durability of such vaccines; and the impact of the COVID-19 pandemic on the global economy and on our current and prospective customers, employees, vendors and other parties with whom we do business, all of which are uncertain and cannot be predicted.</w:t>
      </w:r>
    </w:p>
    <w:p>
      <w:pPr>
        <w:spacing w:after="0" w:line="13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2020, we adopted several measures in response to the COVID-19 pandemic, including temporarily requiring employees to work remotely, suspending non-essential travel by our employees, and replacing in-person marketing events (including our annual developer conference) with virtual events. In 2021, we began to re-open our offices in the United States and certain other locations globally for employees to voluntarily return. In April 2022 we moved forward with our return to office plan, which encompasses a hybrid approach to in-office attendance based on the different needs of teams across the company. Business travel resumed during 2021 on a voluntary basis and we started to hold in-person marketing events. During the three months ended July 31, 2022, we experienced an increase in business travel, in-person marketing events, and office-related costs. We expect these and other costs to increase during the year ended January 31, 2023 and result in higher charges compared to the prior year. We continue to monitor the developments of the COVID-19 pandemic and we may adjust our policies as may be required or recommended by federal, foreign, state or local authorities.</w:t>
      </w:r>
    </w:p>
    <w:p>
      <w:pPr>
        <w:spacing w:after="0" w:line="138"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also continue to evaluate the nature and extent of the impact of COVID-19 on our business. For further discussion of the potential impacts of the ongoing COVID-19 pandemic on our business, operating results, and financial condition, see</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section titled “Risk Factors” included in Part II, Item 1A of this Quarterly Report on Form 10-Q. Other factors affecting our performance are discussed below, although we caution you that the ongoing COVID-19 pandemic may also impact these factors.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Growing Our Customer Base and Expanding Our Global Reach</w:t>
      </w:r>
    </w:p>
    <w:p>
      <w:pPr>
        <w:spacing w:after="0" w:line="17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are intensely focused on continuing to grow our customer base. We have invested, and expect to continue to invest, heavily in our sales and marketing efforts and developer community outreach, which are critical to driving customer acquisition. As of July 31, 2022, we had over 37,000 customers across a wide range of industries and in over 100 countries, compared to over 29,000 customers as of July 31, 2021. All affiliated entities are counted as a single customer and our definition of “customer” excludes users of our free offerings.</w:t>
      </w:r>
    </w:p>
    <w:p>
      <w:pPr>
        <w:spacing w:after="0" w:line="12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of July 31, 2022, we had over 5,400 customers that were sold through our direct sales force and channel partners, as compared to over 3,600 such customers as of July 31, 2021. These customers, which we refer to as our Direct Sales Customers, accounted for 86% and 87% of our subscription revenue for the three and six months ended July 31, 2022, respectively, and 84% of our subscription revenue for both the three and six months ended July 31, 2021. The percentage of our subscription revenue from Direct Sales Customers increased during both the three and six months ended July 31, 2022,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35,500 MongoDB Atlas customers as of July 31, 2022 compared to over 27,500 as of July 31, 2021. The growth in MongoDB Atlas customers included new customers to MongoDB and existing MongoDB Enterprise Advanced customers adding incremental MongoDB Atlas workloads.</w:t>
      </w:r>
    </w:p>
    <w:p>
      <w:pPr>
        <w:spacing w:after="0" w:line="13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In an effort to expand our global reach, in October 2019, we announced a partnership with Alibaba Cloud to offer an authorized MongoDB-as-a-service solution allowing customers of Alibaba Cloud to use this managed offering from their data centers globally. We expanded our reach in China in February 2021 when we announced the launch of a global partnership with Tencent Cloud that allows customers to easily adopt and use MongoDB-as-a-Service across Tencent’s global cloud infrastructure.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Increasing Adoption of MongoDB Atlas</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MongoDB Atlas, our hosted multi-cloud offering, is an important part of our run-anywhere strategy. To accelerate the adoption of this database-as-a-service offering, we provide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available on all three major cloud providers (Amazon Web Services (“AWS”), Google Cloud Platform (“GCP”) and Microsoft Azure) in North America, Europe and Asia Pacific. In addition, MongoDB Atlas is available on AWS Marketplace, making it easier for AWS customers to buy and consume MongoDB Atlas. Our business partnership with GCP provides deeper product integration and unified billing for GCP customers who are also MongoDB Atlas customers and offers GCP customers a seamless integration between MongoDB Atlas and GCP. The availability of MongoDB Atlas on the Microsoft Azure Marketplace offers unified billing for joint customers of MongoDB Atlas and Microsoft and makes it easier for established Azure customers to purchase and use MongoDB Atlas.</w:t>
      </w:r>
    </w:p>
    <w:p>
      <w:pPr>
        <w:spacing w:after="0" w:line="13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also expanded the functionality available in MongoDB Atlas beyond that of our Community Server offering. We expect this will drive further adoption of MongoDB Atlas as companies migrate mission-critical applications to the public cloud. The enterprise capabilities that we have introduced to MongoDB Atlas include advanced security features, enterprise-standard authentication and database auditing. We have invested significantly in MongoDB Atlas and our ability to drive the adoption of MongoDB Atlas is a key component of our growth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Retaining and Expanding Revenue from Existing Customers</w:t>
      </w:r>
    </w:p>
    <w:p>
      <w:pPr>
        <w:spacing w:after="0" w:line="17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capacity, our customers increase their usage of our platform. Growth of an application is impacted by a number of factors including the macroeconomic environment. During the three and six months ended July 31, 2022, we believe we experienced a negative impact from the macroeconomic environment on the growth of existing applications, which affected our revenue growth. We expect the macroeconomic environment to continue to negatively impact our revenue growth for the remainder of the year.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Over time, the subscription amount for our typical Direct Sales Customer has increased.</w:t>
      </w:r>
    </w:p>
    <w:p>
      <w:pPr>
        <w:spacing w:after="0" w:line="13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The number of customers with $100,000 or greater in ARR and annualized MRR was 1,462 and 1,126 as of July 31, 2022 and 2021,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3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Revenue</w:t>
      </w:r>
    </w:p>
    <w:p>
      <w:pPr>
        <w:spacing w:after="0" w:line="171" w:lineRule="exact"/>
        <w:rPr>
          <w:sz w:val="20"/>
          <w:szCs w:val="20"/>
          <w:color w:val="auto"/>
        </w:rPr>
      </w:pPr>
    </w:p>
    <w:p>
      <w:pPr>
        <w:ind w:right="14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comprised of term licenses and hosted as-a-service solutions. Subscriptions to term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Revenue from our hosted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solutions is primarily generated on a usage basis and is billed either in arrears or paid upfront. The majority of our subscription contracts are one year in duration. When we enter into multi-year subscriptions, we typically invoice the customer on an annual basis. Our subscription contracts are generally non-cancelable and non-refundable.</w:t>
      </w:r>
    </w:p>
    <w:p>
      <w:pPr>
        <w:spacing w:after="0" w:line="144"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is comprised of consulting and training services and is recognized over the period of delivery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services agreements as services are delivered.</w:t>
      </w:r>
    </w:p>
    <w:p>
      <w:pPr>
        <w:spacing w:after="0" w:line="106" w:lineRule="exact"/>
        <w:rPr>
          <w:sz w:val="20"/>
          <w:szCs w:val="20"/>
          <w:color w:val="auto"/>
        </w:rPr>
      </w:pPr>
    </w:p>
    <w:p>
      <w:pPr>
        <w:ind w:right="140" w:firstLine="486"/>
        <w:spacing w:after="0" w:line="229" w:lineRule="exact"/>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for our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 of Revenue</w:t>
      </w:r>
    </w:p>
    <w:p>
      <w:pPr>
        <w:spacing w:after="0" w:line="158"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primarily includes third-party cloud infrastructure expenses for our hosted as-a-service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38" w:lineRule="exact"/>
        <w:rPr>
          <w:sz w:val="20"/>
          <w:szCs w:val="20"/>
          <w:color w:val="auto"/>
        </w:rPr>
      </w:pPr>
    </w:p>
    <w:p>
      <w:pPr>
        <w:ind w:right="360" w:firstLine="486"/>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primarily includes personnel costs, including salaries, bonuses and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revenue less cost of revenue.</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Expenses</w:t>
      </w:r>
    </w:p>
    <w:p>
      <w:pPr>
        <w:spacing w:after="0" w:line="17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20" w:lineRule="exact"/>
        <w:rPr>
          <w:sz w:val="20"/>
          <w:szCs w:val="20"/>
          <w:color w:val="auto"/>
        </w:rPr>
      </w:pPr>
    </w:p>
    <w:p>
      <w:pPr>
        <w:ind w:right="10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sales commission and benefits,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and developer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42" w:lineRule="exact"/>
        <w:rPr>
          <w:sz w:val="20"/>
          <w:szCs w:val="20"/>
          <w:color w:val="auto"/>
        </w:rPr>
      </w:pPr>
    </w:p>
    <w:p>
      <w:pPr>
        <w:ind w:right="140" w:firstLine="486"/>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42" w:lineRule="exact"/>
        <w:rPr>
          <w:sz w:val="20"/>
          <w:szCs w:val="20"/>
          <w:color w:val="auto"/>
        </w:rPr>
      </w:pPr>
    </w:p>
    <w:p>
      <w:pPr>
        <w:ind w:right="8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interest expense, gains and losses on investments and gains and losses from foreign currency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Provision for Income Taxes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primarily of state income taxes in the United States and income taxes in certain foreign jurisdictions in which we conduct business.</w:t>
      </w:r>
    </w:p>
    <w:p>
      <w:pPr>
        <w:spacing w:after="0" w:line="10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continue to monitor and interpret the impact of proposed and enacted global tax legislation, such as the U.S. Tax Cuts and Jobs Act of 2017 (“Tax Act”). To date, based on the net operating losses and full valuation allowances against our two most significant tax jurisdictions, the United States and Ireland, the impact of global enacted and proposed legislation has not had an impact on the tax provisions of the financial statements. We continue to monitor to ensure both our financial results and our related tax disclosures are in compliance with any tax legislation.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July 31, 2022 Summary</w:t>
      </w:r>
    </w:p>
    <w:p>
      <w:pPr>
        <w:spacing w:after="0" w:line="1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2022, our total revenue increased to $303.7 million as compared to $198.7 million for the three months ended July 31, 2021, primarily driven by an increase in subscription revenue from our Direct Sales Customers. Our net loss increased to $118.9 million for the three months ended July 31, 2022 as compared to $77.1 million for the three months ended July 31, 2021, as improvement in gross profit was offset by higher sales and marketing spend and research and development costs during the three months ended July 31, 2022.</w:t>
      </w:r>
    </w:p>
    <w:p>
      <w:pPr>
        <w:spacing w:after="0" w:line="12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the six months ended July 31, 2022, our total revenue increased to $589.1 million as compared to $380.4 million for the six months ended July 31, 2021, primarily driven by an increase in subscription revenue from our Direct Sales Customers. Our net loss increased to $196.2 million for the six months ended July 31, 2022 as compared to $141.1 million for the six months ended July 31, 2021, primarily driven by increased sales and marketing and research and development costs during the three months ended July 31, 2022.</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cash flow was $(33.1) million and $(9.5) million for the six months ended July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365,951</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w:t>
            </w:r>
          </w:p>
        </w:tc>
      </w:tr>
      <w:tr>
        <w:trPr>
          <w:trHeight w:val="250"/>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380,395</w:t>
            </w:r>
          </w:p>
        </w:tc>
      </w:tr>
      <w:tr>
        <w:trPr>
          <w:trHeight w:val="24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96,357</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18,873</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115,230</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265,165</w:t>
            </w:r>
          </w:p>
        </w:tc>
      </w:tr>
      <w:tr>
        <w:trPr>
          <w:trHeight w:val="23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207,267</w:t>
            </w: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137,147</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54,728</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330,226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613,398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399,142</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(133,977)</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(140,963)</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6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(141,125)</w:t>
            </w:r>
          </w:p>
        </w:tc>
      </w:tr>
      <w:tr>
        <w:trPr>
          <w:trHeight w:val="21"/>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48" w:lineRule="exact"/>
        <w:rPr>
          <w:sz w:val="20"/>
          <w:szCs w:val="20"/>
          <w:color w:val="auto"/>
        </w:rPr>
      </w:pPr>
    </w:p>
    <w:p>
      <w:pPr>
        <w:ind w:left="320" w:hanging="312"/>
        <w:spacing w:after="0" w:line="265" w:lineRule="exact"/>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 (unaudited,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w:t>
            </w:r>
          </w:p>
        </w:tc>
      </w:tr>
      <w:tr>
        <w:trPr>
          <w:trHeight w:val="2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39,958</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44,022</w:t>
            </w:r>
          </w:p>
        </w:tc>
      </w:tr>
      <w:tr>
        <w:trPr>
          <w:trHeight w:val="2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15,298</w:t>
            </w:r>
          </w:p>
        </w:tc>
      </w:tr>
      <w:tr>
        <w:trPr>
          <w:trHeight w:val="208"/>
        </w:trPr>
        <w:tc>
          <w:tcPr>
            <w:tcW w:w="512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108,619</w:t>
            </w:r>
          </w:p>
        </w:tc>
      </w:tr>
      <w:tr>
        <w:trPr>
          <w:trHeight w:val="22"/>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190"/>
        </w:trPr>
        <w:tc>
          <w:tcPr>
            <w:tcW w:w="32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16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3" w:lineRule="exact"/>
        <w:rPr>
          <w:sz w:val="20"/>
          <w:szCs w:val="20"/>
          <w:color w:val="auto"/>
        </w:rPr>
      </w:pPr>
    </w:p>
    <w:p>
      <w:pPr>
        <w:sectPr>
          <w:pgSz w:w="11900" w:h="16838" w:orient="portrait"/>
          <w:cols w:equalWidth="0" w:num="1">
            <w:col w:w="11240"/>
          </w:cols>
          <w:pgMar w:left="320" w:top="130"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revenue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cost of revenue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460" w:lineRule="auto"/>
        <w:rPr>
          <w:sz w:val="20"/>
          <w:szCs w:val="20"/>
          <w:color w:val="auto"/>
        </w:rPr>
      </w:pPr>
      <w:r>
        <w:rPr>
          <w:rFonts w:ascii="Times New Roman" w:cs="Times New Roman" w:eastAsia="Times New Roman" w:hAnsi="Times New Roman"/>
          <w:sz w:val="18"/>
          <w:szCs w:val="18"/>
          <w:b w:val="1"/>
          <w:bCs w:val="1"/>
          <w:color w:val="auto"/>
        </w:rPr>
        <w:t>Comparison of the Three Months Ended July 31, 2022 and 2021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100 %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499"/>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499"/>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8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63"/>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109 %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-3119755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-2451100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-1748155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-1430655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-728345</wp:posOffset>
            </wp:positionV>
            <wp:extent cx="7132320" cy="728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72898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-1079500</wp:posOffset>
            </wp:positionV>
            <wp:extent cx="71323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-2099945</wp:posOffset>
            </wp:positionV>
            <wp:extent cx="713232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-2767965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-3411220</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20" w:lineRule="exact"/>
        <w:rPr>
          <w:sz w:val="20"/>
          <w:szCs w:val="20"/>
          <w:color w:val="auto"/>
        </w:rPr>
      </w:pPr>
    </w:p>
    <w:p>
      <w:pPr>
        <w:sectPr>
          <w:pgSz w:w="11900" w:h="16838" w:orient="portrait"/>
          <w:cols w:equalWidth="0" w:num="2">
            <w:col w:w="5120" w:space="720"/>
            <w:col w:w="54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780" w:type="dxa"/>
            <w:vAlign w:val="bottom"/>
          </w:tcPr>
          <w:p>
            <w:pPr>
              <w:spacing w:after="0"/>
              <w:rPr>
                <w:sz w:val="17"/>
                <w:szCs w:val="17"/>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191,381</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100,226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83"/>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88"/>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198,747</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104,913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$100.2 million primarily due to an increase of $90.9 million from our Direct Sales Customers, inclusive of Direct Sales Customers who were self-serve customers of MongoDB Atlas in the prior-year period. The increase in services revenue was driven primarily by the increased delivery of consulting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71,435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50,955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84"/>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88,277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60,702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215,383</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138,045</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71 %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69 %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76 %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73 %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(40)%</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38" w:lineRule="exact"/>
        <w:rPr>
          <w:sz w:val="20"/>
          <w:szCs w:val="20"/>
          <w:color w:val="auto"/>
        </w:rPr>
      </w:pPr>
    </w:p>
    <w:p>
      <w:pPr>
        <w:ind w:right="60" w:firstLine="486"/>
        <w:spacing w:after="0" w:line="223"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$16.2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although we continue to realize efficiencies in our third-party cloud infrastructure costs as we scale MongoDB Atlas. In addition, subscription cost of revenue was higher due to a $3.1 million increase in personnel costs and stock-based compensation associated with increased headcount in our support organization. The increase in services cost of revenue was primarily due to a $4.3 million increase in personnel costs and stock-based compensation associated with increased headcount in our services organization, and a $1.4 million increase in costs driven by an increase in the volume of consulting and training services. Total headcount in our support and services organizations increased 38% from July 31, 2022 to July 31, 2021.</w:t>
      </w:r>
    </w:p>
    <w:p>
      <w:pPr>
        <w:spacing w:after="0" w:line="145"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increased to 71%. Our subscription gross margin benefited from efficiencies realized in managing our third-party cloud infrastructure costs, offset by the negative impact from the increasing percentage of revenue from MongoDB Atlas. The impact of higher services personnel costs and stock based compensation and lower utilization rate resulted in a lower services 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increase in sales and marketing expense included $38.1 million from higher personnel costs and stock-based compensation, driven by an increase in our sales and marketing headcount to 2,159 as of July 31, 2022 from 1,380 as of July 31, 2021, which includes non-quota-carrying hires in sales operations, customer success and marketing. Sales and marketing expense also increased $24.9 million from costs associated with our higher headcount, including higher travel costs related to in-person events, higher commissions expense and higher computer hardware and software expenses. In addition, sales and marketing expenses increased by $7.0 million due to increased spending on marketing programs, including the return to in-person attendance for our MongoDB World event.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108,037</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72,396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$29.1 million increase in personnel costs and stock-based compensation as we grew our research and development headcount by 31%. Research and development expense also increased due to higher computer hardware and software expenses, higher travel costs and higher office-related expenses driven by higher headcount. Travel costs and office-related expenses increased also due to the easing of restrictions related to the COVID-19 pandemic.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40,591</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28,803</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and to maintain compliance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company. In particular, these higher costs were driven by an increase in general and administrative personnel headcount resulting in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million in personnel costs and stock-based compensation. In addition, general and administrative expense increased due to higher professional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higher travel costs. The increase in travel costs was primarily driven by higher headcount and the easing of restrictions related to the COVID-19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pandemic.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(3,064)</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80" w:firstLine="486"/>
        <w:spacing w:after="0" w:line="458" w:lineRule="auto"/>
        <w:rPr>
          <w:sz w:val="20"/>
          <w:szCs w:val="20"/>
          <w:color w:val="auto"/>
        </w:rPr>
      </w:pPr>
      <w:r>
        <w:rPr>
          <w:rFonts w:ascii="Times New Roman" w:cs="Times New Roman" w:eastAsia="Times New Roman" w:hAnsi="Times New Roman"/>
          <w:sz w:val="18"/>
          <w:szCs w:val="18"/>
          <w:color w:val="auto"/>
        </w:rPr>
        <w:t xml:space="preserve">Other expense, net for the three months ended July 31, 2022 decreased primarily due to higher interest income from our short-term investments. </w:t>
      </w:r>
      <w:r>
        <w:rPr>
          <w:rFonts w:ascii="Times New Roman" w:cs="Times New Roman" w:eastAsia="Times New Roman" w:hAnsi="Times New Roman"/>
          <w:sz w:val="18"/>
          <w:szCs w:val="18"/>
          <w:b w:val="1"/>
          <w:bCs w:val="1"/>
          <w:color w:val="auto"/>
        </w:rPr>
        <w:t>Provision for Income Taxes</w:t>
      </w: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the three months ended July 31, 2022 was primarily due to global income and the associated foreign taxes as the Company continues its global expansion. The provision for income taxes during the three months ended July 31, 2021 was primarily due to foreign taxes as we continued our global expansion.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July 31,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780" w:type="dxa"/>
            <w:vAlign w:val="bottom"/>
          </w:tcPr>
          <w:p>
            <w:pPr>
              <w:spacing w:after="0"/>
              <w:rPr>
                <w:sz w:val="17"/>
                <w:szCs w:val="17"/>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365,951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200,237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84"/>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589,107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380,395</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208,712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Total revenue growth reflects increased demand for our platform and related services. Subscription revenue increased by $200.2 million primarily due to an increase of $182.8 million from our Direct Sales Customers, inclusive of the impact from Direct Sales Customers who were self-serve customers of MongoDB Atlas in the prior-year period. The growth in services revenue was driven primarily by the increased delivery of consulting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760" w:type="dxa"/>
            <w:vAlign w:val="bottom"/>
          </w:tcPr>
          <w:p>
            <w:pPr>
              <w:spacing w:after="0"/>
              <w:rPr>
                <w:sz w:val="17"/>
                <w:szCs w:val="17"/>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136,004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96,357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30,488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18,873</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166,492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115,230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422,615</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265,165</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157,450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72 %</w:t>
            </w:r>
          </w:p>
        </w:tc>
        <w:tc>
          <w:tcPr>
            <w:tcW w:w="424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70 %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76 %</w:t>
            </w:r>
          </w:p>
        </w:tc>
        <w:tc>
          <w:tcPr>
            <w:tcW w:w="424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74 %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(33)%</w:t>
            </w:r>
          </w:p>
        </w:tc>
        <w:tc>
          <w:tcPr>
            <w:tcW w:w="424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(31)%</w:t>
            </w:r>
          </w:p>
        </w:tc>
      </w:tr>
    </w:tbl>
    <w:p>
      <w:pPr>
        <w:spacing w:after="0" w:line="210" w:lineRule="exact"/>
        <w:rPr>
          <w:sz w:val="20"/>
          <w:szCs w:val="20"/>
          <w:color w:val="auto"/>
        </w:rPr>
      </w:pPr>
    </w:p>
    <w:p>
      <w:pPr>
        <w:ind w:firstLine="486"/>
        <w:spacing w:after="0" w:line="223"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$31.2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$6.1 million increase in personnel costs and stock-based compensation associated with increased headcount in our support organization. The increase in services cost of revenue was primarily due to a $7.3 million increase in personnel costs and stock-based compensation associated with increased headcount in our services organization, and a $2.5 million increase in costs driven by an increase in the volume of consulting and training services. Total headcount in our support and services organizations increased 38% from July 31, 2021 to July 31, 2022.</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improved to 72%. Our subscription gross margin increased to 76% as efficiencies realized in managing our third-party cloud infrastructure costs more than offset the negative margin impact from the increasing percentage of revenue from MongoDB Atlas. The impact of higher services personnel costs and stock-based compensation and lower utilization rate resulted in negative services 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331,866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207,267</w:t>
            </w:r>
          </w:p>
        </w:tc>
        <w:tc>
          <w:tcPr>
            <w:tcW w:w="88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124,599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increase in sales and marketing expense included $70.4 million from higher personnel costs and stock-based compensation, driven by an increase in our sales and marketing headcount to 2,159 as of July 31, 2022 from 1,380 as of July 31, 2021, which includes non-quota-carrying hires in sales operations, customer success and marketing. Sales and marketing expense also increased $41.1 million from costs associated with our higher headcount, including higher commissions expense, higher travel costs related to in-person events and higher computer hardware and software expenses. In addition, sales and marketing expenses increased by $9.6 million due to increased spending on marketing programs including the return to in-person attendance for our MongoDB World event.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204,409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137,147</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$56.1 million increase in personnel costs and stock-based compensation as we increased our research and development headcount by 31%. Research and development expense also increased $9.5 million due to higher computer hardware and software expenses, increased third-party infrastructure costs and higher travel costs driven by higher headcount. Travel costs increased also due to the easing of restrictions related to the COVID-19 pandemic.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77,123</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54,728</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$16.5 million higher personnel costs and stock-based compensation. In addition, general and administrative expense increased due to higher professional services fees and higher travel costs. The increase in travel costs was primarily driven by higher headcount and the easing of restrictions related to the COVID-19 pandemic.</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(6,986)</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Other expense, net, for the six months ended July 31, 2022 decreased primarily due to gain on investments, related to our non-marketable securities, higher interest income from our short-term investments, as well as lower interest expense following the redemption of convertible securities.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52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provision for income taxes during the six months ended July 31, 2022 was primarily due to global income and the associated foreign taxes as the Company continues its global expansion. The provision for income taxes during the six months ended July 31, 2021 was primarily the result of an increase in global income and the associated foreign taxes partially offset by the release of the valuation allowance as a result of goodwill recorded associated with an immaterial business combination and the impact from the adoption of ASU 2020-06.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As of July 31, 2022, our principal sources of liquidity were cash, cash equivalents,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and restricted cash totaling $1.8 billion. Our cash and cash equivalents primarily consist of bank deposits and money market funds.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consist of U.S. government treasury securities, and our restricted cash represents collateral for our available credit on corporate credit cards. We believe our existing cash and cash equivalents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will be sufficient to fund our operating and capital needs for at least the next 12 months.</w:t>
      </w:r>
    </w:p>
    <w:p>
      <w:pPr>
        <w:spacing w:after="0" w:line="12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generated significant operating losses and negative cash flows from operations as reflected in our accumulated deficit and historical consolidated statements of cash flows. As of July 31, 2022, we had an accumulated deficit of $1.4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and inflation, the timing and extent of spending to support development efforts, the expansion of sales and marketing and international operation activities, the timing and size of new subscription introductions and customer usage of our platform, the continuing market acceptance of our subscriptions and services and the impact of the ongoing COVID-19 pandemic on the global economy and our business, financial condition and results of operations. As the impact of the ongoing COVID-19 pandemic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r>
      <w:tr>
        <w:trPr>
          <w:trHeight w:val="27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(136,923)</w:t>
            </w:r>
          </w:p>
        </w:tc>
      </w:tr>
      <w:tr>
        <w:trPr>
          <w:trHeight w:val="27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878,263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Activities</w:t>
      </w:r>
    </w:p>
    <w:p>
      <w:pPr>
        <w:spacing w:after="0" w:line="160" w:lineRule="exact"/>
        <w:rPr>
          <w:sz w:val="20"/>
          <w:szCs w:val="20"/>
          <w:color w:val="auto"/>
        </w:rPr>
      </w:pPr>
    </w:p>
    <w:p>
      <w:pPr>
        <w:ind w:right="20" w:firstLine="648"/>
        <w:spacing w:after="0" w:line="204" w:lineRule="exact"/>
        <w:rPr>
          <w:sz w:val="20"/>
          <w:szCs w:val="20"/>
          <w:color w:val="auto"/>
        </w:rPr>
      </w:pPr>
      <w:r>
        <w:rPr>
          <w:rFonts w:ascii="Times New Roman" w:cs="Times New Roman" w:eastAsia="Times New Roman" w:hAnsi="Times New Roman"/>
          <w:sz w:val="18"/>
          <w:szCs w:val="18"/>
          <w:color w:val="auto"/>
        </w:rPr>
        <w:t>Cash used in operating activities during the six months ended July 31, 2022 was $33.1 million. This was primarily driven by our net loss of $196.2 million, which was partially offset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$180.1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$7.7 million for depreciation and amortization, $6.4 million for lease-related charges and $4.1 million for accretion of discount on our short-term investments. In addition, the continuing growth of our sales and our expanding customer base led to an increase in accounts receivable of $19.5 million and deferred commissions of $16.6 million.</w:t>
      </w:r>
    </w:p>
    <w:p>
      <w:pPr>
        <w:spacing w:after="0" w:line="198" w:lineRule="exact"/>
        <w:rPr>
          <w:sz w:val="20"/>
          <w:szCs w:val="20"/>
          <w:color w:val="auto"/>
        </w:rPr>
      </w:pPr>
    </w:p>
    <w:p>
      <w:pPr>
        <w:ind w:right="80" w:firstLine="648"/>
        <w:spacing w:after="0" w:line="201" w:lineRule="exact"/>
        <w:rPr>
          <w:sz w:val="20"/>
          <w:szCs w:val="20"/>
          <w:color w:val="auto"/>
        </w:rPr>
      </w:pPr>
      <w:r>
        <w:rPr>
          <w:rFonts w:ascii="Times New Roman" w:cs="Times New Roman" w:eastAsia="Times New Roman" w:hAnsi="Times New Roman"/>
          <w:sz w:val="18"/>
          <w:szCs w:val="18"/>
          <w:color w:val="auto"/>
        </w:rPr>
        <w:t>Cash used in operating activities during the six months ended July 31, 2021 was $9.5 million. This was primarily driven by our net loss of $141.1 million, which was partially offset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$108.6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$6.6 million for depreciation and amortization, $5.2 million for lease-related charges, $3.0 million for accretion of discount on our short-term investments and $2.3 million for debt issuance costs. In addition, our cash collections decreased our accounts receivable by $16.3 million and increased our deferred revenue by $9.8 million, reflecting the overall growth of our sales and our expanding customer base. Partially offsetting these benefits to our operating cash flow were decreases of $16.5 million in deferred commissions, due to commissions paid during the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Investing Activities</w:t>
      </w:r>
    </w:p>
    <w:p>
      <w:pPr>
        <w:spacing w:after="0" w:line="173"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six months ended July 31, 2022 was $196.1 million, primarily due to proceeds from maturities of marketable securities, net of purchases, of $202.4 million. The proceeds were partially offset by $5.2 million of cash used for purchases of property and equipment and $1.1 million of additional investment in non-marketable securities.</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July 31, 2021 was $136.9 million, primarily due to cash used to purchase marketable securities, net of maturities, of $129.0 million, and $4.5 million of net cash used for an immaterial acquisition.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Financing Activities</w:t>
      </w:r>
    </w:p>
    <w:p>
      <w:pPr>
        <w:spacing w:after="0" w:line="17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six months ended July 31, 2022 was $16.9 million, due to proceeds from the issuance of common stock under the Employee Stock Purchase Plan and exercises of stock options, partly offset by principal repayments of finance leases.</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during the six months ended July 31, 2021 was $878.3 million, primarily due to net proceeds of $889.2 million from our June 2021 equity offering, which resulted in our issuance of 2,500,000 shares of common stock at an offering price of $365 per share, the issuance of common stock under the Employee Stock Purchase Plan, and exercises of stock options, partly offset by cash used to repay a portion of our 2024 convertible notes upon redemption.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six months ended July 31, 2022, there were no material changes outside the ordinary course of business to our contractual obligations and commitments from those disclosed in our 2022 Form 10-K.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disclosed in Part II, Item 7, “Management’s Discussion and Analysis of Financial Condition and Results of Operations” of the 2022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 in the ordinary course of business. The uncertainty that exists with respect to the global economic impact of the ongoing COVID-19 pandemic has introduced significant volatility in the financial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Interest Rate Risk</w:t>
      </w:r>
    </w:p>
    <w:p>
      <w:pPr>
        <w:spacing w:after="0" w:line="17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and our short-term investments consist of U.S. government treasury securities. As of July 31, 2022, we had cash, cash equivalents, restricted cash and short-term investments of $1.8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July 31, 2022.</w:t>
      </w:r>
    </w:p>
    <w:p>
      <w:pPr>
        <w:spacing w:after="0" w:line="13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Foreign Currency Risk</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either of the three-month periods ended July 31, 2022 and 2021.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Market Risk</w:t>
      </w:r>
    </w:p>
    <w:p>
      <w:pPr>
        <w:spacing w:after="0" w:line="17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July 31, 2022 and January 31, 2022, the total amount of non-marketable securities included in other assets on our balance sheet was $7.7 million and $4.8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3" w:lineRule="exact"/>
        <w:rPr>
          <w:sz w:val="20"/>
          <w:szCs w:val="20"/>
          <w:color w:val="auto"/>
        </w:rPr>
      </w:pPr>
    </w:p>
    <w:p>
      <w:pPr>
        <w:ind w:right="20" w:firstLine="486"/>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July 31, 2022. Based on the evaluation of our disclosure controls and procedures as of July 31, 2022, our Chief Executive Officer and Chief Financial Officer concluded that, as of such date, our disclosure controls and procedures were effective at the reasonable assurance level.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July 31, 2022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3"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Item 1 is incorporated by reference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Form 10-Q.</w:t>
      </w:r>
    </w:p>
    <w:p>
      <w:pPr>
        <w:spacing w:after="0" w:line="10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For example, on March 12, 2019, Realtime filed a lawsuit against us in the United States District Court for the District of Delaware alleging that we are infringing three U.S. patents that it holds: the 908 Patent, the 751 Patent and the 825 Patent. On May 4, 2021, in a consolidated action that includes Realtime's case against MongoDB, the District Court granted certain defendants' motion to dismiss without prejudice, finding that the patents are invalid under 35 U.S.C. § 101. Realtime filed an amended complaint against us on May 18, 2021, and we moved to dismiss that amended complaint on June 29, 2021. On August 23, 2021, the District Court granted our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brief argument has not yet been scheduled.</w:t>
      </w:r>
    </w:p>
    <w:p>
      <w:pPr>
        <w:spacing w:after="0" w:line="13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related economic downturn and measures taken in response to the pandemic could negatively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as our costs increase, we may not be able to generate sufficient revenue to achieve or sustain profitability.</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depend substantially on our customers renewing their subscriptions with us and expanding their usage of software and related services. Any decline in our customer renewals or failure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convince our customers to broaden their usage of subscription offerings and related services could materially and adversely harm our business, results of operations and financial condition.</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 and expect that intense competition will continue.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our sales and marketing organization, we may be unable to add new customers or increase sales to our existing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offer Community Server under the Server Side Public License (“SSPL”) may harm the adoption of Community Server.</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invested significantly in our MongoDB Atlas offering and, if we fail to continue to attract new MongoDB Atlas customers or retain and expand within existing customers, our business, results of operations and financial condition could be harmed.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model for Community Server could negatively affect our ability to monetize and protect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intellectual property rights and any failure to protect our intellectual property rights could reduce the value of our software and brand.</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7"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especially among developers, our business and results of operations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9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ongoing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0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Further, other events outside of our control, including natural disasters, climate change-related events, pandemics (such as the COVID-19 pandemic) or health crises may arise from time to time and be accompanied by governmental actions that may increase international</w:t>
      </w:r>
    </w:p>
    <w:p>
      <w:pPr>
        <w:spacing w:after="0" w:line="200" w:lineRule="exact"/>
        <w:rPr>
          <w:sz w:val="20"/>
          <w:szCs w:val="20"/>
          <w:color w:val="auto"/>
        </w:rPr>
      </w:pP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0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Additionally,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have material and adverse consequences on us, the third parties on whom we rely or our</w:t>
      </w:r>
    </w:p>
    <w:p>
      <w:pPr>
        <w:spacing w:after="0" w:line="1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customers. Increased inflation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21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related economic downturn and measures taken in response to the pandemic could materially and adversely impact our business, financial condition and results of operations.</w:t>
      </w:r>
    </w:p>
    <w:p>
      <w:pPr>
        <w:spacing w:after="0" w:line="18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Beginning in March 2020, we took measures intended to help minimize the risk of the SARS-CoV-2 virus to our employees, our customers and the communities in which we participate, which measures could negatively impact our business. These measures included temporarily requiring all employees to work remotely, suspending all non-essential travel worldwide for our employees, canceling, postponing or holding virtually MongoDB-sponsored events and discouraging employee attendance at industry events and in-person work-related meetings. In 2021, we began to re-open our offices in the United States and certain other locations globally for employees to voluntarily return. In April 2022, we moved forward with our return to office plan which encompasses a hybrid approach to in-office attendance based on the different needs of teams across the company. While certain travel bans and other restrictions that were implemented at the beginning of the pandemic were relaxed earlier in the year, due to the identification of novel variants of the SARS-CoV-2 virus, among other developments, some of these restrictions were re-imposed, and new restrictions may be implemented. Business travel resumed during 2021 on a voluntary basis and we started to hold some in-person marketing events. Although our travel costs for the year ended January 31, 2022 were below pre-pandemic levels, we expect spending on business travel and in-person marketing events to increase during 2022. We continue to monitor the situation related to the COVID-19 pandemic, and we may adjust our policies as may be required or recommended by federal, foreign, state or local authorities.</w:t>
      </w:r>
    </w:p>
    <w:p>
      <w:pPr>
        <w:spacing w:after="0" w:line="21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While we have a distributed workforce and our employees are accustomed to working remotely or working with other remote employees, our workforce has not historically been fully remote. Additionally, prior to the COVID-19 pandemic, our employees traveled frequently to establish and maintain relationships with one another and with our customers, partners and investors, and some of our business processes assume that employees can review and sign documents in person. We are adopting a hybrid work environment that may also present operational challenges and risks, including reduced productivity, lower employee retention, and increased compliance and tax obligations in a number of jurisdictions. We have informed our employees that they may continue to elect to work remotely until conditions improve, even if their office reopens, and we continue to host large events virtually rather than in person and to travel less frequently for business than we did prior to the pandemic. Although we continue to monitor the situation and may adjust our current policies as more information and guidance become available, reducing travel and in-person business interactions on a long-term basis could negatively impact our marketing efforts, our ability to enter into customer contracts in a timely manner, our international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expansion efforts, our ability to recruit employees across the organization and, in sales and marketing, in particular, which could have longer term effects on our sales pipeline, or create operational or other challenges as our workforce remains predominantly remote, any of which could harm our business. For example, remote and hybrid work arrangements may result in decreased employee productivity and morale with increased regretted employee attrition.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1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particular, the ongoing COVID-19 pandemic, attempts by governments and private organizations to address the pandemic and the associated global economic uncertainty may prevent us or our employees, contractors, suppliers, customers and other business partners from conducting certain business activities, which could materially and adversely impact our business, financial results and results of operations. In the initial stages of the pandemic, business activities were severely curtailed as a result of shelter-in-place and similar orders. Such orders or restrictions and the perception that such orders or restrictions could occur have resulted in business closures, work stoppages, slowdowns and delays, work-from-home policies, travel restrictions and cancellation of events, among other effects that could negatively impact productivity and disrupt our operations and those of our contractors, suppliers, customers and other business partners. As the COVID-19 pandemic has continued and the most stringent limitations on the conduct of in-person business have been lifted, many state, local and foreign governments have continued to put in place, and may in the future re-institute or put in place travel restrictions, limitations on indoor occupancy, masking and/or vaccination requirements and similar government orders and restrictions in order to control the spread of the disease. The ongoing COVID-19 pandemic, including actions by governmental and private actors in response to the pandemic, including vaccination mandates, could adversely affect workforces, customers, economies and financial markets globally, potentially leading to a sustained economic downturn. While it is not possible at this time to predict the duration and extent of the impact that the ongoing COVID-19 pandemic could have on worldwide economic activity and our business in particular, the continued spread of COVID-19, including known variants and other potentially more contagious variants of the SARS-CoV-2 virus, the measures taken by governments, businesses and other organizations in response to COVID-19 and the associated global economic uncertainty could materially and adversely impact our business, financial condition or results of operations.</w:t>
      </w:r>
    </w:p>
    <w:p>
      <w:pPr>
        <w:spacing w:after="0" w:line="22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ultimate impact to our results of operations will depend to a large extent on currently unknowable developments, including the length of time the disruption and uncertainty caused by COVID-19 will continue, which will, in turn, depend on, among other things, the actions taken by authorities and other entities to contain COVID-19 or treat its impact, including the impact of any reopening plans, additional closures and spikes or surges in COVID-19 infection, including as a result of new variants of the SARS-CoV-2 virus, and individuals’ and companies’ risk tolerance regarding health matters going forward, all of which are beyond our control. For example, vaccine mandates have been announced in certain jurisdictions in which our business operates and the implementation of additional vaccination requirements in jurisdictions in which our business operates, could result in attrition, including attrition of critically skilled labor and difficulty securing future labor needs, which could materially and adversely affect our results of operations, financial condition and cash flows. These potential impacts, while uncertain, could harm our business and adversely affect our operating results. In addition, to the extent the ongoing COVID-19 pandemic adversely affects our business and results of operations, it may also have the effect of heightening many of the other risks and uncertainties described in this “Risk Factors” section which may materially and adversely affect our business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results of operations.</w:t>
      </w:r>
    </w:p>
    <w:p>
      <w:pPr>
        <w:spacing w:after="0" w:line="17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may not be able to generate sufficient revenue to achieve or sustain profitability.</w:t>
      </w:r>
    </w:p>
    <w:p>
      <w:pPr>
        <w:spacing w:after="0" w:line="1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incurred net losses in each period since our inception and we had an accumulated deficit of $1.4 billion as of July 31, 2022.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2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20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subscription offerings are term-based and a majority of our subscription contracts were one year in duration in fiscal year 2022.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could be materially and adversely affected.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 and expect that intense competition will continue.</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fail to attract new customers or lose or fail to renew existing customers, which would cause our business and results of operations to suffer.</w:t>
      </w:r>
    </w:p>
    <w:p>
      <w:pPr>
        <w:spacing w:after="0" w:line="171" w:lineRule="exact"/>
        <w:rPr>
          <w:sz w:val="20"/>
          <w:szCs w:val="20"/>
          <w:color w:val="auto"/>
        </w:rPr>
      </w:pPr>
    </w:p>
    <w:p>
      <w:pPr>
        <w:jc w:val="both"/>
        <w:ind w:right="260" w:firstLine="486"/>
        <w:spacing w:after="0" w:line="289"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10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such as the ones we announced during fiscal year 2022,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2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our sales and marketing organization, we may be unable to add new customers or increase sales to our existing customers.</w:t>
      </w:r>
    </w:p>
    <w:p>
      <w:pPr>
        <w:spacing w:after="0" w:line="10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ongoing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0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To encourage developer usage, familiarity and adoption of our platform, we offer Community Server as a “freemium” offering. Community Server is a free-to-download version of our database that does not include all of the features of our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offer Community Server under the SSPL may harm the adoption of Community Server.</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invested significantly in our MongoDB Atlas offering and, if we fail to continue to attract new MongoDB Atlas customers or retain and expand within existing customers, our business, results of operations and financial condition could be harmed.</w:t>
      </w:r>
    </w:p>
    <w:p>
      <w:pPr>
        <w:spacing w:after="0" w:line="1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introduced MongoDB Atlas in June 2016 and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increase customer adoption of MongoDB Atlas or retain and expand within existing customers, or if we do so in a way that is not profitable or fails to compete successfully against our current or future competitors, our business, results of operations and financial condition could be harmed.</w:t>
      </w:r>
    </w:p>
    <w:p>
      <w:pPr>
        <w:spacing w:after="0" w:line="21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if the AGPL, the SSPL and other open source licenses under which some of our software is licensed are not enforceable.</w:t>
      </w:r>
    </w:p>
    <w:p>
      <w:pPr>
        <w:spacing w:after="0" w:line="10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model for Community Server could negatively affect our ability to monetize and protect our intellectual property rights.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make our Community Server offering available under either the SSPL (for versions released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0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3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3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2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negative effect on our business, results of operations and financial condition.</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2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and anticipated growth rates of our revenue, customers and other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pricing changes and other actions by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sales where subscriptions are bundled with services versus sold on a standalone basis and sales by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expand our sales and marketing capabilities and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software, particularly for our largest customers;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 including the ongoing COVID-19 pandemic;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the AGPL or SSPL;</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attributable to larger transactions as opposed to smaller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budgeting cycles and purchasing decisions;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potential customers opting for alternative products, including developing their own in-house solutions, or opting to use only the free version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the level of service uptime and performance required by our customers;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 from customers and resellers, which may be hindered or delayed if these customers or resellers experience financial distress;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 domestic or international markets;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conditions related to the ongoing COVID-19 pandemic;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and be materially and adversely affected. For example, the ongoing COVID-19 pandemic could result in material adverse changes in our results of operations and its related political, social and economic impacts may continue to spread. Moreover, fluctuations in our quarterly operating results and the price of our common stock may be particularly pronounced in the current economic environment due to the uncertainty caused by and the unprecedented nature of the COVID-19 pandemic,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In response to the concerns over inflation risk, the U.S. Federal Reserve recently raised interest rates multiple times, and signaled that they expect additional rate increases throughout the year.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We also intend to continue to invest significantly to grow our business in the near future rather than optimizing for profitability or cash flows.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21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have recently experienced rapid growth in our business, operations and employee headcount. For fiscal years 2022, 2021 and 2020, our total revenue was $873.8 million, $590.4 million and $421.7 million, respectively, representing a 48% and 40% growth rate, respectively. We have also significantly increased the size of our customer base from over 3,200 customers as of January 31, 2017 to over 33,000 customers as of January 31, 2022, and we grew from 713 employees as of January 31, 2017 to 3,544 employees as of January 31, 2022. We expect to continue to expand our operations and employee headcount in the near term. Our success will depend in part on our ability to continue to grow and to manage this growth, domestically and internationally, effectively.</w:t>
      </w:r>
    </w:p>
    <w:p>
      <w:pPr>
        <w:spacing w:after="0" w:line="13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service providers, are breached or unauthorized access to personal data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10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the ordinary course of our business, we collect, receive, store, process, generate, use, transfer, disclose, make accessible, protect, secure, dispose of, transmit, and share (commonly known as processing) sensitive information, including personal data and other confidential information of our employees and our customers, confidential business data, trade secrets, and intellectual property. We collect sensitive information from individuals located both in the United States and abroad and may store or process such information outside of the country in which it was collected. We use third-party service providers and subprocessors to help us deliver services to our customers. These third-party service providers and subprocessors may store or process personal data and/or other confidential information of our employees and our customers.</w:t>
      </w:r>
    </w:p>
    <w:p>
      <w:pPr>
        <w:spacing w:after="0" w:line="21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In addition, sophisticated nation-state and nation-state supported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whom we rely may be vulnerable to a heightened risk of these attacks, including cyberattacks, that could materially disrupt our systems,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 particularly for companies like ours that are engaged in critical infrastructure or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The COVID-19 pandemic and our remote workforce pose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risks related to cybersecurity will increase as we continue to grow the scale and functionality of our business and process, store, and transit increasingly large amounts of our customers’ information and data, which may include proprietary, confidential or personal data.</w:t>
      </w:r>
    </w:p>
    <w:p>
      <w:pPr>
        <w:spacing w:after="0" w:line="22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platform, products, and services.</w:t>
      </w:r>
    </w:p>
    <w:p>
      <w:pPr>
        <w:spacing w:after="0" w:line="12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2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incident has occurred. For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2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10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3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may be long and is unpredictable and our sales efforts require considerable time and expense.</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in particular new sales people as we increase the size of our sales 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a customer’s procurement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of our free offerings to paying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of competing products during the purchasing process;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 This could impact the variability and comparability of our quarterly revenue results and may have an adverse effect on our business, results of operations and financial condition.</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0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Even if we do attract new customers, the cost of new customer acquisition, product implementation and ongoing customer support may prove so high as to prevent us from achieving or sustaining profitability. For example, in fiscal years 2022, 2021 and 2020, total sales and marketing expense represented 54%, 55% and 53%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customers, retain existing customers or expand their use of our software, which would adversely affect our business, results of operations and financial condition.</w:t>
      </w:r>
    </w:p>
    <w:p>
      <w:pPr>
        <w:spacing w:after="0" w:line="1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information security. Our actual or perceived failure to comply with such obligations could lead to regulatory investigations or actions; litigation; fines and penalties; a disruption of our business operations; reputational harm; and other adverse business impacts.</w:t>
      </w:r>
    </w:p>
    <w:p>
      <w:pPr>
        <w:spacing w:after="0" w:line="216"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Data privacy has become a significant issue in the United States, Europe and in many other countries and jurisdictions where we offer our software and services. 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and intellectual property. Our data processing activities subject us to numerous data privacy and security obligations, such as various laws, regulations, guidance, industry standards, external and internal privacy and security policies, contracts, and other obligations that govern the processing of sensitive data by us and on our behalf.</w:t>
      </w:r>
    </w:p>
    <w:p>
      <w:pPr>
        <w:spacing w:after="0" w:line="120"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California enacted the California Consumer Privacy Act (the “CCPA”), which introduced new requirements regarding the handling of personal data of California consumers and households. The law gives individuals the right to request access to and deletion of their personal data and the right to opt out of sales of their personal data. The CCPA also authorizes private lawsuits to recover statutory damages for certain data breaches. In addition, it is anticipated that the California Privacy Rights Acts of 2020 (“CPRA”), effective January 1, 2023, will expand the CCPA. For example, the CPRA established a new California Privacy Protection Agency to implement and enforce the CCPA (as amended), which could increase the risk of an enforcement action.The effects of the CCPA and the CPRA are potentially significant and may require us to modify our data collection or processing practices and policies and increase our compliance costs and potential liability with respect to personal information we collect about California residents. Other states, such as Virginia, Colorado, Utah and Connecticut, have also passed comprehensive privacy laws, all of which become effective in 2023. In addition, data privacy and security laws have been proposed at the federal, state, and local levels in recent years, which could further complicate compliance efforts.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will result in the development of secure software development practices or criteria for a consumer software labeling program and shall reflect a baseline level of secure practices for development of software sold to the U.S. federal government, including requiring developers to maintain greater visibility into their software and making security data publicly available.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addition to government regulation, privacy advocates and industry groups may propose new and different self-regulatory standards that may apply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w:t>
      </w:r>
    </w:p>
    <w:p>
      <w:pPr>
        <w:spacing w:after="0" w:line="22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security and privacy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and Switzerland is subject to the General Data Protection Regulation (the “GDPR”), which came into effect in May 2018, and other European laws governing the processing of personal data. Data protection authorities in the E.E.A. and Switzerland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Countries outside Europe, including without limitation Brazil, which recently</w:t>
      </w:r>
    </w:p>
    <w:p>
      <w:pPr>
        <w:spacing w:after="0" w:line="200" w:lineRule="exact"/>
        <w:rPr>
          <w:sz w:val="20"/>
          <w:szCs w:val="20"/>
          <w:color w:val="auto"/>
        </w:rPr>
      </w:pPr>
    </w:p>
    <w:p>
      <w:pPr>
        <w:spacing w:after="0" w:line="38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enacted the General Data Protection Law (Lei Geral Proteção de Dados Pessoais, or LGPD) (Law No. 13,709/2018), are implementing significant limitations on the processing of personal data, similar to those in the GDPR. On June 5, 2020, Japan passed amendments to its Act on the Protection of Personal data, or APPI. Both laws broadly regulate the processing of personal data in a manner comparable to the GDPR, and violators of the LGPD and APPI face substantial penalties.</w:t>
      </w:r>
    </w:p>
    <w:p>
      <w:pPr>
        <w:spacing w:after="0" w:line="22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Some of the foreign data protection laws, including, without limitation, the GDPR, may restrict the cross-border transfer of personal data, such as transfers of data to the United States from the E.E.A and Switzerland.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absent appropriate safeguards or other circumstances, the GDPR generally restricts the transfer of personal data to countries outside of the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In addition, the U.K. similarly restricts personal data transfers outside of the U.K. jurisdiction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4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marketing activities, divert the attention of our technology personnel, adversely affect our margins, and subject us to liabilities.</w:t>
      </w:r>
    </w:p>
    <w:p>
      <w:pPr>
        <w:spacing w:after="0" w:line="1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addition, because data privacy and security are critical competitive factors in our industry, we publish privacy policies and other documentation regarding our collection, processing, use and disclosure of personal data and/or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3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data privacy and security laws, regulations, rules and other standards are still uncertain and likely to remain uncertain for the foreseeable future,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and privacy laws, regulations and other actual or alleged obligations, could result in additional cost and liability to us, damage our reputation, inhibit sales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Form 10-Q may prove to be inaccurate and even if the market in which we compete achieves the forecasted growth, our business could fail to grow at similar rates, if at all.</w:t>
      </w:r>
    </w:p>
    <w:p>
      <w:pPr>
        <w:spacing w:after="0" w:line="10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Form 10-Q are subject to significant uncertainty and are based on third-party assumptions and estimates that may not prove to be accurate. The market in which we compete may not meet the size estimates and may not achieve the growth forecast referenced in this Form 10-Q. Even if the market in which we compete meets the size estimates and the growth forecast referenced in this Form 10-Q, our business could fail to grow at similar rates, if at all, for a variety of reasons, which would adversely affect our results of operations.</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intellectual property rights. As of January 31, 2022, we had 52 issued patents and 36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the section titled “Part II, Item 1. Legal Proceedings.”</w:t>
      </w:r>
    </w:p>
    <w:p>
      <w:pPr>
        <w:spacing w:after="0" w:line="13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partners, our business, results of operations and financial condition could be harmed.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5"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MongoDB Atlas across AWS, Microsoft Azure and GCP to host our cloud offering. If the hosting of MongoDB Atlas gets disrupted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or at all, or if other performance problems occur, our business, results of operations and financial conditions may be adversely affected.</w:t>
      </w:r>
    </w:p>
    <w:p>
      <w:pPr>
        <w:spacing w:after="0" w:line="16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commitments, our business, results of operations and financial condition could be adversely affected.</w:t>
      </w:r>
    </w:p>
    <w:p>
      <w:pPr>
        <w:spacing w:after="0" w:line="175"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3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2" w:lineRule="exact"/>
        <w:rPr>
          <w:sz w:val="20"/>
          <w:szCs w:val="20"/>
          <w:color w:val="auto"/>
        </w:rPr>
      </w:pPr>
    </w:p>
    <w:p>
      <w:pPr>
        <w:ind w:right="360" w:firstLine="486"/>
        <w:spacing w:after="0" w:line="312"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24"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w:t>
      </w:r>
    </w:p>
    <w:p>
      <w:pPr>
        <w:spacing w:after="0" w:line="200" w:lineRule="exact"/>
        <w:rPr>
          <w:sz w:val="20"/>
          <w:szCs w:val="20"/>
          <w:color w:val="auto"/>
        </w:rPr>
      </w:pPr>
    </w:p>
    <w:p>
      <w:pPr>
        <w:spacing w:after="0" w:line="37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especially among developers, our business and results of operations may be adversely affected.</w:t>
      </w:r>
    </w:p>
    <w:p>
      <w:pPr>
        <w:spacing w:after="0" w:line="15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From January 31, 2017 to January 31, 2022, we increased the size of our workforce by 2,831 employees and we expect to continue to hire aggressively as we expand, especially research and development and sales and marketing personnel. Such substantial headcount growth may result in a change to our corporate culture.</w:t>
      </w:r>
    </w:p>
    <w:p>
      <w:pPr>
        <w:spacing w:after="0" w:line="12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including the ongoing COVID-19 pandemic.</w:t>
      </w:r>
    </w:p>
    <w:p>
      <w:pPr>
        <w:spacing w:after="0" w:line="1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0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data breaches, intellectual property infringement and other losses.</w:t>
      </w:r>
    </w:p>
    <w:p>
      <w:pPr>
        <w:spacing w:after="0" w:line="10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breaches,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relationship with that customer and other existing customers and new customers and harm our business and results of operations.</w:t>
      </w:r>
    </w:p>
    <w:p>
      <w:pPr>
        <w:spacing w:after="0" w:line="1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In the fiscal years ended January 31, 2022, 2021 and 2020, total revenue generated from customers outside the United States was 46%, 44% and 41%,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 including the ongoing COVID-19 pandemic;</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data, particularly in EMEA;</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social unrest, terrorist activities, acts of civil or international hostility, such as the current military conflict and escalating tensions between Russia and Ukraine, natural disasters or regional or global outbreaks of contagious diseases, such as the ongoing COVID-19 pandemic;</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0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3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3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3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we face in connection with any acquisitions include:</w:t>
      </w:r>
    </w:p>
    <w:p>
      <w:pPr>
        <w:spacing w:after="0" w:line="171" w:lineRule="exact"/>
        <w:rPr>
          <w:sz w:val="20"/>
          <w:szCs w:val="20"/>
          <w:color w:val="auto"/>
        </w:rPr>
      </w:pPr>
    </w:p>
    <w:p>
      <w:pPr>
        <w:ind w:left="660" w:right="2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11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sell any acquired products or increase adoption or usage of acquired products, or increase spend by acquired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including financial maintenance covenants;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2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7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6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We base our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estimates on historical experience and on various other assumptions that we believe to be reasonable under the circumstances,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Unaudited Condensed Consolidated Financial Statements included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3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91"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both the COVID-19 pandemic and new flexible work policies have increased and are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22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Potential tax reform globally and in the United States may result in significant changes to U.S. federal income taxation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ind w:right="120" w:firstLine="486"/>
        <w:spacing w:after="0" w:line="273" w:lineRule="auto"/>
        <w:rPr>
          <w:sz w:val="20"/>
          <w:szCs w:val="20"/>
          <w:color w:val="auto"/>
        </w:rPr>
      </w:pPr>
      <w:r>
        <w:rPr>
          <w:rFonts w:ascii="Times New Roman" w:cs="Times New Roman" w:eastAsia="Times New Roman" w:hAnsi="Times New Roman"/>
          <w:sz w:val="17"/>
          <w:szCs w:val="17"/>
          <w:color w:val="auto"/>
        </w:rPr>
        <w:t>As of January 31, 2022,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0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26"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public health emergencies and other natural catastrophic events and to interruption by man-made problems such as power disruptions, computer viruses, security breaches or terrorism.</w:t>
      </w:r>
    </w:p>
    <w:p>
      <w:pPr>
        <w:spacing w:after="0" w:line="10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of July 31, 2022, we have customers in over 100 countries and employees in over 25 countries. A significant natural disaster or man-made problem, such as an earthquake, fire, flood, an act of terrorism, the regional or global outbreak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of a contagious disease, such as the ongoing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extent to which the ongoing COVID-19 pandemic may continue to impact our business is uncertain; however, we continue to monitor its effect.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4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right="80" w:firstLine="486"/>
        <w:spacing w:after="0"/>
        <w:rPr>
          <w:sz w:val="20"/>
          <w:szCs w:val="20"/>
          <w:color w:val="auto"/>
        </w:rPr>
      </w:pPr>
      <w:r>
        <w:rPr>
          <w:rFonts w:ascii="Times New Roman" w:cs="Times New Roman" w:eastAsia="Times New Roman" w:hAnsi="Times New Roman"/>
          <w:sz w:val="18"/>
          <w:szCs w:val="18"/>
          <w:color w:val="auto"/>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which could cause the value of our common stock to decline.</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our results of operations meet the expectations of securities analysts or investors;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new products or technologies, commercial relationships, acquisitions or other events by us or our competitors;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how customers perceive the benefits of our product and future product offerings and releases;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departures of key personnel;</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of large blocks of our common stock;</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data breach involving our software;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litigation involving us, our industry, or both;</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conditions and trends;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major catastrophic events in our domestic and foreign markets; and</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“flash crashes,” “freeze flashes” or other glitches that disrupt trading on the securities exchange on which we are listed.</w:t>
      </w:r>
    </w:p>
    <w:p>
      <w:pPr>
        <w:spacing w:after="0" w:line="4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0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impact of the ongoing COVID-19 pandemic and the macroeconomic environment,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ongoing COVID-19 pandemic, the ongoing geopolitical instability resulting from the conflict between Russia and Ukraine, severely diminished liquidity and credit availability, declines in consumer confidence, declines in economic growth, increases in</w:t>
      </w:r>
    </w:p>
    <w:p>
      <w:pPr>
        <w:spacing w:after="0" w:line="1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75"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1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2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7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8"/>
          <w:szCs w:val="18"/>
          <w:color w:val="212529"/>
        </w:rPr>
        <w:t>While the Delaware courts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05"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22" w:lineRule="exact"/>
        <w:rPr>
          <w:sz w:val="20"/>
          <w:szCs w:val="20"/>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jc w:val="both"/>
        <w:ind w:left="660" w:right="54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3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33"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conditional conversion feature of the 2026 Notes was triggered during the three months ended July 31, 2022, as the last reported sale price of our common stock was more than or equal to 130% of the applicable conversion price for each series of Notes for at least 20 trading days in the period of 30 consecutive trading days ending on July 31, 2022 (the last trading day of the fiscal quarter). Therefore, the 2026 Notes are currently convertible at the option of the holders thereof, in whole or in part, from August 1, 2022 through October 31, 2022. Whether the 2026 Notes will be convertible following such fiscal quarter will depend on the continued satisfaction of this condition or another conversion condition in the future.</w:t>
      </w:r>
    </w:p>
    <w:p>
      <w:pPr>
        <w:spacing w:after="0" w:line="12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Upon conversion of the 2026 Notes, unless we elect to deliver solely shares of our common stock to settle such conversion (other than paying cash in lieu of delivering any fractional share), we will be required to make cash payments in respect of the 2026 Notes being converted, which could adversely affect our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175"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pricing of the 2026 Notes, we entered into privately negotiated capped call transactions with certain counterparties. The capped call transactions cover, subject to customary adjustments, the number of shares of our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33"/>
        <w:spacing w:after="0" w:line="261" w:lineRule="auto"/>
        <w:rPr>
          <w:sz w:val="20"/>
          <w:szCs w:val="20"/>
          <w:color w:val="auto"/>
        </w:rPr>
      </w:pPr>
      <w:r>
        <w:rPr>
          <w:rFonts w:ascii="Times New Roman" w:cs="Times New Roman" w:eastAsia="Times New Roman" w:hAnsi="Times New Roman"/>
          <w:sz w:val="18"/>
          <w:szCs w:val="18"/>
          <w:color w:val="auto"/>
        </w:rPr>
        <w:t>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26" w:lineRule="exact"/>
        <w:rPr>
          <w:sz w:val="20"/>
          <w:szCs w:val="20"/>
          <w:color w:val="auto"/>
        </w:rPr>
      </w:pPr>
    </w:p>
    <w:p>
      <w:pPr>
        <w:ind w:left="33"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78"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5" w:lineRule="exact"/>
        <w:rPr>
          <w:sz w:val="20"/>
          <w:szCs w:val="20"/>
          <w:color w:val="auto"/>
        </w:rPr>
      </w:pPr>
    </w:p>
    <w:p>
      <w:pPr>
        <w:ind w:left="533" w:right="7120" w:hanging="492"/>
        <w:spacing w:after="0" w:line="438" w:lineRule="auto"/>
        <w:tabs>
          <w:tab w:leader="none" w:pos="52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ind w:left="533" w:right="9460" w:hanging="492"/>
        <w:spacing w:after="0" w:line="438" w:lineRule="auto"/>
        <w:tabs>
          <w:tab w:leader="none" w:pos="52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533" w:right="7860" w:hanging="533"/>
        <w:spacing w:after="0" w:line="474" w:lineRule="auto"/>
        <w:tabs>
          <w:tab w:leader="none" w:pos="48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348"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13"/>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3"/>
          </w:cols>
          <w:pgMar w:left="287" w:top="130"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8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140" w:type="dxa"/>
            <w:vAlign w:val="bottom"/>
            <w:gridSpan w:val="13"/>
            <w:vMerge w:val="continue"/>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Amended and Restated Certificate of Incorporation of Registrant</w:t>
              </w:r>
            </w:hyperlink>
          </w:p>
        </w:tc>
        <w:tc>
          <w:tcPr>
            <w:tcW w:w="460" w:type="dxa"/>
            <w:vAlign w:val="bottom"/>
            <w:gridSpan w:val="8"/>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Certificate of Retirement</w:t>
              </w:r>
            </w:hyperlink>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Amended and Restated Bylaws of Registrant</w:t>
              </w:r>
            </w:hyperlink>
          </w:p>
        </w:tc>
        <w:tc>
          <w:tcPr>
            <w:tcW w:w="1900" w:type="dxa"/>
            <w:vAlign w:val="bottom"/>
            <w:gridSpan w:val="9"/>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333-220557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9/21/2017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2017 Employee Stock Purchase Plan</w:t>
            </w:r>
          </w:p>
        </w:tc>
        <w:tc>
          <w:tcPr>
            <w:tcW w:w="2480" w:type="dxa"/>
            <w:vAlign w:val="bottom"/>
            <w:gridSpan w:val="10"/>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w:t>
            </w:r>
          </w:p>
        </w:tc>
        <w:tc>
          <w:tcPr>
            <w:tcW w:w="18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00" w:type="dxa"/>
            <w:vAlign w:val="bottom"/>
            <w:gridSpan w:val="6"/>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w w:val="99"/>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9"/>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 of the Sarbanes</w:t>
            </w:r>
          </w:p>
        </w:tc>
        <w:tc>
          <w:tcPr>
            <w:tcW w:w="440" w:type="dxa"/>
            <w:vAlign w:val="bottom"/>
            <w:gridSpan w:val="7"/>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9"/>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6320" w:hanging="1074"/>
        <w:spacing w:after="0" w:line="237" w:lineRule="auto"/>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ind w:left="1100" w:right="60" w:hanging="651"/>
        <w:spacing w:after="0" w:line="226"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9" w:lineRule="exact"/>
        <w:rPr>
          <w:sz w:val="20"/>
          <w:szCs w:val="20"/>
          <w:color w:val="auto"/>
        </w:rPr>
      </w:pPr>
    </w:p>
    <w:p>
      <w:pPr>
        <w:ind w:left="1100" w:hanging="651"/>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622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90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2022</w:t>
            </w:r>
          </w:p>
        </w:tc>
        <w:tc>
          <w:tcPr>
            <w:tcW w:w="21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Dev Ittycheria</w:t>
            </w:r>
          </w:p>
        </w:tc>
      </w:tr>
      <w:tr>
        <w:trPr>
          <w:trHeight w:val="264"/>
        </w:trPr>
        <w:tc>
          <w:tcPr>
            <w:tcW w:w="2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 Ittycheria</w:t>
            </w:r>
          </w:p>
        </w:tc>
      </w:tr>
      <w:tr>
        <w:trPr>
          <w:trHeight w:val="270"/>
        </w:trPr>
        <w:tc>
          <w:tcPr>
            <w:tcW w:w="2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026"/>
        </w:trPr>
        <w:tc>
          <w:tcPr>
            <w:tcW w:w="2840" w:type="dxa"/>
            <w:vAlign w:val="bottom"/>
          </w:tcPr>
          <w:p>
            <w:pPr>
              <w:spacing w:after="0"/>
              <w:rPr>
                <w:sz w:val="24"/>
                <w:szCs w:val="24"/>
                <w:color w:val="auto"/>
              </w:rPr>
            </w:pPr>
          </w:p>
        </w:tc>
        <w:tc>
          <w:tcPr>
            <w:tcW w:w="21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Michael Gordon</w:t>
            </w:r>
          </w:p>
        </w:tc>
      </w:tr>
      <w:tr>
        <w:trPr>
          <w:trHeight w:val="263"/>
        </w:trPr>
        <w:tc>
          <w:tcPr>
            <w:tcW w:w="2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Gordon</w:t>
            </w:r>
          </w:p>
        </w:tc>
      </w:tr>
      <w:tr>
        <w:trPr>
          <w:trHeight w:val="270"/>
        </w:trPr>
        <w:tc>
          <w:tcPr>
            <w:tcW w:w="2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r>
      <w:tr>
        <w:trPr>
          <w:trHeight w:val="270"/>
        </w:trPr>
        <w:tc>
          <w:tcPr>
            <w:tcW w:w="2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2017 Employee Stock Purchase Plan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by the Board of Directors: October 4, 2017</w:t>
      </w: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Stockholders: October 5, 2017</w:t>
      </w:r>
    </w:p>
    <w:p>
      <w:pPr>
        <w:spacing w:after="0" w:line="18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Purpose.</w:t>
      </w:r>
    </w:p>
    <w:p>
      <w:pPr>
        <w:spacing w:after="0" w:line="193" w:lineRule="exact"/>
        <w:rPr>
          <w:sz w:val="20"/>
          <w:szCs w:val="20"/>
          <w:color w:val="auto"/>
        </w:rPr>
      </w:pPr>
    </w:p>
    <w:p>
      <w:pPr>
        <w:jc w:val="both"/>
        <w:ind w:firstLine="8"/>
        <w:spacing w:after="0" w:line="226" w:lineRule="auto"/>
        <w:tabs>
          <w:tab w:leader="none" w:pos="636"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47"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 and Affiliates.</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638"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and the Company will designate which Designated Company is participating in each separate Offering.</w:t>
      </w:r>
    </w:p>
    <w:p>
      <w:pPr>
        <w:spacing w:after="0" w:line="15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79" w:lineRule="exact"/>
        <w:rPr>
          <w:sz w:val="20"/>
          <w:szCs w:val="20"/>
          <w:color w:val="auto"/>
        </w:rPr>
      </w:pPr>
    </w:p>
    <w:p>
      <w:pPr>
        <w:ind w:firstLine="8"/>
        <w:spacing w:after="0"/>
        <w:tabs>
          <w:tab w:leader="none" w:pos="647"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have the power, subject to, and within the limitations of, the express provisions of the Plan:</w:t>
      </w:r>
    </w:p>
    <w:p>
      <w:pPr>
        <w:spacing w:after="0" w:line="17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how and when Purchase Rights will be granted and the provisions of each Offering (which need not be identical).</w:t>
      </w:r>
    </w:p>
    <w:p>
      <w:pPr>
        <w:spacing w:after="0" w:line="188"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47"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designate from time to time which Related Corporations of the Company will be eligible to participate in the Plan as Designated 423 Corporations or as Designated Non-423 Corporations, which Affiliates may be excluded from participation in the Plan, and which Designated Companies will participate in each separate Offering (to the extent that the Company makes separate Offerings).</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48"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60"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Purchase Rights granted under the Plan.</w:t>
      </w:r>
    </w:p>
    <w:p>
      <w:pPr>
        <w:spacing w:after="0" w:line="188"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suspend or terminate the Plan at any time as provided in Section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36" w:right="339" w:bottom="1440" w:gutter="0" w:footer="0" w:header="0"/>
        </w:sectPr>
      </w:pPr>
    </w:p>
    <w:bookmarkStart w:id="71" w:name="page72"/>
    <w:bookmarkEnd w:id="71"/>
    <w:p>
      <w:pPr>
        <w:ind w:left="632" w:hanging="632"/>
        <w:spacing w:after="0"/>
        <w:tabs>
          <w:tab w:leader="none" w:pos="632"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at any time as provided in Section 12.</w:t>
      </w:r>
    </w:p>
    <w:p>
      <w:pPr>
        <w:spacing w:after="0" w:line="188" w:lineRule="exact"/>
        <w:rPr>
          <w:rFonts w:ascii="Times New Roman" w:cs="Times New Roman" w:eastAsia="Times New Roman" w:hAnsi="Times New Roman"/>
          <w:sz w:val="20"/>
          <w:szCs w:val="20"/>
          <w:b w:val="1"/>
          <w:bCs w:val="1"/>
          <w:color w:val="auto"/>
        </w:rPr>
      </w:pPr>
    </w:p>
    <w:p>
      <w:pPr>
        <w:jc w:val="both"/>
        <w:ind w:left="-8" w:firstLine="8"/>
        <w:spacing w:after="0" w:line="226" w:lineRule="auto"/>
        <w:tabs>
          <w:tab w:leader="none" w:pos="629"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60" w:lineRule="exact"/>
        <w:rPr>
          <w:rFonts w:ascii="Times New Roman" w:cs="Times New Roman" w:eastAsia="Times New Roman" w:hAnsi="Times New Roman"/>
          <w:sz w:val="20"/>
          <w:szCs w:val="20"/>
          <w:b w:val="1"/>
          <w:bCs w:val="1"/>
          <w:color w:val="auto"/>
        </w:rPr>
      </w:pPr>
    </w:p>
    <w:p>
      <w:pPr>
        <w:jc w:val="both"/>
        <w:ind w:left="-8" w:firstLine="8"/>
        <w:spacing w:after="0" w:line="213" w:lineRule="auto"/>
        <w:tabs>
          <w:tab w:leader="none" w:pos="631"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rules, procedures and sub-plans relating to the operation and administration of the Plan as are necessary or appropriate under applicable local laws, regulations and procedures to permit or facilitate participation in the Plan by Employees who are foreign nationals or employed or located outside the United States. Without limiting the generality of, but consistent with, the foregoing, the Board specifically is authorized to adopt rules, procedures, and sub-plans, which, for purposes of the Non-423 Component, may be beyond the scope of Section 423 of the Code, regarding, without limitation, eligibility to participate in the Plan,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w:t>
      </w:r>
    </w:p>
    <w:p>
      <w:pPr>
        <w:spacing w:after="0" w:line="163" w:lineRule="exact"/>
        <w:rPr>
          <w:sz w:val="20"/>
          <w:szCs w:val="20"/>
          <w:color w:val="auto"/>
        </w:rPr>
      </w:pPr>
    </w:p>
    <w:p>
      <w:pPr>
        <w:jc w:val="both"/>
        <w:ind w:left="-8" w:firstLine="8"/>
        <w:spacing w:after="0" w:line="213" w:lineRule="auto"/>
        <w:tabs>
          <w:tab w:leader="none" w:pos="635"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2" w:lineRule="exact"/>
        <w:rPr>
          <w:rFonts w:ascii="Times New Roman" w:cs="Times New Roman" w:eastAsia="Times New Roman" w:hAnsi="Times New Roman"/>
          <w:sz w:val="20"/>
          <w:szCs w:val="20"/>
          <w:b w:val="1"/>
          <w:bCs w:val="1"/>
          <w:color w:val="auto"/>
        </w:rPr>
      </w:pPr>
    </w:p>
    <w:p>
      <w:pPr>
        <w:ind w:left="-8" w:firstLine="8"/>
        <w:spacing w:after="0"/>
        <w:tabs>
          <w:tab w:leader="none" w:pos="62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determinations, interpretations and constructions made by the Board in good faith will not be subject to review by any person and will be final, binding and conclusive on all persons.</w:t>
      </w:r>
    </w:p>
    <w:p>
      <w:pPr>
        <w:spacing w:after="0" w:line="144" w:lineRule="exact"/>
        <w:rPr>
          <w:sz w:val="20"/>
          <w:szCs w:val="20"/>
          <w:color w:val="auto"/>
        </w:rPr>
      </w:pPr>
    </w:p>
    <w:p>
      <w:pPr>
        <w:ind w:left="652" w:hanging="652"/>
        <w:spacing w:after="0"/>
        <w:tabs>
          <w:tab w:leader="none" w:pos="652"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 of Common Stock Subject to the Plan.</w:t>
      </w:r>
    </w:p>
    <w:p>
      <w:pPr>
        <w:spacing w:after="0" w:line="193" w:lineRule="exact"/>
        <w:rPr>
          <w:sz w:val="20"/>
          <w:szCs w:val="20"/>
          <w:color w:val="auto"/>
        </w:rPr>
      </w:pPr>
    </w:p>
    <w:p>
      <w:pPr>
        <w:jc w:val="both"/>
        <w:ind w:left="-8" w:firstLine="8"/>
        <w:spacing w:after="0" w:line="228" w:lineRule="auto"/>
        <w:tabs>
          <w:tab w:leader="none" w:pos="639"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Subject to the provisions of Section 11(a) relating to Capitalization Adjustments, the maximum number of shares of Common Stock that may be issued under the Plan will not exceed 995,000 shares of Common Stock, plus the number of shares of Common Stock that are automatically added commencing on February 1 of each year for a period of up to ten years, commencing on February 1 in the calendar year following the calendar year in which the IPO Date occurs and ending on (and including) February 1, 2027, in an amount equal to the lesser of</w:t>
      </w:r>
    </w:p>
    <w:p>
      <w:pPr>
        <w:spacing w:after="0" w:line="1" w:lineRule="exact"/>
        <w:rPr>
          <w:rFonts w:ascii="Times New Roman" w:cs="Times New Roman" w:eastAsia="Times New Roman" w:hAnsi="Times New Roman"/>
          <w:sz w:val="19"/>
          <w:szCs w:val="19"/>
          <w:b w:val="1"/>
          <w:bCs w:val="1"/>
          <w:color w:val="auto"/>
        </w:rPr>
      </w:pPr>
    </w:p>
    <w:p>
      <w:pPr>
        <w:jc w:val="both"/>
        <w:ind w:left="-8" w:firstLine="8"/>
        <w:spacing w:after="0" w:line="220" w:lineRule="auto"/>
        <w:tabs>
          <w:tab w:leader="none" w:pos="2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 of the total number of shares of Capital Stock outstanding on the last day of the fiscal year prior to the date of such automatic increase, and (ii) 995,000 shares of Common Stock. Notwithstanding the foregoing, the Board may act prior to the first day of any fiscal year to provide that there will be no February 1st increase in the share reserve for such fiscal year or that the increase in the share reserve for such fiscal year will be a lesser number of shares of Common Stock than would otherwise occur pursuant to the preceding sentence.</w:t>
      </w:r>
    </w:p>
    <w:p>
      <w:pPr>
        <w:spacing w:after="0" w:line="161" w:lineRule="exact"/>
        <w:rPr>
          <w:sz w:val="20"/>
          <w:szCs w:val="20"/>
          <w:color w:val="auto"/>
        </w:rPr>
      </w:pPr>
    </w:p>
    <w:p>
      <w:pPr>
        <w:ind w:left="-8" w:firstLine="8"/>
        <w:spacing w:after="0"/>
        <w:tabs>
          <w:tab w:leader="none" w:pos="638"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47" w:lineRule="exact"/>
        <w:rPr>
          <w:rFonts w:ascii="Times New Roman" w:cs="Times New Roman" w:eastAsia="Times New Roman" w:hAnsi="Times New Roman"/>
          <w:sz w:val="20"/>
          <w:szCs w:val="20"/>
          <w:b w:val="1"/>
          <w:bCs w:val="1"/>
          <w:color w:val="auto"/>
        </w:rPr>
      </w:pPr>
    </w:p>
    <w:p>
      <w:pPr>
        <w:ind w:left="-8" w:firstLine="8"/>
        <w:spacing w:after="0"/>
        <w:tabs>
          <w:tab w:leader="none" w:pos="635"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stock purchasable under the Plan will be shares of authorized but unissued or reacquired Common Stock, including shares repurchased by the Company on the open market.</w:t>
      </w:r>
    </w:p>
    <w:p>
      <w:pPr>
        <w:spacing w:after="0" w:line="157" w:lineRule="exact"/>
        <w:rPr>
          <w:sz w:val="20"/>
          <w:szCs w:val="20"/>
          <w:color w:val="auto"/>
        </w:rPr>
      </w:pPr>
    </w:p>
    <w:p>
      <w:pPr>
        <w:ind w:left="652" w:hanging="652"/>
        <w:spacing w:after="0"/>
        <w:tabs>
          <w:tab w:leader="none" w:pos="652"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Purchase Rights; Offering.</w:t>
      </w:r>
    </w:p>
    <w:p>
      <w:pPr>
        <w:spacing w:after="0" w:line="179" w:lineRule="exact"/>
        <w:rPr>
          <w:sz w:val="20"/>
          <w:szCs w:val="20"/>
          <w:color w:val="auto"/>
        </w:rPr>
      </w:pPr>
    </w:p>
    <w:p>
      <w:pPr>
        <w:ind w:left="-8" w:firstLine="8"/>
        <w:spacing w:after="0"/>
        <w:tabs>
          <w:tab w:leader="none" w:pos="639"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from time to time grant or provide for the grant of Purchase Rights to Eligible Employees under an Offering (consisting of one or more Purchase Periods) on an Offering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3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Offering Dates selected by the Board. Each Offering will be in such form and will contain such terms and conditions as the Board will deem</w:t>
      </w:r>
    </w:p>
    <w:p>
      <w:pPr>
        <w:spacing w:after="0" w:line="204" w:lineRule="auto"/>
        <w:rPr>
          <w:sz w:val="20"/>
          <w:szCs w:val="20"/>
          <w:color w:val="auto"/>
        </w:rPr>
      </w:pPr>
      <w:r>
        <w:rPr>
          <w:rFonts w:ascii="Times New Roman" w:cs="Times New Roman" w:eastAsia="Times New Roman" w:hAnsi="Times New Roman"/>
          <w:sz w:val="20"/>
          <w:szCs w:val="20"/>
          <w:color w:val="auto"/>
        </w:rPr>
        <w:t>appropriate, and, with respect to the 423 Component, will comply with the requirement of Section 423(b)(5) of the Code that all Employees granted Purchase Rights will have the same rights and privileges. The terms and conditions of an Offering will be incorporated by reference</w:t>
      </w:r>
    </w:p>
    <w:p>
      <w:pPr>
        <w:spacing w:after="0" w:line="211" w:lineRule="auto"/>
        <w:rPr>
          <w:sz w:val="20"/>
          <w:szCs w:val="20"/>
          <w:color w:val="auto"/>
        </w:rPr>
      </w:pPr>
      <w:r>
        <w:rPr>
          <w:rFonts w:ascii="Times New Roman" w:cs="Times New Roman" w:eastAsia="Times New Roman" w:hAnsi="Times New Roman"/>
          <w:sz w:val="20"/>
          <w:szCs w:val="20"/>
          <w:color w:val="auto"/>
        </w:rPr>
        <w:t>into the Plan and treated as part of the Plan. The provisions of separate Offerings need not be identical, but each Offering will include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(through incorporation of the provisions of this Plan by reference in the Offering Document or otherwise) the period during which the Offering will be effective, which period will not exceed 27 months beginning with the Offering Date, and the substance of the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contained in Sections 5 through 8, inclusive.</w:t>
      </w:r>
    </w:p>
    <w:p>
      <w:pPr>
        <w:spacing w:after="0" w:line="167" w:lineRule="exact"/>
        <w:rPr>
          <w:sz w:val="20"/>
          <w:szCs w:val="20"/>
          <w:color w:val="auto"/>
        </w:rPr>
      </w:pPr>
    </w:p>
    <w:p>
      <w:pPr>
        <w:jc w:val="both"/>
        <w:ind w:firstLine="8"/>
        <w:spacing w:after="0" w:line="217" w:lineRule="auto"/>
        <w:tabs>
          <w:tab w:leader="none" w:pos="646"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61" w:lineRule="exact"/>
        <w:rPr>
          <w:rFonts w:ascii="Times New Roman" w:cs="Times New Roman" w:eastAsia="Times New Roman" w:hAnsi="Times New Roman"/>
          <w:sz w:val="20"/>
          <w:szCs w:val="20"/>
          <w:b w:val="1"/>
          <w:bCs w:val="1"/>
          <w:color w:val="auto"/>
        </w:rPr>
      </w:pPr>
    </w:p>
    <w:p>
      <w:pPr>
        <w:jc w:val="both"/>
        <w:ind w:right="20" w:firstLine="8"/>
        <w:spacing w:after="0" w:line="222" w:lineRule="auto"/>
        <w:tabs>
          <w:tab w:leader="none" w:pos="648"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5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w:t>
      </w:r>
    </w:p>
    <w:p>
      <w:pPr>
        <w:spacing w:after="0" w:line="179" w:lineRule="exact"/>
        <w:rPr>
          <w:sz w:val="20"/>
          <w:szCs w:val="20"/>
          <w:color w:val="auto"/>
        </w:rPr>
      </w:pPr>
    </w:p>
    <w:p>
      <w:pPr>
        <w:jc w:val="both"/>
        <w:ind w:firstLine="8"/>
        <w:spacing w:after="0" w:line="215" w:lineRule="auto"/>
        <w:tabs>
          <w:tab w:leader="none" w:pos="647"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Purchase Rights may be granted only to Employees of the Company or, as the Board may designate in accordance with Section 2(b), to Employees of a Related Corporation or an Affiliate. Except as provided in Section 5(b),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as applicable, is more than 20 hours per week and more than five months per calendar year or such other criteria as the Board may determine consistent with Section 423 of the Code.</w:t>
      </w:r>
    </w:p>
    <w:p>
      <w:pPr>
        <w:spacing w:after="0" w:line="147" w:lineRule="exact"/>
        <w:rPr>
          <w:rFonts w:ascii="Times New Roman" w:cs="Times New Roman" w:eastAsia="Times New Roman" w:hAnsi="Times New Roman"/>
          <w:sz w:val="20"/>
          <w:szCs w:val="20"/>
          <w:b w:val="1"/>
          <w:bCs w:val="1"/>
          <w:color w:val="auto"/>
        </w:rPr>
      </w:pPr>
    </w:p>
    <w:p>
      <w:pPr>
        <w:jc w:val="both"/>
        <w:ind w:firstLine="8"/>
        <w:spacing w:after="0" w:line="234" w:lineRule="auto"/>
        <w:tabs>
          <w:tab w:leader="none" w:pos="636"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60" w:lineRule="exact"/>
        <w:rPr>
          <w:sz w:val="20"/>
          <w:szCs w:val="20"/>
          <w:color w:val="auto"/>
        </w:rPr>
      </w:pPr>
    </w:p>
    <w:p>
      <w:pPr>
        <w:ind w:firstLine="8"/>
        <w:spacing w:after="0"/>
        <w:tabs>
          <w:tab w:leader="none" w:pos="646"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on which such Purchase Right is granted will be the “Offering Date” of such Purchase Right for all purposes, including determination of the exercise price of such Purchase Right;</w:t>
      </w:r>
    </w:p>
    <w:p>
      <w:pPr>
        <w:spacing w:after="0" w:line="147" w:lineRule="exact"/>
        <w:rPr>
          <w:rFonts w:ascii="Times New Roman" w:cs="Times New Roman" w:eastAsia="Times New Roman" w:hAnsi="Times New Roman"/>
          <w:sz w:val="20"/>
          <w:szCs w:val="20"/>
          <w:b w:val="1"/>
          <w:bCs w:val="1"/>
          <w:color w:val="auto"/>
        </w:rPr>
      </w:pPr>
    </w:p>
    <w:p>
      <w:pPr>
        <w:ind w:firstLine="8"/>
        <w:spacing w:after="0"/>
        <w:tabs>
          <w:tab w:leader="none" w:pos="647"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period of the Offering with respect to such Purchase Right will begin on its Offering Date and end coincident with the end of such Offering; and</w:t>
      </w:r>
    </w:p>
    <w:p>
      <w:pPr>
        <w:spacing w:after="0" w:line="161" w:lineRule="exact"/>
        <w:rPr>
          <w:rFonts w:ascii="Times New Roman" w:cs="Times New Roman" w:eastAsia="Times New Roman" w:hAnsi="Times New Roman"/>
          <w:sz w:val="20"/>
          <w:szCs w:val="20"/>
          <w:b w:val="1"/>
          <w:bCs w:val="1"/>
          <w:color w:val="auto"/>
        </w:rPr>
      </w:pPr>
    </w:p>
    <w:p>
      <w:pPr>
        <w:ind w:firstLine="8"/>
        <w:spacing w:after="0" w:line="233" w:lineRule="auto"/>
        <w:tabs>
          <w:tab w:leader="none" w:pos="648"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provide that if such person first becomes an Eligible Employee within a specified period of time before the end of the Offering, he or she will not receive any Purchase Right under that Offering.</w:t>
      </w:r>
    </w:p>
    <w:p>
      <w:pPr>
        <w:spacing w:after="0" w:line="161" w:lineRule="exact"/>
        <w:rPr>
          <w:sz w:val="20"/>
          <w:szCs w:val="20"/>
          <w:color w:val="auto"/>
        </w:rPr>
      </w:pPr>
    </w:p>
    <w:p>
      <w:pPr>
        <w:jc w:val="both"/>
        <w:ind w:firstLine="8"/>
        <w:spacing w:after="0" w:line="226" w:lineRule="auto"/>
        <w:tabs>
          <w:tab w:leader="none" w:pos="647"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For purposes of this Section 5(c), the rules of Section 424(d) of the Code will apply in determining the stock ownership of any Employee,</w:t>
      </w:r>
    </w:p>
    <w:p>
      <w:pPr>
        <w:spacing w:after="0" w:line="221" w:lineRule="auto"/>
        <w:rPr>
          <w:sz w:val="20"/>
          <w:szCs w:val="20"/>
          <w:color w:val="auto"/>
        </w:rPr>
      </w:pPr>
      <w:r>
        <w:rPr>
          <w:rFonts w:ascii="Times New Roman" w:cs="Times New Roman" w:eastAsia="Times New Roman" w:hAnsi="Times New Roman"/>
          <w:sz w:val="20"/>
          <w:szCs w:val="20"/>
          <w:color w:val="auto"/>
        </w:rPr>
        <w:t>and stock which such Employee may purchase under all outstanding Purchase Rights and options will be treated as stock owned by such Employee.</w:t>
      </w:r>
    </w:p>
    <w:p>
      <w:pPr>
        <w:spacing w:after="0" w:line="162" w:lineRule="exact"/>
        <w:rPr>
          <w:sz w:val="20"/>
          <w:szCs w:val="20"/>
          <w:color w:val="auto"/>
        </w:rPr>
      </w:pPr>
    </w:p>
    <w:p>
      <w:pPr>
        <w:jc w:val="both"/>
        <w:ind w:firstLine="8"/>
        <w:spacing w:after="0" w:line="216" w:lineRule="auto"/>
        <w:tabs>
          <w:tab w:leader="none" w:pos="647"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specified by Section 423(b)(8) of the Code, an Eligible Employee may be granted Purchase Rights only if such Purchase Rights, together with any other rights granted under all Employee Stock Purchase Plans of the Company and any Related Corporations or Affiliates, do not permit such Eligible Employee’s rights to purchase stock of the Company or any Related Corporation or Affiliates to accrue at a rate which, when aggregated, exceeds U.S. $25,000 of the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62" w:lineRule="exact"/>
        <w:rPr>
          <w:rFonts w:ascii="Times New Roman" w:cs="Times New Roman" w:eastAsia="Times New Roman" w:hAnsi="Times New Roman"/>
          <w:sz w:val="20"/>
          <w:szCs w:val="20"/>
          <w:b w:val="1"/>
          <w:bCs w:val="1"/>
          <w:color w:val="auto"/>
        </w:rPr>
      </w:pPr>
    </w:p>
    <w:p>
      <w:pPr>
        <w:jc w:val="both"/>
        <w:ind w:right="20" w:firstLine="8"/>
        <w:spacing w:after="0" w:line="226" w:lineRule="auto"/>
        <w:tabs>
          <w:tab w:leader="none" w:pos="638"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Officers of the Company and any Designated Company,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56"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 Rights; Purchase Price.</w:t>
      </w:r>
    </w:p>
    <w:p>
      <w:pPr>
        <w:spacing w:after="0" w:line="193" w:lineRule="exact"/>
        <w:rPr>
          <w:sz w:val="20"/>
          <w:szCs w:val="20"/>
          <w:color w:val="auto"/>
        </w:rPr>
      </w:pPr>
    </w:p>
    <w:p>
      <w:pPr>
        <w:jc w:val="both"/>
        <w:ind w:firstLine="8"/>
        <w:spacing w:after="0" w:line="217" w:lineRule="auto"/>
        <w:tabs>
          <w:tab w:leader="none" w:pos="641"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each Offering Date, each Eligible Employee, pursuant to an Offering made under the Plan, will be granted a Purchase Right to purchase up to that number of shares of Common Stock (rounded down to the nearest whole share)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61" w:lineRule="exact"/>
        <w:rPr>
          <w:rFonts w:ascii="Times New Roman" w:cs="Times New Roman" w:eastAsia="Times New Roman" w:hAnsi="Times New Roman"/>
          <w:sz w:val="20"/>
          <w:szCs w:val="20"/>
          <w:b w:val="1"/>
          <w:bCs w:val="1"/>
          <w:color w:val="auto"/>
        </w:rPr>
      </w:pPr>
    </w:p>
    <w:p>
      <w:pPr>
        <w:ind w:firstLine="8"/>
        <w:spacing w:after="0" w:line="233" w:lineRule="auto"/>
        <w:tabs>
          <w:tab w:leader="none" w:pos="643"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5" w:lineRule="auto"/>
        <w:tabs>
          <w:tab w:leader="none" w:pos="647"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 (iii) a maximum aggregate number of shares of Common Stock that may be purchased by all Participants on any Purchase Date under the Offering.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47"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 price of shares of Common Stock acquired pursuant to Purchase Rights will be not less than the lesser of:</w:t>
      </w:r>
    </w:p>
    <w:p>
      <w:pPr>
        <w:spacing w:after="0" w:line="189"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equal to 85% of the Fair Market Value of the shares of Common Stock on the Offering Date; or</w:t>
      </w:r>
    </w:p>
    <w:p>
      <w:pPr>
        <w:spacing w:after="0" w:line="188"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equal to 85% of the Fair Market Value of the shares of Common Stock on the applicable Purchase Date.</w:t>
      </w:r>
    </w:p>
    <w:p>
      <w:pPr>
        <w:spacing w:after="0" w:line="17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Participation; Withdrawal; Termination.</w:t>
      </w:r>
    </w:p>
    <w:p>
      <w:pPr>
        <w:spacing w:after="0" w:line="193" w:lineRule="exact"/>
        <w:rPr>
          <w:sz w:val="20"/>
          <w:szCs w:val="20"/>
          <w:color w:val="auto"/>
        </w:rPr>
      </w:pPr>
    </w:p>
    <w:p>
      <w:pPr>
        <w:jc w:val="both"/>
        <w:ind w:firstLine="8"/>
        <w:spacing w:after="0" w:line="222" w:lineRule="auto"/>
        <w:tabs>
          <w:tab w:leader="none" w:pos="636"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Eligible Employee may elect to authorize payroll deductions as the means of making Contributions by completing and delivering to the Company, within the time specified in the Offering, an enrollment form provided by the Company or any third party designated by the Company (each, a “</w:t>
      </w:r>
      <w:r>
        <w:rPr>
          <w:rFonts w:ascii="Times New Roman" w:cs="Times New Roman" w:eastAsia="Times New Roman" w:hAnsi="Times New Roman"/>
          <w:sz w:val="20"/>
          <w:szCs w:val="20"/>
          <w:b w:val="1"/>
          <w:bCs w:val="1"/>
          <w:i w:val="1"/>
          <w:iCs w:val="1"/>
          <w:color w:val="auto"/>
        </w:rPr>
        <w:t>Company Designee</w:t>
      </w:r>
      <w:r>
        <w:rPr>
          <w:rFonts w:ascii="Times New Roman" w:cs="Times New Roman" w:eastAsia="Times New Roman" w:hAnsi="Times New Roman"/>
          <w:sz w:val="20"/>
          <w:szCs w:val="20"/>
          <w:color w:val="auto"/>
        </w:rPr>
        <w:t>”). The enrollment form will specify the amount of Contributions not to exceed the maximum amount specified by the Board. Each Participant’s Contributions will be credited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bookkeeping account for such Participant under the Plan and will be deposited with the general funds of the Company except where</w:t>
      </w:r>
    </w:p>
    <w:p>
      <w:pPr>
        <w:spacing w:after="0" w:line="204" w:lineRule="auto"/>
        <w:rPr>
          <w:sz w:val="20"/>
          <w:szCs w:val="20"/>
          <w:color w:val="auto"/>
        </w:rPr>
      </w:pPr>
      <w:r>
        <w:rPr>
          <w:rFonts w:ascii="Times New Roman" w:cs="Times New Roman" w:eastAsia="Times New Roman" w:hAnsi="Times New Roman"/>
          <w:sz w:val="20"/>
          <w:szCs w:val="20"/>
          <w:color w:val="auto"/>
        </w:rPr>
        <w:t>applicable laws or regulations require that Contributions be deposited with a Company Designee or otherwise be segregated. If permitted in the Offering, a Participant may begin such Contributions with the first payroll occurring on or after the Offering Date (or, in the case of a</w:t>
      </w:r>
    </w:p>
    <w:p>
      <w:pPr>
        <w:spacing w:after="0" w:line="211" w:lineRule="auto"/>
        <w:rPr>
          <w:sz w:val="20"/>
          <w:szCs w:val="20"/>
          <w:color w:val="auto"/>
        </w:rPr>
      </w:pPr>
      <w:r>
        <w:rPr>
          <w:rFonts w:ascii="Times New Roman" w:cs="Times New Roman" w:eastAsia="Times New Roman" w:hAnsi="Times New Roman"/>
          <w:sz w:val="20"/>
          <w:szCs w:val="20"/>
          <w:color w:val="auto"/>
        </w:rPr>
        <w:t>payroll date that occurs after the end of the prior Offering but before the Offering Date of the next new Offering, Contributions from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payroll will be included in the new Offering). If permitted in the Offering, a Participant may thereafter reduce (including to zero) or increase his or her Contributions. If required under applicable laws or regulations or if specifically provided in the Offering, in addition to or instead</w:t>
      </w:r>
    </w:p>
    <w:p>
      <w:pPr>
        <w:ind w:right="20"/>
        <w:spacing w:after="0" w:line="228" w:lineRule="auto"/>
        <w:rPr>
          <w:sz w:val="20"/>
          <w:szCs w:val="20"/>
          <w:color w:val="auto"/>
        </w:rPr>
      </w:pPr>
      <w:r>
        <w:rPr>
          <w:rFonts w:ascii="Times New Roman" w:cs="Times New Roman" w:eastAsia="Times New Roman" w:hAnsi="Times New Roman"/>
          <w:sz w:val="20"/>
          <w:szCs w:val="20"/>
          <w:color w:val="auto"/>
        </w:rPr>
        <w:t>of making Contributions by payroll deductions, a Participant may make Contributions through a payment by cash, check, or wire transfer prior to a Purchase Date, in a manner directed by the Company or a Company Designee.</w:t>
      </w:r>
    </w:p>
    <w:p>
      <w:pPr>
        <w:spacing w:after="0" w:line="149" w:lineRule="exact"/>
        <w:rPr>
          <w:sz w:val="20"/>
          <w:szCs w:val="20"/>
          <w:color w:val="auto"/>
        </w:rPr>
      </w:pPr>
    </w:p>
    <w:p>
      <w:pPr>
        <w:jc w:val="both"/>
        <w:ind w:firstLine="8"/>
        <w:spacing w:after="0" w:line="215" w:lineRule="auto"/>
        <w:tabs>
          <w:tab w:leader="none" w:pos="647"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will then terminate. A Participant’s withdrawal from that Offering will have no effect on his or her eligibility to participate in any other Offerings under the Plan, but such Participant will be required to deliver a new enrollment form to participate in subsequent Offerings.</w:t>
      </w:r>
    </w:p>
    <w:p>
      <w:pPr>
        <w:spacing w:after="0" w:line="164" w:lineRule="exact"/>
        <w:rPr>
          <w:rFonts w:ascii="Times New Roman" w:cs="Times New Roman" w:eastAsia="Times New Roman" w:hAnsi="Times New Roman"/>
          <w:sz w:val="20"/>
          <w:szCs w:val="20"/>
          <w:b w:val="1"/>
          <w:bCs w:val="1"/>
          <w:color w:val="auto"/>
        </w:rPr>
      </w:pPr>
    </w:p>
    <w:p>
      <w:pPr>
        <w:jc w:val="both"/>
        <w:ind w:right="20" w:firstLine="8"/>
        <w:spacing w:after="0" w:line="226" w:lineRule="auto"/>
        <w:tabs>
          <w:tab w:leader="none" w:pos="638"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Purchase Rights granted pursuant to any Offering under the Plan will terminate immediately if the Participant either (i) is no longer an Employee for any reason or for no reason, or (ii) is otherwise no longer eligible to participate. As soon as practicable, the Company will distribute to such individual all of his or her accumulated but unused Contributions.</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47"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60"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specified in the Offering, the Company will have no obligation to pay interest on Contributions.</w:t>
      </w:r>
    </w:p>
    <w:p>
      <w:pPr>
        <w:spacing w:after="0" w:line="17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of Purchase Rights.</w:t>
      </w:r>
    </w:p>
    <w:p>
      <w:pPr>
        <w:spacing w:after="0" w:line="193" w:lineRule="exact"/>
        <w:rPr>
          <w:sz w:val="20"/>
          <w:szCs w:val="20"/>
          <w:color w:val="auto"/>
        </w:rPr>
      </w:pPr>
    </w:p>
    <w:p>
      <w:pPr>
        <w:jc w:val="both"/>
        <w:ind w:firstLine="8"/>
        <w:spacing w:after="0" w:line="237" w:lineRule="auto"/>
        <w:tabs>
          <w:tab w:leader="none" w:pos="636"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On each Purchase Date, each Participant’s accumulated Contributions will be applied to the purchase of shares of Common Stock (rounded down to the nearest whole share), up to the maximum number of shares of Common Stock permitted by the Plan and the applicable Offering, at the purchase price specified in the Offering. No fractional shares will be issued unless specifically provided for in the Offering.</w:t>
      </w:r>
    </w:p>
    <w:p>
      <w:pPr>
        <w:spacing w:after="0" w:line="162" w:lineRule="exact"/>
        <w:rPr>
          <w:rFonts w:ascii="Times New Roman" w:cs="Times New Roman" w:eastAsia="Times New Roman" w:hAnsi="Times New Roman"/>
          <w:sz w:val="19"/>
          <w:szCs w:val="19"/>
          <w:b w:val="1"/>
          <w:bCs w:val="1"/>
          <w:color w:val="auto"/>
        </w:rPr>
      </w:pPr>
    </w:p>
    <w:p>
      <w:pPr>
        <w:jc w:val="both"/>
        <w:ind w:firstLine="8"/>
        <w:spacing w:after="0" w:line="226" w:lineRule="auto"/>
        <w:tabs>
          <w:tab w:leader="none" w:pos="647"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provided in the Offering, if any amount of accumulated Contributions remains in a Participant’s account after the purchase of shares of Common Stock on a Purchase Date in an Offering, then such remaining amount will be distributed to such Participant as soon as practicable after the applicable Purchase Date, without interest.</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638"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Purchase Rights may be exercised to any extent unless the shares of Common Stock to be issued 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or regulations, as determined by the Company in its sole discretion, no Purchase Rights will be exercised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accumulated but unused Contributions will be distributed as soon as practicable to the Participants without interest.</w:t>
      </w:r>
    </w:p>
    <w:p>
      <w:pPr>
        <w:spacing w:after="0" w:line="18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 of the Company.</w:t>
      </w:r>
    </w:p>
    <w:p>
      <w:pPr>
        <w:spacing w:after="0" w:line="17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unless the Company determines, in its sole discretion, that doing so would cause the Company to incur costs that are unreasonable. If, after commercially reasonable efforts, the Company is unable to obtain the authority that counsel for the Company deems necessary for the grant</w:t>
      </w:r>
    </w:p>
    <w:p>
      <w:pPr>
        <w:spacing w:after="0" w:line="211" w:lineRule="auto"/>
        <w:rPr>
          <w:sz w:val="20"/>
          <w:szCs w:val="20"/>
          <w:color w:val="auto"/>
        </w:rPr>
      </w:pPr>
      <w:r>
        <w:rPr>
          <w:rFonts w:ascii="Times New Roman" w:cs="Times New Roman" w:eastAsia="Times New Roman" w:hAnsi="Times New Roman"/>
          <w:sz w:val="20"/>
          <w:szCs w:val="20"/>
          <w:color w:val="auto"/>
        </w:rPr>
        <w:t>of Purchase Rights or the lawful issuance and sale of Common Stock under the Plan, and at a commercially reasonable cost, the Company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will be relieved from any liability for failure to grant Purchase Rights or to issue and sell Common Stock on exercise of such Purchase Rights.</w:t>
      </w:r>
    </w:p>
    <w:p>
      <w:pPr>
        <w:spacing w:after="0" w:line="158"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Designation of Beneficiary.</w:t>
      </w:r>
    </w:p>
    <w:p>
      <w:pPr>
        <w:spacing w:after="0" w:line="193" w:lineRule="exact"/>
        <w:rPr>
          <w:sz w:val="20"/>
          <w:szCs w:val="20"/>
          <w:color w:val="auto"/>
        </w:rPr>
      </w:pPr>
    </w:p>
    <w:p>
      <w:pPr>
        <w:jc w:val="both"/>
        <w:ind w:firstLine="8"/>
        <w:spacing w:after="0" w:line="217" w:lineRule="auto"/>
        <w:tabs>
          <w:tab w:leader="none" w:pos="63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but is not obligated to, permit a Participant to submit a form designating a beneficiary who will receive any shares of Common Stock or Contributions from the Participant’s account under the Plan if the Participant dies before such shares or Contributions are delivered to the Participant. The Company may, but is not obligated to, permit the Participant to change such designation of beneficiary. Any such designation or change must be on a form approved by the Company or as approved by the Company for use by a Company Designee.</w:t>
      </w:r>
    </w:p>
    <w:p>
      <w:pPr>
        <w:spacing w:after="0" w:line="161" w:lineRule="exact"/>
        <w:rPr>
          <w:rFonts w:ascii="Times New Roman" w:cs="Times New Roman" w:eastAsia="Times New Roman" w:hAnsi="Times New Roman"/>
          <w:sz w:val="20"/>
          <w:szCs w:val="20"/>
          <w:b w:val="1"/>
          <w:bCs w:val="1"/>
          <w:color w:val="auto"/>
        </w:rPr>
      </w:pPr>
    </w:p>
    <w:p>
      <w:pPr>
        <w:jc w:val="both"/>
        <w:ind w:firstLine="8"/>
        <w:spacing w:after="0" w:line="217" w:lineRule="auto"/>
        <w:tabs>
          <w:tab w:leader="none" w:pos="647"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Participant dies, in the absence of a valid beneficiary designation, the Company will deliver any shares of Common Stock and Contributions to the executor or administrator of the estate of the Participant. If no executor or administrator has been appointed (to the knowledge of the Company), the Company, in its sole discretion, may deliver such shares of Common Stock and Contributions, without interest, to the Participant’s spouse, dependents or relatives, or if no spouse, dependent or relative is known to the Company, then to such other person as the Company may designate.</w:t>
      </w:r>
    </w:p>
    <w:p>
      <w:pPr>
        <w:spacing w:after="0" w:line="158"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on Changes in Common Stock; Corporate Transactions.</w:t>
      </w:r>
    </w:p>
    <w:p>
      <w:pPr>
        <w:spacing w:after="0" w:line="193" w:lineRule="exact"/>
        <w:rPr>
          <w:sz w:val="20"/>
          <w:szCs w:val="20"/>
          <w:color w:val="auto"/>
        </w:rPr>
      </w:pPr>
    </w:p>
    <w:p>
      <w:pPr>
        <w:jc w:val="both"/>
        <w:ind w:firstLine="8"/>
        <w:spacing w:after="0" w:line="216" w:lineRule="auto"/>
        <w:tabs>
          <w:tab w:leader="none" w:pos="647"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62" w:lineRule="exact"/>
        <w:rPr>
          <w:rFonts w:ascii="Times New Roman" w:cs="Times New Roman" w:eastAsia="Times New Roman" w:hAnsi="Times New Roman"/>
          <w:sz w:val="20"/>
          <w:szCs w:val="20"/>
          <w:b w:val="1"/>
          <w:bCs w:val="1"/>
          <w:color w:val="auto"/>
        </w:rPr>
      </w:pPr>
    </w:p>
    <w:p>
      <w:pPr>
        <w:jc w:val="both"/>
        <w:ind w:firstLine="8"/>
        <w:spacing w:after="0" w:line="215" w:lineRule="auto"/>
        <w:tabs>
          <w:tab w:leader="none" w:pos="63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prior to the Corporate Transaction under the outstanding Purchase Rights, and the Purchase Rights will terminate immediately after such purchase.</w:t>
      </w:r>
    </w:p>
    <w:p>
      <w:pPr>
        <w:spacing w:after="0" w:line="147"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 or Suspension of the Plan.</w:t>
      </w:r>
    </w:p>
    <w:p>
      <w:pPr>
        <w:spacing w:after="0" w:line="193" w:lineRule="exact"/>
        <w:rPr>
          <w:sz w:val="20"/>
          <w:szCs w:val="20"/>
          <w:color w:val="auto"/>
        </w:rPr>
      </w:pPr>
    </w:p>
    <w:p>
      <w:pPr>
        <w:jc w:val="both"/>
        <w:ind w:firstLine="8"/>
        <w:spacing w:after="0" w:line="222" w:lineRule="auto"/>
        <w:tabs>
          <w:tab w:leader="none" w:pos="643"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laws, regulations or listing requirements, including any amendment that either (i) materially increases the number of shares of Common Stock available for issuance under the Plan,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9" w:right="339" w:bottom="1440" w:gutter="0" w:footer="0" w:header="0"/>
        </w:sectPr>
      </w:pPr>
    </w:p>
    <w:bookmarkStart w:id="76" w:name="page77"/>
    <w:bookmarkEnd w:id="76"/>
    <w:p>
      <w:pPr>
        <w:jc w:val="both"/>
        <w:spacing w:after="0" w:line="227" w:lineRule="auto"/>
        <w:rPr>
          <w:sz w:val="20"/>
          <w:szCs w:val="20"/>
          <w:color w:val="auto"/>
        </w:rPr>
      </w:pPr>
      <w:r>
        <w:rPr>
          <w:rFonts w:ascii="Times New Roman" w:cs="Times New Roman" w:eastAsia="Times New Roman" w:hAnsi="Times New Roman"/>
          <w:sz w:val="19"/>
          <w:szCs w:val="19"/>
          <w:color w:val="auto"/>
        </w:rPr>
        <w:t>materially expands the class of individuals eligible to become Participants and receive Purchase Rights, (iii) materially increases the benefits accruing to Participants under the Plan or materially reduces the price at which shares of Common Stock may be purchased under the Plan,</w:t>
      </w:r>
    </w:p>
    <w:p>
      <w:pPr>
        <w:ind w:right="20" w:firstLine="8"/>
        <w:spacing w:after="0" w:line="228" w:lineRule="auto"/>
        <w:tabs>
          <w:tab w:leader="none" w:pos="3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extends the term of the Plan, or (v) expands the types of awards available for issuance under the Plan, but in each of (i) through (v) above only to the extent stockholder approval is required by applicable laws, regulations, or listing requirements.</w:t>
      </w:r>
    </w:p>
    <w:p>
      <w:pPr>
        <w:spacing w:after="0" w:line="162" w:lineRule="exact"/>
        <w:rPr>
          <w:sz w:val="20"/>
          <w:szCs w:val="20"/>
          <w:color w:val="auto"/>
        </w:rPr>
      </w:pPr>
    </w:p>
    <w:p>
      <w:pPr>
        <w:ind w:right="20" w:firstLine="8"/>
        <w:spacing w:after="0" w:line="233" w:lineRule="auto"/>
        <w:tabs>
          <w:tab w:leader="none" w:pos="63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suspend or terminate the Plan at any time. No Purchase Rights may be granted under the Plan while the Plan is suspended or after it is terminated.</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47"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any special tax, listing, or regulatory treatment. To be clear, the Board may amend outstanding Purchase Rights without a Participant’s consent if such amendment is necessary to ensure that the Purchase Right or the 423 Component complies with the requirements of Section 423 of the Code.</w:t>
      </w:r>
    </w:p>
    <w:p>
      <w:pPr>
        <w:spacing w:after="0" w:line="146"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 of the Code; Tax Qualification.</w:t>
      </w:r>
    </w:p>
    <w:p>
      <w:pPr>
        <w:spacing w:after="0" w:line="193" w:lineRule="exact"/>
        <w:rPr>
          <w:sz w:val="20"/>
          <w:szCs w:val="20"/>
          <w:color w:val="auto"/>
        </w:rPr>
      </w:pPr>
    </w:p>
    <w:p>
      <w:pPr>
        <w:jc w:val="both"/>
        <w:ind w:firstLine="8"/>
        <w:spacing w:after="0" w:line="210" w:lineRule="auto"/>
        <w:tabs>
          <w:tab w:leader="none" w:pos="643"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Purchase Rights granted under the 423 Component are intended to be exempt from the application of Section 409A of the Code under U.S. Treasury Regulation Section 1.409A-1(b)(5)(ii). Purchase Rights granted under the Non-423 Component to U.S. taxpayers are intended to be exempt from the application of Section 409A of the Code under the short-term deferral exception and any ambiguities will be construed and interpreted in accordance with such intent. Subject to Section 13(b) below, Purchase Rights granted to U.S. taxpayers under the Non-423 Component will be subject to such terms and conditions that will permit such Purchase Rights to satisfy the requirements of the short-term deferral exception available under Section 409A of the Code, including the requirement that the shares subject to a Purchase Right be delivered within the short-term deferral period. Subject to Section 13(b) below, in the case of a Participant who would otherwise be subject to Section 409A of the Code, to the extent the Board determines that a Purchase Right or the exercise, payment, settlement, or deferral thereof is subject to Section 409A of the Code, the Purchase Right will be granted, exercised, paid, settled, or deferred in a manner that will comply with Section 409A of the Code, including U.S. Department of Treasury regulations and other interpretive guidance issued thereunder, including, without limitation, any such regulations or other guidance that may be issued after the adoption of the Plan. Notwithstanding the foregoing, the Company will have no liability to a Participant or any other party if the Purchase Right that is intended to be exempt from or compliant with Section 409A of the Code is not so exempt or compliant or for any action taken by the Board with respect thereto.</w:t>
      </w:r>
    </w:p>
    <w:p>
      <w:pPr>
        <w:spacing w:after="0" w:line="166" w:lineRule="exact"/>
        <w:rPr>
          <w:rFonts w:ascii="Times New Roman" w:cs="Times New Roman" w:eastAsia="Times New Roman" w:hAnsi="Times New Roman"/>
          <w:sz w:val="20"/>
          <w:szCs w:val="20"/>
          <w:b w:val="1"/>
          <w:bCs w:val="1"/>
          <w:color w:val="auto"/>
        </w:rPr>
      </w:pPr>
    </w:p>
    <w:p>
      <w:pPr>
        <w:jc w:val="both"/>
        <w:ind w:firstLine="8"/>
        <w:spacing w:after="0" w:line="220" w:lineRule="auto"/>
        <w:tabs>
          <w:tab w:leader="none" w:pos="636"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the Company may endeavor to (i) qualify a Purchase Right for special tax treatment under the laws of the United States or jurisdictions outside of the United States, or (ii) avoid adverse tax treatment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under Section 409A of the Code), the Company makes no representation to that effect and expressly disavows any covenant to maintain special or to avoid unfavorable tax treatment, notwithstanding anything to the contrary in this Plan, including Section 13(a) above. The Company will be unconstrained in its corporate activities without regard to the potential negative tax impact on Participants under the Plan.</w:t>
      </w:r>
    </w:p>
    <w:p>
      <w:pPr>
        <w:spacing w:after="0" w:line="143"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 of Plan.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Plan will become effective immediately prior to and contingent on the IPO Date. No Purchase Rights will be exercised unless</w:t>
      </w:r>
    </w:p>
    <w:p>
      <w:pPr>
        <w:spacing w:after="0" w:line="221" w:lineRule="auto"/>
        <w:rPr>
          <w:sz w:val="20"/>
          <w:szCs w:val="20"/>
          <w:color w:val="auto"/>
        </w:rPr>
      </w:pPr>
      <w:r>
        <w:rPr>
          <w:rFonts w:ascii="Times New Roman" w:cs="Times New Roman" w:eastAsia="Times New Roman" w:hAnsi="Times New Roman"/>
          <w:sz w:val="20"/>
          <w:szCs w:val="20"/>
          <w:color w:val="auto"/>
        </w:rPr>
        <w:t>and until the Plan has been approved by the stockholders of the Company, which approval must be within 12 months before or after the date the Plan is adopted (or if required under Section 12(a) above, materially amended)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9" w:right="339" w:bottom="1440" w:gutter="0" w:footer="0" w:header="0"/>
        </w:sectPr>
      </w:pPr>
    </w:p>
    <w:bookmarkStart w:id="77" w:name="page78"/>
    <w:bookmarkEnd w:id="77"/>
    <w:p>
      <w:pPr>
        <w:ind w:left="632" w:hanging="632"/>
        <w:spacing w:after="0"/>
        <w:tabs>
          <w:tab w:leader="none" w:pos="632"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193" w:lineRule="exact"/>
        <w:rPr>
          <w:sz w:val="20"/>
          <w:szCs w:val="20"/>
          <w:color w:val="auto"/>
        </w:rPr>
      </w:pPr>
    </w:p>
    <w:p>
      <w:pPr>
        <w:ind w:left="632" w:hanging="632"/>
        <w:spacing w:after="0"/>
        <w:tabs>
          <w:tab w:leader="none" w:pos="63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Proceeds from the sale of shares of Common Stock pursuant to Purchase Rights will constitute general funds of the Company.</w:t>
      </w:r>
    </w:p>
    <w:p>
      <w:pPr>
        <w:spacing w:after="0" w:line="175" w:lineRule="exact"/>
        <w:rPr>
          <w:rFonts w:ascii="Times New Roman" w:cs="Times New Roman" w:eastAsia="Times New Roman" w:hAnsi="Times New Roman"/>
          <w:sz w:val="20"/>
          <w:szCs w:val="20"/>
          <w:b w:val="1"/>
          <w:bCs w:val="1"/>
          <w:color w:val="auto"/>
        </w:rPr>
      </w:pPr>
    </w:p>
    <w:p>
      <w:pPr>
        <w:jc w:val="both"/>
        <w:ind w:left="-8" w:firstLine="8"/>
        <w:spacing w:after="0" w:line="230" w:lineRule="auto"/>
        <w:tabs>
          <w:tab w:leader="none" w:pos="639"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Participant will not be deemed to be the holder of, or to have any of the rights of a holder with respect to, shares of Common Stock subject to Purchase Rights unless and until the Participant’s shares of Common Stock acquired on exercise of Purchase Rights are recorded in the books of the Company (or its transfer agent).</w:t>
      </w:r>
    </w:p>
    <w:p>
      <w:pPr>
        <w:spacing w:after="0" w:line="148" w:lineRule="exact"/>
        <w:rPr>
          <w:rFonts w:ascii="Times New Roman" w:cs="Times New Roman" w:eastAsia="Times New Roman" w:hAnsi="Times New Roman"/>
          <w:sz w:val="20"/>
          <w:szCs w:val="20"/>
          <w:b w:val="1"/>
          <w:bCs w:val="1"/>
          <w:color w:val="auto"/>
        </w:rPr>
      </w:pPr>
    </w:p>
    <w:p>
      <w:pPr>
        <w:jc w:val="both"/>
        <w:ind w:left="-8" w:firstLine="8"/>
        <w:spacing w:after="0" w:line="222" w:lineRule="auto"/>
        <w:tabs>
          <w:tab w:leader="none" w:pos="63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and Offering do not constitute an employment contract. Nothing in the Plan or in the Offering will in any way alter the at-will nature of a Participant’s employment,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61"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provisions of the Plan will be governed by the laws of the State of Delaware without resort to that state’s conflicts of laws rules.</w:t>
      </w:r>
    </w:p>
    <w:p>
      <w:pPr>
        <w:spacing w:after="0" w:line="200" w:lineRule="exact"/>
        <w:rPr>
          <w:rFonts w:ascii="Times New Roman" w:cs="Times New Roman" w:eastAsia="Times New Roman" w:hAnsi="Times New Roman"/>
          <w:sz w:val="19"/>
          <w:szCs w:val="19"/>
          <w:b w:val="1"/>
          <w:bCs w:val="1"/>
          <w:color w:val="auto"/>
        </w:rPr>
      </w:pPr>
    </w:p>
    <w:p>
      <w:pPr>
        <w:ind w:left="-8" w:firstLine="8"/>
        <w:spacing w:after="0" w:line="233" w:lineRule="auto"/>
        <w:tabs>
          <w:tab w:leader="none" w:pos="63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60" w:lineRule="exact"/>
        <w:rPr>
          <w:rFonts w:ascii="Times New Roman" w:cs="Times New Roman" w:eastAsia="Times New Roman" w:hAnsi="Times New Roman"/>
          <w:sz w:val="20"/>
          <w:szCs w:val="20"/>
          <w:b w:val="1"/>
          <w:bCs w:val="1"/>
          <w:color w:val="auto"/>
        </w:rPr>
      </w:pPr>
    </w:p>
    <w:p>
      <w:pPr>
        <w:ind w:left="-8" w:right="20" w:firstLine="8"/>
        <w:spacing w:after="0"/>
        <w:tabs>
          <w:tab w:leader="none" w:pos="635"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provision of the Plan does not comply with applicable law or regulations, such provision will be construed in such a manner as to comply with applicable law or regulations.</w:t>
      </w:r>
    </w:p>
    <w:p>
      <w:pPr>
        <w:spacing w:after="0" w:line="144" w:lineRule="exact"/>
        <w:rPr>
          <w:sz w:val="20"/>
          <w:szCs w:val="20"/>
          <w:color w:val="auto"/>
        </w:rPr>
      </w:pPr>
    </w:p>
    <w:p>
      <w:pPr>
        <w:ind w:left="632" w:hanging="632"/>
        <w:spacing w:after="0"/>
        <w:tabs>
          <w:tab w:leader="none" w:pos="632"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92"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used in the Plan, the following definitions will apply to the capitalized terms indicated below:</w:t>
      </w:r>
    </w:p>
    <w:p>
      <w:pPr>
        <w:spacing w:after="0" w:line="185" w:lineRule="exact"/>
        <w:rPr>
          <w:sz w:val="20"/>
          <w:szCs w:val="20"/>
          <w:color w:val="auto"/>
        </w:rPr>
      </w:pPr>
    </w:p>
    <w:p>
      <w:pPr>
        <w:ind w:left="-8" w:firstLine="8"/>
        <w:spacing w:after="0" w:line="235" w:lineRule="auto"/>
        <w:tabs>
          <w:tab w:leader="none" w:pos="639"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423 Component</w:t>
      </w:r>
      <w:r>
        <w:rPr>
          <w:rFonts w:ascii="Times New Roman" w:cs="Times New Roman" w:eastAsia="Times New Roman" w:hAnsi="Times New Roman"/>
          <w:sz w:val="20"/>
          <w:szCs w:val="20"/>
          <w:color w:val="auto"/>
        </w:rPr>
        <w:t>” means the part of the Plan, which excludes the Non-423 Component, pursuant to which Purchase Rights that satisfy the requirements for an Employee Stock Purchase Plan may be granted to Eligible Employees.</w:t>
      </w:r>
    </w:p>
    <w:p>
      <w:pPr>
        <w:spacing w:after="0" w:line="157" w:lineRule="exact"/>
        <w:rPr>
          <w:rFonts w:ascii="Times New Roman" w:cs="Times New Roman" w:eastAsia="Times New Roman" w:hAnsi="Times New Roman"/>
          <w:sz w:val="20"/>
          <w:szCs w:val="20"/>
          <w:b w:val="1"/>
          <w:bCs w:val="1"/>
          <w:color w:val="auto"/>
        </w:rPr>
      </w:pPr>
    </w:p>
    <w:p>
      <w:pPr>
        <w:jc w:val="both"/>
        <w:ind w:left="-8" w:firstLine="8"/>
        <w:spacing w:after="0" w:line="227" w:lineRule="auto"/>
        <w:tabs>
          <w:tab w:leader="none" w:pos="63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157"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175"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means each and every class of common stock of the Company, regardless of the number of votes per share.</w:t>
      </w:r>
    </w:p>
    <w:p>
      <w:pPr>
        <w:spacing w:after="0" w:line="188" w:lineRule="exact"/>
        <w:rPr>
          <w:rFonts w:ascii="Times New Roman" w:cs="Times New Roman" w:eastAsia="Times New Roman" w:hAnsi="Times New Roman"/>
          <w:sz w:val="20"/>
          <w:szCs w:val="20"/>
          <w:b w:val="1"/>
          <w:bCs w:val="1"/>
          <w:color w:val="auto"/>
        </w:rPr>
      </w:pPr>
    </w:p>
    <w:p>
      <w:pPr>
        <w:jc w:val="both"/>
        <w:ind w:left="-8" w:firstLine="8"/>
        <w:spacing w:after="0" w:line="216" w:lineRule="auto"/>
        <w:tabs>
          <w:tab w:leader="none" w:pos="63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7"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including any applicable regulations and guidance thereunder</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32"/>
          </w:cols>
          <w:pgMar w:left="328" w:top="1395" w:right="339" w:bottom="1440" w:gutter="0" w:footer="0" w:header="0"/>
        </w:sectPr>
      </w:pPr>
    </w:p>
    <w:bookmarkStart w:id="78" w:name="page79"/>
    <w:bookmarkEnd w:id="78"/>
    <w:p>
      <w:pPr>
        <w:ind w:left="-8" w:right="20" w:firstLine="8"/>
        <w:spacing w:after="0" w:line="245" w:lineRule="auto"/>
        <w:tabs>
          <w:tab w:leader="none" w:pos="639"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one or more members of the Board to whom authority has been delegated by the Board in accordance with Section 2(c).</w:t>
      </w:r>
    </w:p>
    <w:p>
      <w:pPr>
        <w:spacing w:after="0" w:line="137" w:lineRule="exact"/>
        <w:rPr>
          <w:rFonts w:ascii="Times New Roman" w:cs="Times New Roman" w:eastAsia="Times New Roman" w:hAnsi="Times New Roman"/>
          <w:sz w:val="20"/>
          <w:szCs w:val="20"/>
          <w:b w:val="1"/>
          <w:bCs w:val="1"/>
          <w:color w:val="auto"/>
        </w:rPr>
      </w:pPr>
    </w:p>
    <w:p>
      <w:pPr>
        <w:ind w:left="632" w:hanging="632"/>
        <w:spacing w:after="0"/>
        <w:tabs>
          <w:tab w:leader="none" w:pos="632"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as of the IPO Date, the Class A Common Stock of the Company.</w:t>
      </w:r>
    </w:p>
    <w:p>
      <w:pPr>
        <w:spacing w:after="0" w:line="188"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MongoDB, Inc., a Delaware corporation.</w:t>
      </w:r>
    </w:p>
    <w:p>
      <w:pPr>
        <w:spacing w:after="0" w:line="188" w:lineRule="exact"/>
        <w:rPr>
          <w:rFonts w:ascii="Times New Roman" w:cs="Times New Roman" w:eastAsia="Times New Roman" w:hAnsi="Times New Roman"/>
          <w:sz w:val="20"/>
          <w:szCs w:val="20"/>
          <w:b w:val="1"/>
          <w:bCs w:val="1"/>
          <w:color w:val="auto"/>
        </w:rPr>
      </w:pPr>
    </w:p>
    <w:p>
      <w:pPr>
        <w:jc w:val="both"/>
        <w:ind w:left="-8" w:firstLine="8"/>
        <w:spacing w:after="0" w:line="223" w:lineRule="auto"/>
        <w:tabs>
          <w:tab w:leader="none" w:pos="639"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“Contributions</w:t>
      </w:r>
      <w:r>
        <w:rPr>
          <w:rFonts w:ascii="Times New Roman" w:cs="Times New Roman" w:eastAsia="Times New Roman" w:hAnsi="Times New Roman"/>
          <w:sz w:val="20"/>
          <w:szCs w:val="20"/>
          <w:color w:val="auto"/>
        </w:rPr>
        <w:t>” means the payroll deductions or other payments specifically provided for in the Offering that a Participant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 other payments during the Offering.</w:t>
      </w:r>
    </w:p>
    <w:p>
      <w:pPr>
        <w:spacing w:after="0" w:line="144" w:lineRule="exact"/>
        <w:rPr>
          <w:rFonts w:ascii="Times New Roman" w:cs="Times New Roman" w:eastAsia="Times New Roman" w:hAnsi="Times New Roman"/>
          <w:sz w:val="20"/>
          <w:szCs w:val="20"/>
          <w:b w:val="1"/>
          <w:bCs w:val="1"/>
          <w:color w:val="auto"/>
        </w:rPr>
      </w:pPr>
    </w:p>
    <w:p>
      <w:pPr>
        <w:ind w:left="-8" w:firstLine="8"/>
        <w:spacing w:after="0" w:line="245" w:lineRule="auto"/>
        <w:tabs>
          <w:tab w:leader="none" w:pos="63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 more of the following events:</w:t>
      </w:r>
    </w:p>
    <w:p>
      <w:pPr>
        <w:spacing w:after="0" w:line="155" w:lineRule="exact"/>
        <w:rPr>
          <w:sz w:val="20"/>
          <w:szCs w:val="20"/>
          <w:color w:val="auto"/>
        </w:rPr>
      </w:pPr>
    </w:p>
    <w:p>
      <w:pPr>
        <w:ind w:left="-8" w:firstLine="8"/>
        <w:spacing w:after="0" w:line="233" w:lineRule="auto"/>
        <w:tabs>
          <w:tab w:leader="none" w:pos="638"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in its sole discretion, of the consolidated assets of the Company and its Subsidiaries;</w:t>
      </w:r>
    </w:p>
    <w:p>
      <w:pPr>
        <w:spacing w:after="0" w:line="16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more than fifty percent (50%) of the outstanding securities of the Company;</w:t>
      </w:r>
    </w:p>
    <w:p>
      <w:pPr>
        <w:spacing w:after="0" w:line="188"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175" w:lineRule="exact"/>
        <w:rPr>
          <w:rFonts w:ascii="Times New Roman" w:cs="Times New Roman" w:eastAsia="Times New Roman" w:hAnsi="Times New Roman"/>
          <w:sz w:val="20"/>
          <w:szCs w:val="20"/>
          <w:b w:val="1"/>
          <w:bCs w:val="1"/>
          <w:color w:val="auto"/>
        </w:rPr>
      </w:pPr>
    </w:p>
    <w:p>
      <w:pPr>
        <w:jc w:val="both"/>
        <w:ind w:left="-8" w:firstLine="8"/>
        <w:spacing w:after="0" w:line="230" w:lineRule="auto"/>
        <w:tabs>
          <w:tab w:leader="none" w:pos="629"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5" w:lineRule="exact"/>
        <w:rPr>
          <w:sz w:val="20"/>
          <w:szCs w:val="20"/>
          <w:color w:val="auto"/>
        </w:rPr>
      </w:pPr>
    </w:p>
    <w:p>
      <w:pPr>
        <w:ind w:left="652" w:hanging="652"/>
        <w:spacing w:after="0"/>
        <w:tabs>
          <w:tab w:leader="none" w:pos="652"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423 Corporation</w:t>
      </w:r>
      <w:r>
        <w:rPr>
          <w:rFonts w:ascii="Times New Roman" w:cs="Times New Roman" w:eastAsia="Times New Roman" w:hAnsi="Times New Roman"/>
          <w:sz w:val="20"/>
          <w:szCs w:val="20"/>
          <w:color w:val="auto"/>
        </w:rPr>
        <w:t>” means any Related Corporation selected by the Board as participating in the 423 Component.</w:t>
      </w:r>
    </w:p>
    <w:p>
      <w:pPr>
        <w:spacing w:after="0" w:line="188" w:lineRule="exact"/>
        <w:rPr>
          <w:rFonts w:ascii="Times New Roman" w:cs="Times New Roman" w:eastAsia="Times New Roman" w:hAnsi="Times New Roman"/>
          <w:sz w:val="20"/>
          <w:szCs w:val="20"/>
          <w:b w:val="1"/>
          <w:bCs w:val="1"/>
          <w:color w:val="auto"/>
        </w:rPr>
      </w:pPr>
    </w:p>
    <w:p>
      <w:pPr>
        <w:jc w:val="both"/>
        <w:ind w:left="-8" w:firstLine="8"/>
        <w:spacing w:after="0" w:line="227" w:lineRule="auto"/>
        <w:tabs>
          <w:tab w:leader="none" w:pos="635"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Company</w:t>
      </w:r>
      <w:r>
        <w:rPr>
          <w:rFonts w:ascii="Times New Roman" w:cs="Times New Roman" w:eastAsia="Times New Roman" w:hAnsi="Times New Roman"/>
          <w:sz w:val="20"/>
          <w:szCs w:val="20"/>
          <w:color w:val="auto"/>
        </w:rPr>
        <w:t>” means any Designated Non-423 Corporation or Designated 423 Corporation, provided, however, that at any given time, a Related Corporation participating in the 423 Component will not be a Related Corporation participating in the Non-423 Component.</w:t>
      </w:r>
    </w:p>
    <w:p>
      <w:pPr>
        <w:spacing w:after="0" w:line="157" w:lineRule="exact"/>
        <w:rPr>
          <w:rFonts w:ascii="Times New Roman" w:cs="Times New Roman" w:eastAsia="Times New Roman" w:hAnsi="Times New Roman"/>
          <w:sz w:val="20"/>
          <w:szCs w:val="20"/>
          <w:b w:val="1"/>
          <w:bCs w:val="1"/>
          <w:color w:val="auto"/>
        </w:rPr>
      </w:pPr>
    </w:p>
    <w:p>
      <w:pPr>
        <w:ind w:left="-8" w:firstLine="8"/>
        <w:spacing w:after="0" w:line="235" w:lineRule="auto"/>
        <w:tabs>
          <w:tab w:leader="none" w:pos="639"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Non-423 Corporation</w:t>
      </w:r>
      <w:r>
        <w:rPr>
          <w:rFonts w:ascii="Times New Roman" w:cs="Times New Roman" w:eastAsia="Times New Roman" w:hAnsi="Times New Roman"/>
          <w:sz w:val="20"/>
          <w:szCs w:val="20"/>
          <w:color w:val="auto"/>
        </w:rPr>
        <w:t>” means any Related Corporation or Affiliate selected by the Board as participating in the Non-423 Component.</w:t>
      </w:r>
    </w:p>
    <w:p>
      <w:pPr>
        <w:spacing w:after="0" w:line="157"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188" w:lineRule="exact"/>
        <w:rPr>
          <w:rFonts w:ascii="Times New Roman" w:cs="Times New Roman" w:eastAsia="Times New Roman" w:hAnsi="Times New Roman"/>
          <w:sz w:val="20"/>
          <w:szCs w:val="20"/>
          <w:b w:val="1"/>
          <w:bCs w:val="1"/>
          <w:color w:val="auto"/>
        </w:rPr>
      </w:pPr>
    </w:p>
    <w:p>
      <w:pPr>
        <w:jc w:val="both"/>
        <w:ind w:left="-8" w:firstLine="8"/>
        <w:spacing w:after="0" w:line="227" w:lineRule="auto"/>
        <w:tabs>
          <w:tab w:leader="none" w:pos="64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Employee</w:t>
      </w:r>
      <w:r>
        <w:rPr>
          <w:rFonts w:ascii="Times New Roman" w:cs="Times New Roman" w:eastAsia="Times New Roman" w:hAnsi="Times New Roman"/>
          <w:sz w:val="20"/>
          <w:szCs w:val="20"/>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7" w:lineRule="exact"/>
        <w:rPr>
          <w:rFonts w:ascii="Times New Roman" w:cs="Times New Roman" w:eastAsia="Times New Roman" w:hAnsi="Times New Roman"/>
          <w:sz w:val="20"/>
          <w:szCs w:val="20"/>
          <w:b w:val="1"/>
          <w:bCs w:val="1"/>
          <w:color w:val="auto"/>
        </w:rPr>
      </w:pPr>
    </w:p>
    <w:p>
      <w:pPr>
        <w:jc w:val="both"/>
        <w:ind w:left="-8" w:firstLine="8"/>
        <w:spacing w:after="0" w:line="227" w:lineRule="auto"/>
        <w:tabs>
          <w:tab w:leader="none" w:pos="639"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including an Officer or Director, who is treated as an employee in the records of the Company or a Related Corporation (including an Affiliate). However, service solely as a Director, or payment of a fee for such services, will not cause a Director to be considered an “Employee” for purposes of the Plan.</w:t>
      </w:r>
    </w:p>
    <w:p>
      <w:pPr>
        <w:spacing w:after="0" w:line="157" w:lineRule="exact"/>
        <w:rPr>
          <w:rFonts w:ascii="Times New Roman" w:cs="Times New Roman" w:eastAsia="Times New Roman" w:hAnsi="Times New Roman"/>
          <w:sz w:val="20"/>
          <w:szCs w:val="20"/>
          <w:b w:val="1"/>
          <w:bCs w:val="1"/>
          <w:color w:val="auto"/>
        </w:rPr>
      </w:pPr>
    </w:p>
    <w:p>
      <w:pPr>
        <w:ind w:left="-8" w:firstLine="8"/>
        <w:spacing w:after="0" w:line="235" w:lineRule="auto"/>
        <w:tabs>
          <w:tab w:leader="none" w:pos="628"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 Stock Purchase Plan</w:t>
      </w:r>
      <w:r>
        <w:rPr>
          <w:rFonts w:ascii="Times New Roman" w:cs="Times New Roman" w:eastAsia="Times New Roman" w:hAnsi="Times New Roman"/>
          <w:sz w:val="20"/>
          <w:szCs w:val="20"/>
          <w:color w:val="auto"/>
        </w:rPr>
        <w:t>” means a plan that grants Purchase Rights intended to be options issued under an “employee stock purchase plan,” as that term is defined in Section 423(b) of the Code.</w:t>
      </w:r>
    </w:p>
    <w:p>
      <w:pPr>
        <w:spacing w:after="0" w:line="157"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the Common Stock determined as follows:</w:t>
      </w:r>
    </w:p>
    <w:p>
      <w:pPr>
        <w:spacing w:after="0" w:line="193" w:lineRule="exact"/>
        <w:rPr>
          <w:sz w:val="20"/>
          <w:szCs w:val="20"/>
          <w:color w:val="auto"/>
        </w:rPr>
      </w:pPr>
    </w:p>
    <w:p>
      <w:pPr>
        <w:jc w:val="both"/>
        <w:ind w:firstLine="8"/>
        <w:spacing w:after="0" w:line="217" w:lineRule="auto"/>
        <w:tabs>
          <w:tab w:leader="none" w:pos="636"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Times New Roman" w:cs="Times New Roman" w:eastAsia="Times New Roman" w:hAnsi="Times New Roman"/>
          <w:sz w:val="20"/>
          <w:szCs w:val="20"/>
          <w:b w:val="1"/>
          <w:bCs w:val="1"/>
          <w:color w:val="auto"/>
        </w:rPr>
      </w:pPr>
    </w:p>
    <w:p>
      <w:pPr>
        <w:ind w:right="20" w:firstLine="8"/>
        <w:spacing w:after="0"/>
        <w:tabs>
          <w:tab w:leader="none" w:pos="637"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the Fair Market Value will be determined by the Board in good faith in compliance with applicable laws and regulations and in a manner that complies with Sections 409A of the Code.</w:t>
      </w:r>
    </w:p>
    <w:p>
      <w:pPr>
        <w:spacing w:after="0" w:line="147" w:lineRule="exact"/>
        <w:rPr>
          <w:rFonts w:ascii="Times New Roman" w:cs="Times New Roman" w:eastAsia="Times New Roman" w:hAnsi="Times New Roman"/>
          <w:sz w:val="20"/>
          <w:szCs w:val="20"/>
          <w:b w:val="1"/>
          <w:bCs w:val="1"/>
          <w:color w:val="auto"/>
        </w:rPr>
      </w:pPr>
    </w:p>
    <w:p>
      <w:pPr>
        <w:jc w:val="both"/>
        <w:ind w:firstLine="8"/>
        <w:spacing w:after="0" w:line="230" w:lineRule="auto"/>
        <w:tabs>
          <w:tab w:leader="none" w:pos="637"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45" w:lineRule="exact"/>
        <w:rPr>
          <w:sz w:val="20"/>
          <w:szCs w:val="20"/>
          <w:color w:val="auto"/>
        </w:rPr>
      </w:pPr>
    </w:p>
    <w:p>
      <w:pPr>
        <w:ind w:right="20" w:firstLine="8"/>
        <w:spacing w:after="0" w:line="245" w:lineRule="auto"/>
        <w:tabs>
          <w:tab w:leader="none" w:pos="641"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 Date</w:t>
      </w:r>
      <w:r>
        <w:rPr>
          <w:rFonts w:ascii="Times New Roman" w:cs="Times New Roman" w:eastAsia="Times New Roman" w:hAnsi="Times New Roman"/>
          <w:sz w:val="20"/>
          <w:szCs w:val="20"/>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1" w:lineRule="exact"/>
        <w:rPr>
          <w:rFonts w:ascii="Times New Roman" w:cs="Times New Roman" w:eastAsia="Times New Roman" w:hAnsi="Times New Roman"/>
          <w:sz w:val="20"/>
          <w:szCs w:val="20"/>
          <w:b w:val="1"/>
          <w:bCs w:val="1"/>
          <w:color w:val="auto"/>
        </w:rPr>
      </w:pPr>
    </w:p>
    <w:p>
      <w:pPr>
        <w:ind w:firstLine="8"/>
        <w:spacing w:after="0" w:line="235" w:lineRule="auto"/>
        <w:tabs>
          <w:tab w:leader="none" w:pos="643"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Non-423 Component</w:t>
      </w:r>
      <w:r>
        <w:rPr>
          <w:rFonts w:ascii="Times New Roman" w:cs="Times New Roman" w:eastAsia="Times New Roman" w:hAnsi="Times New Roman"/>
          <w:sz w:val="20"/>
          <w:szCs w:val="20"/>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27" w:lineRule="auto"/>
        <w:tabs>
          <w:tab w:leader="none" w:pos="647"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Document</w:t>
      </w:r>
      <w:r>
        <w:rPr>
          <w:rFonts w:ascii="Times New Roman" w:cs="Times New Roman" w:eastAsia="Times New Roman" w:hAnsi="Times New Roman"/>
          <w:sz w:val="20"/>
          <w:szCs w:val="20"/>
          <w:color w:val="auto"/>
        </w:rPr>
        <w:t>” approved by the Board for that Offering.</w:t>
      </w:r>
    </w:p>
    <w:p>
      <w:pPr>
        <w:spacing w:after="0" w:line="157"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 Date</w:t>
      </w:r>
      <w:r>
        <w:rPr>
          <w:rFonts w:ascii="Times New Roman" w:cs="Times New Roman" w:eastAsia="Times New Roman" w:hAnsi="Times New Roman"/>
          <w:sz w:val="20"/>
          <w:szCs w:val="20"/>
          <w:color w:val="auto"/>
        </w:rPr>
        <w:t>” means a date selected by the Board for an Offering to commence.</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45" w:lineRule="auto"/>
        <w:tabs>
          <w:tab w:leader="none" w:pos="639"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or a Related Corporation or Affiliate within the meaning of Section 16 of the Exchange Act.</w:t>
      </w:r>
    </w:p>
    <w:p>
      <w:pPr>
        <w:spacing w:after="0" w:line="151"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Eligible Employee who holds an outstanding Purchase Right.</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45" w:lineRule="auto"/>
        <w:tabs>
          <w:tab w:leader="none" w:pos="636"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MongoDB, Inc. 2017 Employee Stock Purchase Plan, including both the 423 Component and the Non-423 Component, as amended from time to time.</w:t>
      </w:r>
    </w:p>
    <w:p>
      <w:pPr>
        <w:spacing w:after="0" w:line="151" w:lineRule="exact"/>
        <w:rPr>
          <w:rFonts w:ascii="Times New Roman" w:cs="Times New Roman" w:eastAsia="Times New Roman" w:hAnsi="Times New Roman"/>
          <w:sz w:val="20"/>
          <w:szCs w:val="20"/>
          <w:b w:val="1"/>
          <w:bCs w:val="1"/>
          <w:color w:val="auto"/>
        </w:rPr>
      </w:pPr>
    </w:p>
    <w:p>
      <w:pPr>
        <w:ind w:firstLine="8"/>
        <w:spacing w:after="0" w:line="235" w:lineRule="auto"/>
        <w:tabs>
          <w:tab w:leader="none" w:pos="638"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Date</w:t>
      </w:r>
      <w:r>
        <w:rPr>
          <w:rFonts w:ascii="Times New Roman" w:cs="Times New Roman" w:eastAsia="Times New Roman" w:hAnsi="Times New Roman"/>
          <w:sz w:val="20"/>
          <w:szCs w:val="20"/>
          <w:color w:val="auto"/>
        </w:rPr>
        <w:t>” means one or more dates during an Offering selected by the Board on which Purchase Rights will be exercised and on which purchases of shares of Common Stock will be carried out in accordance with such Offering.</w:t>
      </w:r>
    </w:p>
    <w:p>
      <w:pPr>
        <w:spacing w:after="0" w:line="157" w:lineRule="exact"/>
        <w:rPr>
          <w:sz w:val="20"/>
          <w:szCs w:val="20"/>
          <w:color w:val="auto"/>
        </w:rPr>
      </w:pPr>
    </w:p>
    <w:p>
      <w:pPr>
        <w:ind w:right="20" w:firstLine="8"/>
        <w:spacing w:after="0" w:line="245" w:lineRule="auto"/>
        <w:tabs>
          <w:tab w:leader="none" w:pos="6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Period</w:t>
      </w:r>
      <w:r>
        <w:rPr>
          <w:rFonts w:ascii="Times New Roman" w:cs="Times New Roman" w:eastAsia="Times New Roman" w:hAnsi="Times New Roman"/>
          <w:sz w:val="20"/>
          <w:szCs w:val="20"/>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(ab)</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Right</w:t>
      </w:r>
      <w:r>
        <w:rPr>
          <w:rFonts w:ascii="Times New Roman" w:cs="Times New Roman" w:eastAsia="Times New Roman" w:hAnsi="Times New Roman"/>
          <w:sz w:val="20"/>
          <w:szCs w:val="20"/>
          <w:color w:val="auto"/>
        </w:rPr>
        <w:t>” means an option to purchase shares of Common Stock granted pursuant to the Plan.</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Corporation</w:t>
      </w:r>
      <w:r>
        <w:rPr>
          <w:rFonts w:ascii="Times New Roman" w:cs="Times New Roman" w:eastAsia="Times New Roman" w:hAnsi="Times New Roman"/>
          <w:sz w:val="20"/>
          <w:szCs w:val="20"/>
          <w:color w:val="auto"/>
        </w:rPr>
        <w:t>” means any “parent corporation” or “subsidiary corporation” of the Company whether now or subsequently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as those terms are defined in Sections 424(e) and (f), respectively,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80" w:name="page81"/>
    <w:bookmarkEnd w:id="80"/>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(ad)</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(ae)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Trading Day</w:t>
      </w:r>
      <w:r>
        <w:rPr>
          <w:rFonts w:ascii="Times New Roman" w:cs="Times New Roman" w:eastAsia="Times New Roman" w:hAnsi="Times New Roman"/>
          <w:sz w:val="19"/>
          <w:szCs w:val="19"/>
          <w:color w:val="auto"/>
        </w:rPr>
        <w:t>” means any day on which the exchange or market on which shares of Common Stock are listed, including but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limited to the NYSE, Nasdaq Global Select Market, the Nasdaq Global Market, the Nasdaq Capital Market, or any successors thereto, is open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ISRAELI APPENDIX</w:t>
      </w: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This Israeli Appendix (the “</w:t>
      </w:r>
      <w:r>
        <w:rPr>
          <w:rFonts w:ascii="Times New Roman" w:cs="Times New Roman" w:eastAsia="Times New Roman" w:hAnsi="Times New Roman"/>
          <w:sz w:val="19"/>
          <w:szCs w:val="19"/>
          <w:b w:val="1"/>
          <w:bCs w:val="1"/>
          <w:color w:val="auto"/>
        </w:rPr>
        <w:t>Appendix</w:t>
      </w:r>
      <w:r>
        <w:rPr>
          <w:rFonts w:ascii="Times New Roman" w:cs="Times New Roman" w:eastAsia="Times New Roman" w:hAnsi="Times New Roman"/>
          <w:sz w:val="19"/>
          <w:szCs w:val="19"/>
          <w:color w:val="auto"/>
        </w:rPr>
        <w:t>”) to the 2017 Employee Stock Purchase Plan (as amended from time to time,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of MongoDB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shall apply only to persons who are, or are deemed to be, residents of the State of Israel for Israeli tax purposes.</w:t>
      </w:r>
    </w:p>
    <w:p>
      <w:pPr>
        <w:spacing w:after="0" w:line="197"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GENERAL</w:t>
      </w:r>
    </w:p>
    <w:p>
      <w:pPr>
        <w:spacing w:after="0" w:line="178" w:lineRule="exact"/>
        <w:rPr>
          <w:sz w:val="20"/>
          <w:szCs w:val="20"/>
          <w:color w:val="auto"/>
        </w:rPr>
      </w:pPr>
    </w:p>
    <w:p>
      <w:pPr>
        <w:jc w:val="both"/>
        <w:ind w:firstLine="340"/>
        <w:spacing w:after="0" w:line="24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9"/>
          <w:szCs w:val="19"/>
          <w:color w:val="auto"/>
        </w:rPr>
        <w:t>The Board, in its discretion, may grant a right to purchase Awards to Eligible Employees and shall determine whether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Award is intended to be a 102 Award. Each exercise of a right to purchase an Award shall be evidenced by a Subscription Agreement, which shall expressly identify the Award type, and be in such form and contain such provisions, as the Board shall from time to time deem appropriate.</w:t>
      </w:r>
    </w:p>
    <w:p>
      <w:pPr>
        <w:spacing w:after="0" w:line="400" w:lineRule="exact"/>
        <w:rPr>
          <w:sz w:val="20"/>
          <w:szCs w:val="20"/>
          <w:color w:val="auto"/>
        </w:rPr>
      </w:pPr>
    </w:p>
    <w:p>
      <w:pPr>
        <w:jc w:val="both"/>
        <w:ind w:firstLine="340"/>
        <w:spacing w:after="0" w:line="249"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19"/>
          <w:szCs w:val="19"/>
          <w:color w:val="auto"/>
        </w:rPr>
        <w:t>The Plan shall apply to any Awards and rights to purchase Awards, in each case granted pursuant to this Appendix, 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that the provisions of this Appendix shall supersede and govern in the case of any inconsistency or conflict, either explicit or implied, arising between the provisions of this Appendix and the Plan.</w:t>
      </w:r>
    </w:p>
    <w:p>
      <w:pPr>
        <w:spacing w:after="0" w:line="162" w:lineRule="exact"/>
        <w:rPr>
          <w:sz w:val="20"/>
          <w:szCs w:val="20"/>
          <w:color w:val="auto"/>
        </w:rPr>
      </w:pPr>
    </w:p>
    <w:p>
      <w:pPr>
        <w:jc w:val="both"/>
        <w:ind w:firstLine="340"/>
        <w:spacing w:after="0"/>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19"/>
          <w:szCs w:val="19"/>
          <w:color w:val="auto"/>
        </w:rPr>
        <w:t>Unless otherwise defined in this Appendix, capitalized terms contained herein shall have the same meanings given to them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Plan.</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firstLine="340"/>
        <w:spacing w:after="0" w:line="263"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102 Award</w:t>
      </w:r>
      <w:r>
        <w:rPr>
          <w:rFonts w:ascii="Times New Roman" w:cs="Times New Roman" w:eastAsia="Times New Roman" w:hAnsi="Times New Roman"/>
          <w:sz w:val="19"/>
          <w:szCs w:val="19"/>
          <w:color w:val="auto"/>
        </w:rPr>
        <w:t>” means any Award intended to qualify (as set forth in the Subscription Agreement) and which qualifies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Section 102, provided it is settled only in shares of Common Stock.</w:t>
      </w:r>
    </w:p>
    <w:p>
      <w:pPr>
        <w:spacing w:after="0" w:line="145" w:lineRule="exact"/>
        <w:rPr>
          <w:sz w:val="20"/>
          <w:szCs w:val="20"/>
          <w:color w:val="auto"/>
        </w:rPr>
      </w:pPr>
    </w:p>
    <w:p>
      <w:pPr>
        <w:ind w:right="20" w:firstLine="340"/>
        <w:spacing w:after="0" w:line="277"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102 Capital Gain Track Award</w:t>
      </w:r>
      <w:r>
        <w:rPr>
          <w:rFonts w:ascii="Times New Roman" w:cs="Times New Roman" w:eastAsia="Times New Roman" w:hAnsi="Times New Roman"/>
          <w:sz w:val="19"/>
          <w:szCs w:val="19"/>
          <w:color w:val="auto"/>
        </w:rPr>
        <w:t>” means any Award granted by the Company to an Employee pursuant to Section 102(b)(2)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(3) (as applicable) of the Ordinance under the capital gain track.</w:t>
      </w:r>
    </w:p>
    <w:p>
      <w:pPr>
        <w:spacing w:after="0" w:line="131" w:lineRule="exact"/>
        <w:rPr>
          <w:sz w:val="20"/>
          <w:szCs w:val="20"/>
          <w:color w:val="auto"/>
        </w:rPr>
      </w:pPr>
    </w:p>
    <w:p>
      <w:pPr>
        <w:ind w:firstLine="340"/>
        <w:spacing w:after="0" w:line="26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102 Non-Trustee Award</w:t>
      </w:r>
      <w:r>
        <w:rPr>
          <w:rFonts w:ascii="Times New Roman" w:cs="Times New Roman" w:eastAsia="Times New Roman" w:hAnsi="Times New Roman"/>
          <w:sz w:val="19"/>
          <w:szCs w:val="19"/>
          <w:color w:val="auto"/>
        </w:rPr>
        <w:t>” means any Award granted by the Company to an Employee pursuant to Section 102(c)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Ordinance without a Trustee.</w:t>
      </w:r>
    </w:p>
    <w:p>
      <w:pPr>
        <w:spacing w:after="0" w:line="145" w:lineRule="exact"/>
        <w:rPr>
          <w:sz w:val="20"/>
          <w:szCs w:val="20"/>
          <w:color w:val="auto"/>
        </w:rPr>
      </w:pPr>
    </w:p>
    <w:p>
      <w:pPr>
        <w:ind w:firstLine="340"/>
        <w:spacing w:after="0" w:line="27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102 Ordinary Income Track Award</w:t>
      </w:r>
      <w:r>
        <w:rPr>
          <w:rFonts w:ascii="Times New Roman" w:cs="Times New Roman" w:eastAsia="Times New Roman" w:hAnsi="Times New Roman"/>
          <w:sz w:val="19"/>
          <w:szCs w:val="19"/>
          <w:color w:val="auto"/>
        </w:rPr>
        <w:t>” means any Award granted by the Company to an Employee pursuant to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102(b)(1) of the Ordinance under the ordinary income track.</w:t>
      </w:r>
    </w:p>
    <w:p>
      <w:pPr>
        <w:spacing w:after="0" w:line="131" w:lineRule="exact"/>
        <w:rPr>
          <w:sz w:val="20"/>
          <w:szCs w:val="20"/>
          <w:color w:val="auto"/>
        </w:rPr>
      </w:pPr>
    </w:p>
    <w:p>
      <w:pPr>
        <w:ind w:left="340"/>
        <w:spacing w:after="0"/>
        <w:tabs>
          <w:tab w:leader="none" w:pos="13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102 Trustee Awards</w:t>
      </w:r>
      <w:r>
        <w:rPr>
          <w:rFonts w:ascii="Times New Roman" w:cs="Times New Roman" w:eastAsia="Times New Roman" w:hAnsi="Times New Roman"/>
          <w:sz w:val="19"/>
          <w:szCs w:val="19"/>
          <w:color w:val="auto"/>
        </w:rPr>
        <w:t>” means, collectively, 102 Capital Gain Track Awards and 102 Ordinary Income Track Awards.</w:t>
      </w:r>
    </w:p>
    <w:p>
      <w:pPr>
        <w:spacing w:after="0" w:line="193"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mean any share of Common Stock purchased according to the Plan.</w:t>
      </w:r>
    </w:p>
    <w:p>
      <w:pPr>
        <w:spacing w:after="0" w:line="193"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as defined in Section 3.2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WEST\297535801.2</w:t>
      </w:r>
    </w:p>
    <w:p>
      <w:pPr>
        <w:sectPr>
          <w:pgSz w:w="11900" w:h="16838" w:orient="portrait"/>
          <w:cols w:equalWidth="0" w:num="1">
            <w:col w:w="11240"/>
          </w:cols>
          <w:pgMar w:left="320" w:top="1400" w:right="339" w:bottom="1440" w:gutter="0" w:footer="0" w:header="0"/>
        </w:sectPr>
      </w:pPr>
    </w:p>
    <w:bookmarkStart w:id="82" w:name="page83"/>
    <w:bookmarkEnd w:id="82"/>
    <w:p>
      <w:pPr>
        <w:spacing w:after="0" w:line="182" w:lineRule="auto"/>
        <w:framePr w:w="520" w:h="192" w:wrap="auto" w:vAnchor="page" w:hAnchor="page" w:x="620" w:y="633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2.16.</w:t>
      </w:r>
    </w:p>
    <w:p>
      <w:pPr>
        <w:spacing w:after="0" w:line="182" w:lineRule="auto"/>
        <w:framePr w:w="520" w:h="192" w:wrap="auto" w:vAnchor="page" w:hAnchor="page" w:x="620" w:y="4322"/>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2.12.</w:t>
      </w:r>
    </w:p>
    <w:p>
      <w:pPr>
        <w:spacing w:after="0" w:line="182" w:lineRule="auto"/>
        <w:framePr w:w="520" w:h="192" w:wrap="auto" w:vAnchor="page" w:hAnchor="page" w:x="620" w:y="4767"/>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2.13.</w:t>
      </w:r>
    </w:p>
    <w:p>
      <w:pPr>
        <w:spacing w:after="0" w:line="182" w:lineRule="auto"/>
        <w:framePr w:w="520" w:h="192" w:wrap="auto" w:vAnchor="page" w:hAnchor="page" w:x="620" w:y="5226"/>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2.14.</w:t>
      </w:r>
    </w:p>
    <w:p>
      <w:pPr>
        <w:spacing w:after="0" w:line="182" w:lineRule="auto"/>
        <w:framePr w:w="520" w:h="192" w:wrap="auto" w:vAnchor="page" w:hAnchor="page" w:x="620" w:y="5672"/>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2.15.</w:t>
      </w:r>
    </w:p>
    <w:p>
      <w:pPr>
        <w:spacing w:after="0" w:line="184" w:lineRule="auto"/>
        <w:framePr w:w="1300" w:h="176" w:wrap="auto" w:vAnchor="page" w:hAnchor="page" w:x="280" w:y="5904"/>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Section 102.</w:t>
      </w:r>
    </w:p>
    <w:p>
      <w:pPr>
        <w:jc w:val="both"/>
        <w:ind w:firstLine="340"/>
        <w:spacing w:after="0" w:line="245"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19"/>
          <w:szCs w:val="19"/>
          <w:color w:val="auto"/>
        </w:rPr>
        <w:t>” means an “employee” within the meaning of Section 102(a) of the Ordinance (which as of the date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adoption of this Appendix means (i) an individual employed by an Employer, and (ii) an individual who is serving and is engaged personally (and not through an entity) as an “office holder” by an Employer, excluding any controlling shareholder as to such term is defined in Section 32(9) of the Ordinance.), provided such Employee also satisfies the eligibility requirements under the Plan.</w:t>
      </w:r>
    </w:p>
    <w:p>
      <w:pPr>
        <w:spacing w:after="0" w:line="166" w:lineRule="exact"/>
        <w:rPr>
          <w:rFonts w:ascii="Times New Roman" w:cs="Times New Roman" w:eastAsia="Times New Roman" w:hAnsi="Times New Roman"/>
          <w:sz w:val="20"/>
          <w:szCs w:val="20"/>
          <w:color w:val="auto"/>
        </w:rPr>
      </w:pPr>
    </w:p>
    <w:p>
      <w:pPr>
        <w:jc w:val="both"/>
        <w:ind w:right="20" w:firstLine="340"/>
        <w:spacing w:after="0" w:line="277"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Employer</w:t>
      </w:r>
      <w:r>
        <w:rPr>
          <w:rFonts w:ascii="Times New Roman" w:cs="Times New Roman" w:eastAsia="Times New Roman" w:hAnsi="Times New Roman"/>
          <w:sz w:val="19"/>
          <w:szCs w:val="19"/>
          <w:color w:val="auto"/>
        </w:rPr>
        <w:t>” means, for purpose of a 102 Trustee Award, an Affiliate, Subsidiary or Parent which is an “employing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company” within the meaning and subject to the conditions of Section 102(a) of the Ordinance.</w:t>
      </w:r>
    </w:p>
    <w:p>
      <w:pPr>
        <w:spacing w:after="0" w:line="131" w:lineRule="exact"/>
        <w:rPr>
          <w:rFonts w:ascii="Times New Roman" w:cs="Times New Roman" w:eastAsia="Times New Roman" w:hAnsi="Times New Roman"/>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ITA</w:t>
      </w:r>
      <w:r>
        <w:rPr>
          <w:rFonts w:ascii="Times New Roman" w:cs="Times New Roman" w:eastAsia="Times New Roman" w:hAnsi="Times New Roman"/>
          <w:sz w:val="19"/>
          <w:szCs w:val="19"/>
          <w:color w:val="auto"/>
        </w:rPr>
        <w:t>” means the Israel Tax Authority</w:t>
      </w:r>
      <w:r>
        <w:rPr>
          <w:rFonts w:ascii="Times New Roman" w:cs="Times New Roman" w:eastAsia="Times New Roman" w:hAnsi="Times New Roman"/>
          <w:sz w:val="19"/>
          <w:szCs w:val="19"/>
          <w:b w:val="1"/>
          <w:bCs w:val="1"/>
          <w:color w:val="auto"/>
        </w:rPr>
        <w:t>.</w:t>
      </w:r>
    </w:p>
    <w:p>
      <w:pPr>
        <w:spacing w:after="0" w:line="193" w:lineRule="exact"/>
        <w:rPr>
          <w:rFonts w:ascii="Times New Roman" w:cs="Times New Roman" w:eastAsia="Times New Roman" w:hAnsi="Times New Roman"/>
          <w:sz w:val="20"/>
          <w:szCs w:val="20"/>
          <w:color w:val="auto"/>
        </w:rPr>
      </w:pPr>
    </w:p>
    <w:p>
      <w:pPr>
        <w:jc w:val="both"/>
        <w:ind w:right="20" w:firstLine="340"/>
        <w:spacing w:after="0" w:line="277"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Ordinance</w:t>
      </w:r>
      <w:r>
        <w:rPr>
          <w:rFonts w:ascii="Times New Roman" w:cs="Times New Roman" w:eastAsia="Times New Roman" w:hAnsi="Times New Roman"/>
          <w:sz w:val="19"/>
          <w:szCs w:val="19"/>
          <w:color w:val="auto"/>
        </w:rPr>
        <w:t>” means the Israeli Income Tax Ordinance (New Version), 1961, including the Rules and any other regulations,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rules, orders or procedures promulgated thereunder, as may be amended or replaced from time to time.</w:t>
      </w:r>
    </w:p>
    <w:p>
      <w:pPr>
        <w:spacing w:after="0" w:line="145" w:lineRule="exact"/>
        <w:rPr>
          <w:rFonts w:ascii="Times New Roman" w:cs="Times New Roman" w:eastAsia="Times New Roman" w:hAnsi="Times New Roman"/>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Holding Period</w:t>
      </w:r>
      <w:r>
        <w:rPr>
          <w:rFonts w:ascii="Times New Roman" w:cs="Times New Roman" w:eastAsia="Times New Roman" w:hAnsi="Times New Roman"/>
          <w:sz w:val="20"/>
          <w:szCs w:val="20"/>
          <w:color w:val="auto"/>
        </w:rPr>
        <w:t>” as defined in Section 3.5.1 below.</w:t>
      </w:r>
    </w:p>
    <w:p>
      <w:pPr>
        <w:spacing w:after="0" w:line="216" w:lineRule="exact"/>
        <w:rPr>
          <w:rFonts w:ascii="Times New Roman" w:cs="Times New Roman" w:eastAsia="Times New Roman" w:hAnsi="Times New Roman"/>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Rules</w:t>
      </w:r>
      <w:r>
        <w:rPr>
          <w:rFonts w:ascii="Times New Roman" w:cs="Times New Roman" w:eastAsia="Times New Roman" w:hAnsi="Times New Roman"/>
          <w:sz w:val="20"/>
          <w:szCs w:val="20"/>
          <w:color w:val="auto"/>
        </w:rPr>
        <w:t>” means the Income Tax Rules (Tax Benefits in Share Issuance to Employees) 5763-2003.</w:t>
      </w:r>
    </w:p>
    <w:p>
      <w:pPr>
        <w:spacing w:after="0" w:line="229" w:lineRule="exact"/>
        <w:rPr>
          <w:rFonts w:ascii="Times New Roman" w:cs="Times New Roman" w:eastAsia="Times New Roman" w:hAnsi="Times New Roman"/>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102</w:t>
      </w:r>
      <w:r>
        <w:rPr>
          <w:rFonts w:ascii="Times New Roman" w:cs="Times New Roman" w:eastAsia="Times New Roman" w:hAnsi="Times New Roman"/>
          <w:sz w:val="20"/>
          <w:szCs w:val="20"/>
          <w:color w:val="auto"/>
        </w:rPr>
        <w:t>” means Section 102 of the Ordinance.</w:t>
      </w:r>
    </w:p>
    <w:p>
      <w:pPr>
        <w:spacing w:after="0" w:line="216" w:lineRule="exact"/>
        <w:rPr>
          <w:rFonts w:ascii="Times New Roman" w:cs="Times New Roman" w:eastAsia="Times New Roman" w:hAnsi="Times New Roman"/>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Trust Agreement</w:t>
      </w:r>
      <w:r>
        <w:rPr>
          <w:rFonts w:ascii="Times New Roman" w:cs="Times New Roman" w:eastAsia="Times New Roman" w:hAnsi="Times New Roman"/>
          <w:sz w:val="19"/>
          <w:szCs w:val="19"/>
          <w:color w:val="auto"/>
        </w:rPr>
        <w:t>” means the agreement to be signed between the Company, an Employer, and the Trustee for the purposes</w:t>
      </w:r>
    </w:p>
    <w:p>
      <w:pPr>
        <w:spacing w:after="0" w:line="200" w:lineRule="exact"/>
        <w:rPr>
          <w:rFonts w:ascii="Times New Roman" w:cs="Times New Roman" w:eastAsia="Times New Roman" w:hAnsi="Times New Roman"/>
          <w:sz w:val="20"/>
          <w:szCs w:val="20"/>
          <w:color w:val="auto"/>
        </w:rPr>
      </w:pPr>
    </w:p>
    <w:p>
      <w:pPr>
        <w:spacing w:after="0" w:line="243" w:lineRule="exact"/>
        <w:rPr>
          <w:rFonts w:ascii="Times New Roman" w:cs="Times New Roman" w:eastAsia="Times New Roman" w:hAnsi="Times New Roman"/>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means the trustee appointed by the Company’s Board to hold the Awards and approved by the ITA.</w:t>
      </w:r>
    </w:p>
    <w:p>
      <w:pPr>
        <w:spacing w:after="0" w:line="215" w:lineRule="exact"/>
        <w:rPr>
          <w:rFonts w:ascii="Times New Roman" w:cs="Times New Roman" w:eastAsia="Times New Roman" w:hAnsi="Times New Roman"/>
          <w:sz w:val="20"/>
          <w:szCs w:val="20"/>
          <w:color w:val="auto"/>
        </w:rPr>
      </w:pPr>
    </w:p>
    <w:p>
      <w:pPr>
        <w:jc w:val="both"/>
        <w:ind w:firstLine="340"/>
        <w:spacing w:after="0" w:line="249"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Subscription Agreement</w:t>
      </w:r>
      <w:r>
        <w:rPr>
          <w:rFonts w:ascii="Times New Roman" w:cs="Times New Roman" w:eastAsia="Times New Roman" w:hAnsi="Times New Roman"/>
          <w:sz w:val="19"/>
          <w:szCs w:val="19"/>
          <w:color w:val="auto"/>
        </w:rPr>
        <w:t>” means a written or electronic agreement between the Company and the Participant or a written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electronic notice delivered by the Company evidencing the exercise of an Award granted pursuant to the Plan, in substantially such form or forms and containing such terms and conditions, as the Board shall from time to time approve.</w:t>
      </w:r>
    </w:p>
    <w:p>
      <w:pPr>
        <w:spacing w:after="0" w:line="162" w:lineRule="exact"/>
        <w:rPr>
          <w:rFonts w:ascii="Times New Roman" w:cs="Times New Roman" w:eastAsia="Times New Roman" w:hAnsi="Times New Roman"/>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Withholding Obligations</w:t>
      </w:r>
      <w:r>
        <w:rPr>
          <w:rFonts w:ascii="Times New Roman" w:cs="Times New Roman" w:eastAsia="Times New Roman" w:hAnsi="Times New Roman"/>
          <w:sz w:val="19"/>
          <w:szCs w:val="19"/>
          <w:color w:val="auto"/>
        </w:rPr>
        <w:t>” as defined in Section 4.5 below.</w:t>
      </w:r>
    </w:p>
    <w:p>
      <w:pPr>
        <w:spacing w:after="0" w:line="22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102 AWARDS</w:t>
      </w:r>
    </w:p>
    <w:p>
      <w:pPr>
        <w:spacing w:after="0" w:line="178" w:lineRule="exact"/>
        <w:rPr>
          <w:rFonts w:ascii="Times New Roman" w:cs="Times New Roman" w:eastAsia="Times New Roman" w:hAnsi="Times New Roman"/>
          <w:sz w:val="20"/>
          <w:szCs w:val="20"/>
          <w:color w:val="auto"/>
        </w:rPr>
      </w:pPr>
    </w:p>
    <w:p>
      <w:pPr>
        <w:jc w:val="both"/>
        <w:ind w:firstLine="340"/>
        <w:spacing w:after="0" w:line="24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19"/>
          <w:szCs w:val="19"/>
          <w:u w:val="single" w:color="auto"/>
          <w:color w:val="auto"/>
        </w:rPr>
        <w:t>Tracks</w:t>
      </w:r>
      <w:r>
        <w:rPr>
          <w:rFonts w:ascii="Times New Roman" w:cs="Times New Roman" w:eastAsia="Times New Roman" w:hAnsi="Times New Roman"/>
          <w:sz w:val="19"/>
          <w:szCs w:val="19"/>
          <w:color w:val="auto"/>
        </w:rPr>
        <w:t>. Awards granted pursuant to this Section 3 are intended to be granted as either 102 Capital Gain Track Awards or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Ordinary Income Track Awards. 102 Trustee Awards shall be granted subject to the special terms and conditions contained in this Section 3 and the general terms and conditions of the Plan, except for any provisions of the Plan applying to Awards under different tax laws or regulations.</w:t>
      </w:r>
    </w:p>
    <w:p>
      <w:pPr>
        <w:sectPr>
          <w:pgSz w:w="11900" w:h="16838" w:orient="portrait"/>
          <w:cols w:equalWidth="0" w:num="1">
            <w:col w:w="11240"/>
          </w:cols>
          <w:pgMar w:left="320" w:top="1408" w:right="339" w:bottom="1440" w:gutter="0" w:footer="0" w:header="0"/>
        </w:sectPr>
      </w:pPr>
    </w:p>
    <w:bookmarkStart w:id="83" w:name="page84"/>
    <w:bookmarkEnd w:id="83"/>
    <w:p>
      <w:pPr>
        <w:jc w:val="both"/>
        <w:ind w:firstLine="340"/>
        <w:spacing w:after="0" w:line="24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19"/>
          <w:szCs w:val="19"/>
          <w:u w:val="single" w:color="auto"/>
          <w:color w:val="auto"/>
        </w:rPr>
        <w:t>Election of Track</w:t>
      </w:r>
      <w:r>
        <w:rPr>
          <w:rFonts w:ascii="Times New Roman" w:cs="Times New Roman" w:eastAsia="Times New Roman" w:hAnsi="Times New Roman"/>
          <w:sz w:val="19"/>
          <w:szCs w:val="19"/>
          <w:color w:val="auto"/>
        </w:rPr>
        <w:t>. Subject to Applicable Law, the Company may grant only one type of 102 Trustee Award at any given 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all Employees who are to be granted 102 Trustee Awards pursuant to this Appendix, and shall file an election with the ITA regarding the type of 102 Trustee Award it elects to grant before the date of grant of any 102 Trustee Award (the “</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Such Election shall also apply to any other securities received by any Employee as a result of holding the 102 Trustee Awards. The Company may 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w:t>
      </w:r>
    </w:p>
    <w:p>
      <w:pPr>
        <w:spacing w:after="0" w:line="171" w:lineRule="exact"/>
        <w:rPr>
          <w:sz w:val="20"/>
          <w:szCs w:val="20"/>
          <w:color w:val="auto"/>
        </w:rPr>
      </w:pPr>
    </w:p>
    <w:p>
      <w:pPr>
        <w:jc w:val="both"/>
        <w:ind w:right="20" w:firstLine="340"/>
        <w:spacing w:after="0" w:line="277"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19"/>
          <w:szCs w:val="19"/>
          <w:u w:val="single" w:color="auto"/>
          <w:color w:val="auto"/>
        </w:rPr>
        <w:t>Eligibility for Awards</w:t>
      </w:r>
      <w:r>
        <w:rPr>
          <w:rFonts w:ascii="Times New Roman" w:cs="Times New Roman" w:eastAsia="Times New Roman" w:hAnsi="Times New Roman"/>
          <w:sz w:val="19"/>
          <w:szCs w:val="19"/>
          <w:color w:val="auto"/>
        </w:rPr>
        <w:t>. Subject to Applicable Law, 102 Awards may only be granted to Employees. Such 102 Awards may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either be granted to a Trustee or granted under Section 102 without a Trustee.</w:t>
      </w:r>
    </w:p>
    <w:p>
      <w:pPr>
        <w:spacing w:after="0" w:line="131"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19"/>
          <w:szCs w:val="19"/>
          <w:u w:val="single" w:color="auto"/>
          <w:color w:val="auto"/>
        </w:rPr>
        <w:t>102 Award Grant Date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894"/>
        <w:spacing w:after="0" w:line="246" w:lineRule="auto"/>
        <w:rPr>
          <w:sz w:val="20"/>
          <w:szCs w:val="20"/>
          <w:color w:val="auto"/>
        </w:rPr>
      </w:pPr>
      <w:r>
        <w:rPr>
          <w:rFonts w:ascii="Times New Roman" w:cs="Times New Roman" w:eastAsia="Times New Roman" w:hAnsi="Times New Roman"/>
          <w:sz w:val="22"/>
          <w:szCs w:val="22"/>
          <w:color w:val="auto"/>
        </w:rPr>
        <w:t xml:space="preserve">3.4.1. </w:t>
      </w:r>
      <w:r>
        <w:rPr>
          <w:rFonts w:ascii="Times New Roman" w:cs="Times New Roman" w:eastAsia="Times New Roman" w:hAnsi="Times New Roman"/>
          <w:sz w:val="19"/>
          <w:szCs w:val="19"/>
          <w:color w:val="auto"/>
        </w:rPr>
        <w:t>Each 102 Award will be deemed granted on the date determined by the Board, subject to the provisions of the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provided that (i) the Employee has signed all documents required by the Company or pursuant to Applicable Law, and (ii) with respect to any 102 Trustee Award, the Company has provided all applicable documents to the Trustee in accordance with the guidelines published by the ITA.</w:t>
      </w:r>
    </w:p>
    <w:p>
      <w:pPr>
        <w:spacing w:after="0" w:line="400" w:lineRule="exact"/>
        <w:rPr>
          <w:sz w:val="20"/>
          <w:szCs w:val="20"/>
          <w:color w:val="auto"/>
        </w:rPr>
      </w:pPr>
    </w:p>
    <w:p>
      <w:pPr>
        <w:jc w:val="both"/>
        <w:ind w:firstLine="894"/>
        <w:spacing w:after="0"/>
        <w:rPr>
          <w:sz w:val="20"/>
          <w:szCs w:val="20"/>
          <w:color w:val="auto"/>
        </w:rPr>
      </w:pPr>
      <w:r>
        <w:rPr>
          <w:rFonts w:ascii="Times New Roman" w:cs="Times New Roman" w:eastAsia="Times New Roman" w:hAnsi="Times New Roman"/>
          <w:sz w:val="22"/>
          <w:szCs w:val="22"/>
          <w:color w:val="auto"/>
        </w:rPr>
        <w:t xml:space="preserve">3.4.2. </w:t>
      </w:r>
      <w:r>
        <w:rPr>
          <w:rFonts w:ascii="Times New Roman" w:cs="Times New Roman" w:eastAsia="Times New Roman" w:hAnsi="Times New Roman"/>
          <w:sz w:val="19"/>
          <w:szCs w:val="19"/>
          <w:color w:val="auto"/>
        </w:rPr>
        <w:t>Unless otherwise permitted by the Ordinance, any grants of 102 Trustee Awards that are made on or after the 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adoption of the Plan and this Appendix or an amendment to the Plan or this Appendix, as the case may be, that may become effective only at the expiration of thirty (30) days after the filing of the Plan and this Appendix or any amendment thereof (as the case may be) with the ITA in accordance with the Ordinance shall be conditional upon the expiration of such 30-day period, and such condition shall be read and is incorporated by reference into any corporate resolutions approving such grants and into any Subscription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Subscription Agreement.</w:t>
      </w:r>
    </w:p>
    <w:p>
      <w:pPr>
        <w:spacing w:after="0" w:line="391"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19"/>
          <w:szCs w:val="19"/>
          <w:u w:val="single" w:color="auto"/>
          <w:color w:val="auto"/>
        </w:rPr>
        <w:t>102 Trustee Awards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894"/>
        <w:spacing w:after="0" w:line="241" w:lineRule="auto"/>
        <w:rPr>
          <w:sz w:val="20"/>
          <w:szCs w:val="20"/>
          <w:color w:val="auto"/>
        </w:rPr>
      </w:pPr>
      <w:r>
        <w:rPr>
          <w:rFonts w:ascii="Times New Roman" w:cs="Times New Roman" w:eastAsia="Times New Roman" w:hAnsi="Times New Roman"/>
          <w:sz w:val="22"/>
          <w:szCs w:val="22"/>
          <w:color w:val="auto"/>
        </w:rPr>
        <w:t xml:space="preserve">3.5.1. </w:t>
      </w:r>
      <w:r>
        <w:rPr>
          <w:rFonts w:ascii="Times New Roman" w:cs="Times New Roman" w:eastAsia="Times New Roman" w:hAnsi="Times New Roman"/>
          <w:sz w:val="19"/>
          <w:szCs w:val="19"/>
          <w:color w:val="auto"/>
        </w:rPr>
        <w:t>Each share of Common Stock issued pursuant to the 102 Trustee Award shall be allocated or issued to and registered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 the name of the Trustee and shall be held in trust or controlled by the Trustee for the benefit of the Participant for the requisite period prescribed by the Ordinance (the “</w:t>
      </w:r>
      <w:r>
        <w:rPr>
          <w:rFonts w:ascii="Times New Roman" w:cs="Times New Roman" w:eastAsia="Times New Roman" w:hAnsi="Times New Roman"/>
          <w:sz w:val="19"/>
          <w:szCs w:val="19"/>
          <w:b w:val="1"/>
          <w:bCs w:val="1"/>
          <w:color w:val="auto"/>
        </w:rPr>
        <w:t>Required Holding Period</w:t>
      </w:r>
      <w:r>
        <w:rPr>
          <w:rFonts w:ascii="Times New Roman" w:cs="Times New Roman" w:eastAsia="Times New Roman" w:hAnsi="Times New Roman"/>
          <w:sz w:val="19"/>
          <w:szCs w:val="19"/>
          <w:color w:val="auto"/>
        </w:rPr>
        <w:t>”). In the event that the requirements under Section 102 to qualify an Award as a 102 Trustee Award are not met, then the Award may be treated as a 102 Non-Trustee Award (as determined by the Company), all in accordance with the provisions of the Ordinance. After the expiration of the Required Holding Period, the Trustee may release such 102 Trustee Awards and any such shares of Common Stock, provided that (i) the Trustee has received an acknowledgment from the ITA that the Participant has paid any applicable taxes due pursuant to the Ordinance, or (ii) the Trustee and/or the Company and/or the Employer withhold(s) all applicable taxes and compulsory payments due pursuant to the Ordinance arising from the 102 Trustee Awards. The Trustee shall not release any 102 Trustee Awards prior to the payment in full of the Participant’s tax and compulsory payments arising from such 102 Trustee Awards or the withholding referred to in (ii) above.</w:t>
      </w:r>
    </w:p>
    <w:p>
      <w:pPr>
        <w:sectPr>
          <w:pgSz w:w="11900" w:h="16838" w:orient="portrait"/>
          <w:cols w:equalWidth="0" w:num="1">
            <w:col w:w="11240"/>
          </w:cols>
          <w:pgMar w:left="320" w:top="1408" w:right="339" w:bottom="1440" w:gutter="0" w:footer="0" w:header="0"/>
        </w:sectPr>
      </w:pPr>
    </w:p>
    <w:bookmarkStart w:id="84" w:name="page85"/>
    <w:bookmarkEnd w:id="84"/>
    <w:p>
      <w:pPr>
        <w:jc w:val="both"/>
        <w:ind w:firstLine="894"/>
        <w:spacing w:after="0"/>
        <w:rPr>
          <w:sz w:val="20"/>
          <w:szCs w:val="20"/>
          <w:color w:val="auto"/>
        </w:rPr>
      </w:pPr>
      <w:r>
        <w:rPr>
          <w:rFonts w:ascii="Times New Roman" w:cs="Times New Roman" w:eastAsia="Times New Roman" w:hAnsi="Times New Roman"/>
          <w:sz w:val="22"/>
          <w:szCs w:val="22"/>
          <w:color w:val="auto"/>
        </w:rPr>
        <w:t xml:space="preserve">3.5.2. </w:t>
      </w:r>
      <w:r>
        <w:rPr>
          <w:rFonts w:ascii="Times New Roman" w:cs="Times New Roman" w:eastAsia="Times New Roman" w:hAnsi="Times New Roman"/>
          <w:sz w:val="19"/>
          <w:szCs w:val="19"/>
          <w:color w:val="auto"/>
        </w:rPr>
        <w:t>Each 102 Trustee Award shall be subject to the relevant terms of the Ordinance, the Rules and any determinations,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rulings or approvals issued by the ITA, which shall be deemed an integral part of the 102 Trustee Awards and shall prevail over any term contained in the Plan, this Appendix or the Subscription Agreement that is not consistent therewith. Any provision of the Ordinance, the Rules, and any determinations, rulings or approvals by the ITA not expressly specified in the Plan, this Appendix or Subscription Agreement that are necessary to receive or maintain any tax benefit pursuant to Section 102 shall be binding on the Participant. Any Participant granted a 102 Trustee Award shall comply with the Ordinance and the terms and conditions of the Trust Agreement entered into between the Company and the Trustee. The Participant shall execute any and all documents that the Company and/or the Affiliate and/or the Trustee determine from time to time to be necessary in order to comply with the Ordinance and the Rules.</w:t>
      </w:r>
    </w:p>
    <w:p>
      <w:pPr>
        <w:spacing w:after="0" w:line="175" w:lineRule="exact"/>
        <w:rPr>
          <w:sz w:val="20"/>
          <w:szCs w:val="20"/>
          <w:color w:val="auto"/>
        </w:rPr>
      </w:pPr>
    </w:p>
    <w:p>
      <w:pPr>
        <w:jc w:val="both"/>
        <w:ind w:firstLine="894"/>
        <w:spacing w:after="0"/>
        <w:rPr>
          <w:sz w:val="20"/>
          <w:szCs w:val="20"/>
          <w:color w:val="auto"/>
        </w:rPr>
      </w:pPr>
      <w:r>
        <w:rPr>
          <w:rFonts w:ascii="Times New Roman" w:cs="Times New Roman" w:eastAsia="Times New Roman" w:hAnsi="Times New Roman"/>
          <w:sz w:val="22"/>
          <w:szCs w:val="22"/>
          <w:color w:val="auto"/>
        </w:rPr>
        <w:t xml:space="preserve">3.5.3. </w:t>
      </w:r>
      <w:r>
        <w:rPr>
          <w:rFonts w:ascii="Times New Roman" w:cs="Times New Roman" w:eastAsia="Times New Roman" w:hAnsi="Times New Roman"/>
          <w:sz w:val="19"/>
          <w:szCs w:val="19"/>
          <w:color w:val="auto"/>
        </w:rPr>
        <w:t>During the Required Holding Period, the Participant shall not release from trust or sell, assign, transfer or give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collateral, the shares of Common Stock issuable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of Common Stock to a designated third party, provided that both of the following conditions have been fulfilled prior to such release or transfer: (i) payment has been made to the ITA of all taxes and compulsory payments required to be paid upon the release and transfer of the shares of Common Stock,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of Common Stock, the Plan, this Appendix, the Subscription Agreement and any Applicable Law.</w:t>
      </w:r>
    </w:p>
    <w:p>
      <w:pPr>
        <w:spacing w:after="0" w:line="397" w:lineRule="exact"/>
        <w:rPr>
          <w:sz w:val="20"/>
          <w:szCs w:val="20"/>
          <w:color w:val="auto"/>
        </w:rPr>
      </w:pPr>
    </w:p>
    <w:p>
      <w:pPr>
        <w:jc w:val="both"/>
        <w:ind w:firstLine="894"/>
        <w:spacing w:after="0" w:line="249" w:lineRule="auto"/>
        <w:rPr>
          <w:sz w:val="20"/>
          <w:szCs w:val="20"/>
          <w:color w:val="auto"/>
        </w:rPr>
      </w:pPr>
      <w:r>
        <w:rPr>
          <w:rFonts w:ascii="Times New Roman" w:cs="Times New Roman" w:eastAsia="Times New Roman" w:hAnsi="Times New Roman"/>
          <w:sz w:val="22"/>
          <w:szCs w:val="22"/>
          <w:color w:val="auto"/>
        </w:rPr>
        <w:t xml:space="preserve">3.5.4. </w:t>
      </w:r>
      <w:r>
        <w:rPr>
          <w:rFonts w:ascii="Times New Roman" w:cs="Times New Roman" w:eastAsia="Times New Roman" w:hAnsi="Times New Roman"/>
          <w:sz w:val="19"/>
          <w:szCs w:val="19"/>
          <w:color w:val="auto"/>
        </w:rPr>
        <w:t>Upon or after receipt of a 102 Trustee Award, if required, the Participant may be required to sign an undertaking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release the Trustee from any liability with respect to any action or decision duly taken and executed in good faith by the Trustee in relation to the Plan, this Appendix, or any 102 Trustee Awards granted to such Participant hereunder.</w:t>
      </w:r>
    </w:p>
    <w:p>
      <w:pPr>
        <w:spacing w:after="0" w:line="162" w:lineRule="exact"/>
        <w:rPr>
          <w:sz w:val="20"/>
          <w:szCs w:val="20"/>
          <w:color w:val="auto"/>
        </w:rPr>
      </w:pPr>
    </w:p>
    <w:p>
      <w:pPr>
        <w:jc w:val="both"/>
        <w:ind w:firstLine="34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19"/>
          <w:szCs w:val="19"/>
          <w:u w:val="single" w:color="auto"/>
          <w:color w:val="auto"/>
        </w:rPr>
        <w:t>102 Non-Trustee Awards</w:t>
      </w:r>
      <w:r>
        <w:rPr>
          <w:rFonts w:ascii="Times New Roman" w:cs="Times New Roman" w:eastAsia="Times New Roman" w:hAnsi="Times New Roman"/>
          <w:sz w:val="19"/>
          <w:szCs w:val="19"/>
          <w:color w:val="auto"/>
        </w:rPr>
        <w:t>. The foregoing provisions of this Section 3 relating to 102 Trustee Awards shall not apply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respect to 102 Non-Trustee Awards, which shall, however, be subject to the relevant provisions of Section 102 and the applicable Rules. The Board may determine that 102 Non-Trustee Awards and/or any securities issued or distributed with respect thereto, shall be allocated or issued to the Trustee, who shall hold such 102 Non-Trustee Award and all accrued rights thereon (if any) in trust for the benefit of the Participant and/or the Company, as the case may be, until the full payment of tax arising from the 102 Non-Trustee Awards and/or any securities issued or distributed with respect thereto. The Company may choose, alternatively, to require the Participant to provide the Company with a guarantee or other security, to the satisfaction of each of the Trustee and the Company, until the full payment of the applicable taxes.</w:t>
      </w:r>
    </w:p>
    <w:p>
      <w:pPr>
        <w:sectPr>
          <w:pgSz w:w="11900" w:h="16838" w:orient="portrait"/>
          <w:cols w:equalWidth="0" w:num="1">
            <w:col w:w="11240"/>
          </w:cols>
          <w:pgMar w:left="320" w:top="1408" w:right="339" w:bottom="1440" w:gutter="0" w:footer="0" w:header="0"/>
        </w:sectPr>
      </w:pPr>
    </w:p>
    <w:bookmarkStart w:id="85" w:name="page86"/>
    <w:bookmarkEnd w:id="85"/>
    <w:p>
      <w:pPr>
        <w:jc w:val="both"/>
        <w:ind w:firstLine="340"/>
        <w:spacing w:after="0" w:line="24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19"/>
          <w:szCs w:val="19"/>
          <w:u w:val="single" w:color="auto"/>
          <w:color w:val="auto"/>
        </w:rPr>
        <w:t>Written Participant Undertaking</w:t>
      </w:r>
      <w:r>
        <w:rPr>
          <w:rFonts w:ascii="Times New Roman" w:cs="Times New Roman" w:eastAsia="Times New Roman" w:hAnsi="Times New Roman"/>
          <w:sz w:val="19"/>
          <w:szCs w:val="19"/>
          <w:color w:val="auto"/>
        </w:rPr>
        <w:t>. With respect to any 102 Trustee Award, as required by Section 102 and the Rules, by virtue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the receipt of such Award, the Participant is deemed to have provided, undertaken and confirmed the following written undertaking (and such undertaking is deemed incorporated into any documents signed by the Participant in connection with the grant of such Award), and which undertaking shall be deemed to apply and relate to all 102 Trustee Awards granted to the Participant, whether under the Plan and this Appendix or other plans maintained by the Company, and whether prior to or after the date hereof:</w:t>
      </w:r>
    </w:p>
    <w:p>
      <w:pPr>
        <w:spacing w:after="0" w:line="169" w:lineRule="exact"/>
        <w:rPr>
          <w:sz w:val="20"/>
          <w:szCs w:val="20"/>
          <w:color w:val="auto"/>
        </w:rPr>
      </w:pPr>
    </w:p>
    <w:p>
      <w:pPr>
        <w:jc w:val="both"/>
        <w:ind w:firstLine="894"/>
        <w:spacing w:after="0" w:line="250" w:lineRule="auto"/>
        <w:rPr>
          <w:sz w:val="20"/>
          <w:szCs w:val="20"/>
          <w:color w:val="auto"/>
        </w:rPr>
      </w:pPr>
      <w:r>
        <w:rPr>
          <w:rFonts w:ascii="Times New Roman" w:cs="Times New Roman" w:eastAsia="Times New Roman" w:hAnsi="Times New Roman"/>
          <w:sz w:val="22"/>
          <w:szCs w:val="22"/>
          <w:color w:val="auto"/>
        </w:rPr>
        <w:t xml:space="preserve">3.7.1. </w:t>
      </w:r>
      <w:r>
        <w:rPr>
          <w:rFonts w:ascii="Times New Roman" w:cs="Times New Roman" w:eastAsia="Times New Roman" w:hAnsi="Times New Roman"/>
          <w:sz w:val="19"/>
          <w:szCs w:val="19"/>
          <w:color w:val="auto"/>
        </w:rPr>
        <w:t>The Participant shall comply with all terms and conditions set forth in Section 102 with regard to the “Capital Gain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Track” or the “Ordinary Income Track”, as applicable, and the applicable rules and regulations promulgated thereunder, as amended from time to time;</w:t>
      </w:r>
    </w:p>
    <w:p>
      <w:pPr>
        <w:spacing w:after="0" w:line="400" w:lineRule="exact"/>
        <w:rPr>
          <w:sz w:val="20"/>
          <w:szCs w:val="20"/>
          <w:color w:val="auto"/>
        </w:rPr>
      </w:pPr>
    </w:p>
    <w:p>
      <w:pPr>
        <w:jc w:val="both"/>
        <w:ind w:firstLine="894"/>
        <w:spacing w:after="0" w:line="241" w:lineRule="auto"/>
        <w:rPr>
          <w:sz w:val="20"/>
          <w:szCs w:val="20"/>
          <w:color w:val="auto"/>
        </w:rPr>
      </w:pPr>
      <w:r>
        <w:rPr>
          <w:rFonts w:ascii="Times New Roman" w:cs="Times New Roman" w:eastAsia="Times New Roman" w:hAnsi="Times New Roman"/>
          <w:sz w:val="22"/>
          <w:szCs w:val="22"/>
          <w:color w:val="auto"/>
        </w:rPr>
        <w:t xml:space="preserve">3.7.2. </w:t>
      </w:r>
      <w:r>
        <w:rPr>
          <w:rFonts w:ascii="Times New Roman" w:cs="Times New Roman" w:eastAsia="Times New Roman" w:hAnsi="Times New Roman"/>
          <w:sz w:val="19"/>
          <w:szCs w:val="19"/>
          <w:color w:val="auto"/>
        </w:rPr>
        <w:t>The Participant is familiar with, and understands the provisions of, Section 102 in general, and the tax arrangement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under the “Capital Gain Track” or the “Ordinary Income Track” in particular, and its tax consequences; the Participant agrees that the 102 Trustee Awards will be held by a Trustee appointed pursuant to Section 102 for at least the duration of the “Holding Period” (as such term is defined in Section 102) under the “Capital Gain Track” or the “Ordinary Income Track”, as applicable. The Participant understands that any release of such 102 Trustee Awards or shares of Common Stock from trust, or any sale of the shares of Common Stock prior to the termination of the Holding Period, as defined above, will result in taxation at the marginal tax rate, in addition to deductions of appropriate social security, health tax contributions or other compulsory payments; and</w:t>
      </w:r>
    </w:p>
    <w:p>
      <w:pPr>
        <w:spacing w:after="0" w:line="171" w:lineRule="exact"/>
        <w:rPr>
          <w:sz w:val="20"/>
          <w:szCs w:val="20"/>
          <w:color w:val="auto"/>
        </w:rPr>
      </w:pPr>
    </w:p>
    <w:p>
      <w:pPr>
        <w:jc w:val="both"/>
        <w:ind w:right="20" w:firstLine="894"/>
        <w:spacing w:after="0" w:line="277" w:lineRule="auto"/>
        <w:rPr>
          <w:sz w:val="20"/>
          <w:szCs w:val="20"/>
          <w:color w:val="auto"/>
        </w:rPr>
      </w:pPr>
      <w:r>
        <w:rPr>
          <w:rFonts w:ascii="Times New Roman" w:cs="Times New Roman" w:eastAsia="Times New Roman" w:hAnsi="Times New Roman"/>
          <w:sz w:val="22"/>
          <w:szCs w:val="22"/>
          <w:color w:val="auto"/>
        </w:rPr>
        <w:t xml:space="preserve">3.7.3. </w:t>
      </w:r>
      <w:r>
        <w:rPr>
          <w:rFonts w:ascii="Times New Roman" w:cs="Times New Roman" w:eastAsia="Times New Roman" w:hAnsi="Times New Roman"/>
          <w:sz w:val="19"/>
          <w:szCs w:val="19"/>
          <w:color w:val="auto"/>
        </w:rPr>
        <w:t>The Participant agrees to the Trust Agreement signed between the Company, the Employer and the Trustee appointed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pursuant to Section 102.</w:t>
      </w:r>
    </w:p>
    <w:p>
      <w:pPr>
        <w:spacing w:after="0" w:line="14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AGREEMENT REGARDING TAXES; DISCLAIMER</w:t>
      </w:r>
    </w:p>
    <w:p>
      <w:pPr>
        <w:spacing w:after="0" w:line="178" w:lineRule="exact"/>
        <w:rPr>
          <w:sz w:val="20"/>
          <w:szCs w:val="20"/>
          <w:color w:val="auto"/>
        </w:rPr>
      </w:pPr>
    </w:p>
    <w:p>
      <w:pPr>
        <w:jc w:val="both"/>
        <w:ind w:firstLine="340"/>
        <w:spacing w:after="0" w:line="24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19"/>
          <w:szCs w:val="19"/>
          <w:color w:val="auto"/>
        </w:rPr>
        <w:t>If the Company shall so require, as a condition of the release of shares of Common Stock by the Trustee, a Participant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 that, no later than the date of such occurrence, the Participant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166" w:lineRule="exact"/>
        <w:rPr>
          <w:sz w:val="20"/>
          <w:szCs w:val="20"/>
          <w:color w:val="auto"/>
        </w:rPr>
      </w:pPr>
    </w:p>
    <w:p>
      <w:pPr>
        <w:jc w:val="both"/>
        <w:ind w:firstLine="340"/>
        <w:spacing w:after="0" w:line="24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19"/>
          <w:szCs w:val="19"/>
          <w:u w:val="single" w:color="auto"/>
          <w:color w:val="auto"/>
        </w:rPr>
        <w:t>TAX LIABILITY</w:t>
      </w:r>
      <w:r>
        <w:rPr>
          <w:rFonts w:ascii="Times New Roman" w:cs="Times New Roman" w:eastAsia="Times New Roman" w:hAnsi="Times New Roman"/>
          <w:sz w:val="19"/>
          <w:szCs w:val="19"/>
          <w:color w:val="auto"/>
        </w:rPr>
        <w:t>. ALL TAX CONSEQUENCES UNDER ANY APPLICABLE LAW WHICH MAY ARISE FROM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GRANT OF ANY AWARDS, THE SALE OR DISPOSITION OF ANY SHARES OF COMMON STOCK GRANTED HEREUNDER,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AFFILIATE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ectPr>
          <w:pgSz w:w="11900" w:h="16838" w:orient="portrait"/>
          <w:cols w:equalWidth="0" w:num="1">
            <w:col w:w="11240"/>
          </w:cols>
          <w:pgMar w:left="320" w:top="1408" w:right="339" w:bottom="1440" w:gutter="0" w:footer="0" w:header="0"/>
        </w:sectPr>
      </w:pPr>
    </w:p>
    <w:bookmarkStart w:id="86" w:name="page87"/>
    <w:bookmarkEnd w:id="86"/>
    <w:p>
      <w:pPr>
        <w:jc w:val="both"/>
        <w:ind w:firstLine="340"/>
        <w:spacing w:after="0" w:line="24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19"/>
          <w:szCs w:val="19"/>
          <w:u w:val="single" w:color="auto"/>
          <w:color w:val="auto"/>
        </w:rPr>
        <w:t>NO TAX ADVICE</w:t>
      </w:r>
      <w:r>
        <w:rPr>
          <w:rFonts w:ascii="Times New Roman" w:cs="Times New Roman" w:eastAsia="Times New Roman" w:hAnsi="Times New Roman"/>
          <w:sz w:val="19"/>
          <w:szCs w:val="19"/>
          <w:color w:val="auto"/>
        </w:rPr>
        <w:t>. THE PARTICIPANT IS ADVISED TO CONSULT WITH A TAX ADVISOR WITH RESPECT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TAX CONSEQUENCES OF RECEIVING, EXERCISING OR DISPOSING OF AWARDS HEREUNDER. THE COMPANY DOES NOT ASSUME ANY RESPONSIBILITY TO ADVISE THE PARTICIPANT ON SUCH MATTERS, WHICH SHALL REMAIN SOLELY THE RESPONSIBILITY OF THE PARTICIPANT.</w:t>
      </w:r>
    </w:p>
    <w:p>
      <w:pPr>
        <w:spacing w:after="0" w:line="166" w:lineRule="exact"/>
        <w:rPr>
          <w:sz w:val="20"/>
          <w:szCs w:val="20"/>
          <w:color w:val="auto"/>
        </w:rPr>
      </w:pPr>
    </w:p>
    <w:p>
      <w:pPr>
        <w:jc w:val="both"/>
        <w:ind w:firstLine="340"/>
        <w:spacing w:after="0" w:line="23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19"/>
          <w:szCs w:val="19"/>
          <w:u w:val="single" w:color="auto"/>
          <w:color w:val="auto"/>
        </w:rPr>
        <w:t>TAX TREATMENT</w:t>
      </w:r>
      <w:r>
        <w:rPr>
          <w:rFonts w:ascii="Times New Roman" w:cs="Times New Roman" w:eastAsia="Times New Roman" w:hAnsi="Times New Roman"/>
          <w:sz w:val="19"/>
          <w:szCs w:val="19"/>
          <w:color w:val="auto"/>
        </w:rPr>
        <w:t>. THE COMPANY AND ITS AFFILIATES (INCLUDING THE EMPLOYER) DOES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SUBSCRIPTION AGREEMENT, WHICH SHALL AT ALL TIMES BE SUBJECT TO THE REQUIREMENTS OF APPLICABLE LAW. THE COMPANY AND ITS AFFILIATES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ANY OF ITS AFFILIATES (INCLUDING THE EMPLOYER) THAT ANY PARTICULAR TAX TREATMENT ON THE DATE OF GRANT WILL CONTINUE TO EXIST OR THAT THE AWARD WILL QUALIFY AT THE TIME OF DISPOSITION THEREOF WITH ANY PARTICULAR TAX TREATMENT. THE COMPANY AND THE AFFILIATE (INCLUDING THE EMPLOYER) SHALL NOT HAVE ANY LIABILITY OR OBLIGATION OF ANY NATURE IN THE EVENT THAT AN AWARD DOES NOT QUALIFY FOR ANY PARTICULAR TAX TREATMENT, REGARDLESS OF WHETHER THE COMPANY OR ITS AFFILIATES (INCLUDING THE EMPLOYER) COULD HAVE TAKEN ANY ACTION TO CAUSE SUCH QUALIFICATION TO BE MET AND SUCH QUALIFICATION REMAINS AT ALL TIMES AND UNDER ALL CIRCUMSTANCES AT THE RISK OF THE PARTICIPANT. THE COMPANY AND ITS AFFILIATES (INCLUDING THE EMPLOYER) DO NOT UNDERTAKE OR ASSUME ANY LIABILITY TO CONTEST A DETERMINATION OR INTERPRETATION (WHETHER WRITTEN OR UNWRITTEN) OF ANY TAX AUTHORITY,</w:t>
      </w:r>
    </w:p>
    <w:p>
      <w:pPr>
        <w:spacing w:after="0" w:line="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INCLUDING IN RESPECT OF THE QUALIFICATION UNDER ANY PARTICULAR TAX REGIME OR RULES APPLYING TO PARTICULAR TAX TREATMENT. IF THE AWARDS DO NOT QUALIFY UNDER ANY PARTICULAR TAX TREATMENT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RESULT IN ADVERSE TAX CONSEQUENCES TO THE PARTICIPANT.</w:t>
      </w:r>
    </w:p>
    <w:p>
      <w:pPr>
        <w:sectPr>
          <w:pgSz w:w="11900" w:h="16838" w:orient="portrait"/>
          <w:cols w:equalWidth="0" w:num="1">
            <w:col w:w="11240"/>
          </w:cols>
          <w:pgMar w:left="320" w:top="1408" w:right="339" w:bottom="1440" w:gutter="0" w:footer="0" w:header="0"/>
        </w:sectPr>
      </w:pPr>
    </w:p>
    <w:bookmarkStart w:id="87" w:name="page88"/>
    <w:bookmarkEnd w:id="87"/>
    <w:p>
      <w:pPr>
        <w:jc w:val="both"/>
        <w:ind w:firstLine="340"/>
        <w:spacing w:after="0"/>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19"/>
          <w:szCs w:val="19"/>
          <w:color w:val="auto"/>
        </w:rPr>
        <w:t>The Company or the Affiliate (including the Employer) may take such action as it may deem necessary or appropriate, in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discretion, for the purpose of or in connection with the withholding of any taxes and compulsory payments which the Trustee, the Company or the Affiliate (including the Employer) is required by any Applicable Law to withhold in connection with any Awards, including, without limitations, any income tax, social benefits, social insurance, health tax, pension, payroll tax, fringe benefits, excise tax, payment on account or other tax-related items related to the Participant’s participation in the Plan and applicable by law to the Participant (collectively, “</w:t>
      </w:r>
      <w:r>
        <w:rPr>
          <w:rFonts w:ascii="Times New Roman" w:cs="Times New Roman" w:eastAsia="Times New Roman" w:hAnsi="Times New Roman"/>
          <w:sz w:val="19"/>
          <w:szCs w:val="19"/>
          <w:b w:val="1"/>
          <w:bCs w:val="1"/>
          <w:color w:val="auto"/>
        </w:rPr>
        <w:t>Withholding Obligations</w:t>
      </w:r>
      <w:r>
        <w:rPr>
          <w:rFonts w:ascii="Times New Roman" w:cs="Times New Roman" w:eastAsia="Times New Roman" w:hAnsi="Times New Roman"/>
          <w:sz w:val="19"/>
          <w:szCs w:val="19"/>
          <w:color w:val="auto"/>
        </w:rPr>
        <w:t>”). Such actions may include (i) requiring Participants to remit to the Company or the Employer in cash an amount sufficient to satisfy such Withholding Obligations and any other taxes and compulsory payments, payable by the Company or the Employer in connection with the Award; (ii) subject to Applicable Law, allowing the Participants to surrender shares of Common Stock, in an amount that at such time, reflects a value that the Board determines to be sufficient to satisfy such Withholding Obligations; or (iii) any combination of the foregoing.</w:t>
      </w:r>
    </w:p>
    <w:p>
      <w:pPr>
        <w:spacing w:after="0" w:line="389" w:lineRule="exact"/>
        <w:rPr>
          <w:sz w:val="20"/>
          <w:szCs w:val="20"/>
          <w:color w:val="auto"/>
        </w:rPr>
      </w:pPr>
    </w:p>
    <w:p>
      <w:pPr>
        <w:jc w:val="both"/>
        <w:ind w:firstLine="340"/>
        <w:spacing w:after="0" w:line="242"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19"/>
          <w:szCs w:val="19"/>
          <w:color w:val="auto"/>
        </w:rPr>
        <w:t>Each Participant shall notify the Company in writing promptly and in any event within ten (10) days after the date on which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such Participant first obtains knowledge of any tax bureau inquiry, audit, assertion, determination, investigation, or question relating in any manner to the Awards granted or received hereunder or shares of Common Stock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398" w:lineRule="exact"/>
        <w:rPr>
          <w:sz w:val="20"/>
          <w:szCs w:val="20"/>
          <w:color w:val="auto"/>
        </w:rPr>
      </w:pPr>
    </w:p>
    <w:p>
      <w:pPr>
        <w:jc w:val="both"/>
        <w:ind w:firstLine="340"/>
        <w:spacing w:after="0" w:line="24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19"/>
          <w:szCs w:val="19"/>
          <w:color w:val="auto"/>
        </w:rPr>
        <w:t>With respect to 102 Non-Trustee Awards, if the Participant ceases to be employed by the Company or any Parent, Subsidiary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Affiliate (including the Employer), the Participant shall extend to the Company and/or the Employer a security or guarantee for the payment of taxes due at the time of sale of shares of Common Stock, all in accordance with the provisions of Section 102 and the Rules.</w:t>
      </w:r>
    </w:p>
    <w:p>
      <w:pPr>
        <w:spacing w:after="0" w:line="17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RIGHTS AND OBLIGATIONS AS A SHAREHOLDER</w:t>
      </w:r>
    </w:p>
    <w:p>
      <w:pPr>
        <w:spacing w:after="0" w:line="178" w:lineRule="exact"/>
        <w:rPr>
          <w:sz w:val="20"/>
          <w:szCs w:val="20"/>
          <w:color w:val="auto"/>
        </w:rPr>
      </w:pPr>
    </w:p>
    <w:p>
      <w:pPr>
        <w:jc w:val="both"/>
        <w:ind w:firstLine="340"/>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19"/>
          <w:szCs w:val="19"/>
          <w:color w:val="auto"/>
        </w:rPr>
        <w:t>A Participant shall have no rights as a shareholder of the Company with respect to any shares of Common Stock covered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 Award until the Participant becomes the record holder of the subject shares of Common Stock. In the case of 102 Awards (if such Awards are being held by a Trustee), the Trustee shall have no rights as a shareholder of the Company with respect to the shares of Common Stock covered by such Award until the Trustee becomes the record holder for such shares of Common Stock for the Participant’s benefit, and the Participant shall not be deemed to be a shareholder and shall have no rights as a shareholder of the Company with respect to the shares of Common Stock covered by the Award until the date of the release of such shares of Common Stock from the Trustee to the Participant and the transfer of record ownership of such shares of Common Stock to the Participant (provided however that the Participant shall be entitled to receive from the Trustee any cash dividend or distribution made on account of the shares of Common Stock held by the Trustee for such Participant’s benefit, subject to any tax withholding and compulsory payment). No adjustment shall be made for dividends (ordinary or extraordinary, whether in cash, securities or other property) or distribution of other rights for which the record date is prior to the date on which the Participant or Trustee (as applicable) becomes the record holder of the shares of Common Stock covered by an Award, except as provided in the Plan.</w:t>
      </w:r>
    </w:p>
    <w:p>
      <w:pPr>
        <w:sectPr>
          <w:pgSz w:w="11900" w:h="16838" w:orient="portrait"/>
          <w:cols w:equalWidth="0" w:num="1">
            <w:col w:w="11240"/>
          </w:cols>
          <w:pgMar w:left="320" w:top="1408" w:right="339" w:bottom="1440" w:gutter="0" w:footer="0" w:header="0"/>
        </w:sectPr>
      </w:pPr>
    </w:p>
    <w:bookmarkStart w:id="88" w:name="page89"/>
    <w:bookmarkEnd w:id="88"/>
    <w:p>
      <w:pPr>
        <w:jc w:val="both"/>
        <w:ind w:firstLine="340"/>
        <w:spacing w:after="0" w:line="24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19"/>
          <w:szCs w:val="19"/>
          <w:color w:val="auto"/>
        </w:rPr>
        <w:t>With respect to shares of Common Stock issued in connection with Awards hereunder, any and all voting rights attached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such shares of Common Stock shall be subject to the provisions of the Plan, and the Participant shall be entitled to receive dividends distributed with respect to such shares of Common Stock, subject to the provisions of the Company’s Articles of Association, as amended from time to time, and subject to any Applicable Law.</w:t>
      </w:r>
    </w:p>
    <w:p>
      <w:pPr>
        <w:spacing w:after="0" w:line="166" w:lineRule="exact"/>
        <w:rPr>
          <w:sz w:val="20"/>
          <w:szCs w:val="20"/>
          <w:color w:val="auto"/>
        </w:rPr>
      </w:pPr>
    </w:p>
    <w:p>
      <w:pPr>
        <w:jc w:val="both"/>
        <w:ind w:firstLine="340"/>
        <w:spacing w:after="0" w:line="27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19"/>
          <w:szCs w:val="19"/>
          <w:color w:val="auto"/>
        </w:rPr>
        <w:t>The Company may, but shall not be obligated to, register or qualify the sale of shares of Common Stock under any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securities law or any other Applicable Law.</w:t>
      </w:r>
    </w:p>
    <w:p>
      <w:pPr>
        <w:spacing w:after="0" w:line="131" w:lineRule="exact"/>
        <w:rPr>
          <w:sz w:val="20"/>
          <w:szCs w:val="20"/>
          <w:color w:val="auto"/>
        </w:rPr>
      </w:pPr>
    </w:p>
    <w:p>
      <w:pPr>
        <w:jc w:val="both"/>
        <w:ind w:firstLine="340"/>
        <w:spacing w:after="0"/>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19"/>
          <w:szCs w:val="19"/>
          <w:color w:val="auto"/>
        </w:rPr>
        <w:t>Shares of Common Stock issued pursuant to an Award shall be subject to the Company’s Articles of Association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amended from time to time), any limitation, restriction or obligation applicable to shareholders included in any shareholders agreement applicable to all or substantially all of the holders of shares of Common Stock (regardless of whether or not the Participant is a formal party to such shareholders agreement), any other governing documents of the Company, and all policies, manuals and internal regulations adopted by the Company from time to time, in each case, as may be amended from time to time, including any provisions included therein concerning restrictions or limitations on disposition of shares of Common Stock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Participant shall execute such separate agreement(s) as may be requested by the Company relating to matters set forth in this Section 5.4.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GOVERNING LAW</w:t>
      </w:r>
    </w:p>
    <w:p>
      <w:pPr>
        <w:spacing w:after="0" w:line="197" w:lineRule="exact"/>
        <w:rPr>
          <w:sz w:val="20"/>
          <w:szCs w:val="20"/>
          <w:color w:val="auto"/>
        </w:rPr>
      </w:pPr>
    </w:p>
    <w:p>
      <w:pPr>
        <w:jc w:val="both"/>
        <w:ind w:right="20" w:firstLine="278"/>
        <w:spacing w:after="0"/>
        <w:rPr>
          <w:sz w:val="20"/>
          <w:szCs w:val="20"/>
          <w:color w:val="auto"/>
        </w:rPr>
      </w:pPr>
      <w:r>
        <w:rPr>
          <w:rFonts w:ascii="Times New Roman" w:cs="Times New Roman" w:eastAsia="Times New Roman" w:hAnsi="Times New Roman"/>
          <w:sz w:val="20"/>
          <w:szCs w:val="20"/>
          <w:color w:val="auto"/>
        </w:rPr>
        <w:t>This Appendix shall be governed by and construed in accordance with the laws of the State of Delaware (excluding its choice-of-law provisions) except that applicable Israeli laws, rules, and regulations (as amended) shall apply to any mandatory tax matters arising hereunder.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ectPr>
          <w:pgSz w:w="11900" w:h="16838" w:orient="portrait"/>
          <w:cols w:equalWidth="0" w:num="1">
            <w:col w:w="11240"/>
          </w:cols>
          <w:pgMar w:left="320" w:top="1408"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5800" w:val="left"/>
          <w:tab w:leader="none" w:pos="7020" w:val="left"/>
        </w:tabs>
        <w:rPr>
          <w:sz w:val="20"/>
          <w:szCs w:val="20"/>
          <w:color w:val="auto"/>
        </w:rPr>
      </w:pPr>
      <w:r>
        <w:rPr>
          <w:rFonts w:ascii="Times New Roman" w:cs="Times New Roman" w:eastAsia="Times New Roman" w:hAnsi="Times New Roman"/>
          <w:sz w:val="18"/>
          <w:szCs w:val="18"/>
          <w:color w:val="auto"/>
        </w:rPr>
        <w:t>Date: September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4860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September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Dev Ittycheria, certify, pursuant to 18 U.S.C. Section 1350, as adopted pursuant to Section 906 of the Sarbanes-Oxley Act of 2002, that the Quarterly Report on Form 10-Q of MongoDB, Inc. for the period ended July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tabs>
          <w:tab w:leader="none" w:pos="5780" w:val="left"/>
          <w:tab w:leader="none" w:pos="7000" w:val="left"/>
        </w:tabs>
        <w:rPr>
          <w:sz w:val="20"/>
          <w:szCs w:val="20"/>
          <w:color w:val="auto"/>
        </w:rPr>
      </w:pPr>
      <w:r>
        <w:rPr>
          <w:rFonts w:ascii="Times New Roman" w:cs="Times New Roman" w:eastAsia="Times New Roman" w:hAnsi="Times New Roman"/>
          <w:sz w:val="18"/>
          <w:szCs w:val="18"/>
          <w:color w:val="auto"/>
        </w:rPr>
        <w:t>Date: September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4860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Michael Gordon, certify, pursuant to 18 U.S.C. Section 1350, as adopted pursuant to Section 906 of the Sarbanes-Oxley Act of 2002, that the Quarterly Report on Form 10-Q of MongoDB, Inc. for the period ended July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September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lowerLetter"/>
      <w:start w:val="3"/>
    </w:lvl>
  </w:abstractNum>
  <w:abstractNum w:abstractNumId="17">
    <w:nsid w:val="38437FDB"/>
    <w:multiLevelType w:val="hybridMultilevel"/>
    <w:lvl w:ilvl="0">
      <w:lvlJc w:val="left"/>
      <w:lvlText w:val="%1"/>
      <w:numFmt w:val="decimal"/>
      <w:start w:val="104"/>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decimal"/>
      <w:start w:val="2"/>
    </w:lvl>
  </w:abstractNum>
  <w:abstractNum w:abstractNumId="23">
    <w:nsid w:val="3DC240FB"/>
    <w:multiLevelType w:val="hybridMultilevel"/>
    <w:lvl w:ilvl="0">
      <w:lvlJc w:val="left"/>
      <w:lvlText w:val="(%1)"/>
      <w:numFmt w:val="lowerLetter"/>
      <w:start w:val="4"/>
    </w:lvl>
  </w:abstractNum>
  <w:abstractNum w:abstractNumId="24">
    <w:nsid w:val="1BA026FA"/>
    <w:multiLevelType w:val="hybridMultilevel"/>
    <w:lvl w:ilvl="0">
      <w:lvlJc w:val="left"/>
      <w:lvlText w:val="(%1)"/>
      <w:numFmt w:val="lowerRoman"/>
      <w:start w:val="1"/>
    </w:lvl>
  </w:abstractNum>
  <w:abstractNum w:abstractNumId="25">
    <w:nsid w:val="79A1DEAA"/>
    <w:multiLevelType w:val="hybridMultilevel"/>
    <w:lvl w:ilvl="0">
      <w:lvlJc w:val="left"/>
      <w:lvlText w:val="(%1)"/>
      <w:numFmt w:val="lowerRoman"/>
      <w:start w:val="6"/>
    </w:lvl>
  </w:abstractNum>
  <w:abstractNum w:abstractNumId="26">
    <w:nsid w:val="75C6C33A"/>
    <w:multiLevelType w:val="hybridMultilevel"/>
    <w:lvl w:ilvl="0">
      <w:lvlJc w:val="left"/>
      <w:lvlText w:val="(%1)"/>
      <w:numFmt w:val="lowerLetter"/>
      <w:start w:val="6"/>
    </w:lvl>
  </w:abstractNum>
  <w:abstractNum w:abstractNumId="27">
    <w:nsid w:val="12E685FB"/>
    <w:multiLevelType w:val="hybridMultilevel"/>
    <w:lvl w:ilvl="0">
      <w:lvlJc w:val="left"/>
      <w:lvlText w:val="%1."/>
      <w:numFmt w:val="decimal"/>
      <w:start w:val="3"/>
    </w:lvl>
  </w:abstractNum>
  <w:abstractNum w:abstractNumId="28">
    <w:nsid w:val="70C6A529"/>
    <w:multiLevelType w:val="hybridMultilevel"/>
    <w:lvl w:ilvl="0">
      <w:lvlJc w:val="left"/>
      <w:lvlText w:val="(%1)"/>
      <w:numFmt w:val="lowerLetter"/>
      <w:start w:val="8"/>
    </w:lvl>
  </w:abstractNum>
  <w:abstractNum w:abstractNumId="29">
    <w:nsid w:val="520EEDD1"/>
    <w:multiLevelType w:val="hybridMultilevel"/>
    <w:lvl w:ilvl="0">
      <w:lvlJc w:val="left"/>
      <w:lvlText w:val="(%1)"/>
      <w:numFmt w:val="lowerLetter"/>
      <w:start w:val="9"/>
    </w:lvl>
  </w:abstractNum>
  <w:abstractNum w:abstractNumId="30">
    <w:nsid w:val="374A3FE6"/>
    <w:multiLevelType w:val="hybridMultilevel"/>
    <w:lvl w:ilvl="0">
      <w:lvlJc w:val="left"/>
      <w:lvlText w:val="%1."/>
      <w:numFmt w:val="decimal"/>
      <w:start w:val="4"/>
    </w:lvl>
  </w:abstractNum>
  <w:abstractNum w:abstractNumId="31">
    <w:nsid w:val="4F4EF005"/>
    <w:multiLevelType w:val="hybridMultilevel"/>
    <w:lvl w:ilvl="0">
      <w:lvlJc w:val="left"/>
      <w:lvlText w:val="(%1)"/>
      <w:numFmt w:val="lowerLetter"/>
      <w:start w:val="11"/>
    </w:lvl>
  </w:abstractNum>
  <w:abstractNum w:abstractNumId="32">
    <w:nsid w:val="23F9C13C"/>
    <w:multiLevelType w:val="hybridMultilevel"/>
    <w:lvl w:ilvl="0">
      <w:lvlJc w:val="left"/>
      <w:lvlText w:val="(%1)"/>
      <w:numFmt w:val="lowerLetter"/>
      <w:start w:val="12"/>
    </w:lvl>
  </w:abstractNum>
  <w:abstractNum w:abstractNumId="33">
    <w:nsid w:val="649BB77C"/>
    <w:multiLevelType w:val="hybridMultilevel"/>
    <w:lvl w:ilvl="0">
      <w:lvlJc w:val="left"/>
      <w:lvlText w:val="%1."/>
      <w:numFmt w:val="decimal"/>
      <w:start w:val="5"/>
    </w:lvl>
  </w:abstractNum>
  <w:abstractNum w:abstractNumId="34">
    <w:nsid w:val="275AC794"/>
    <w:multiLevelType w:val="hybridMultilevel"/>
    <w:lvl w:ilvl="0">
      <w:lvlJc w:val="left"/>
      <w:lvlText w:val="(%1)"/>
      <w:numFmt w:val="lowerLetter"/>
      <w:start w:val="14"/>
    </w:lvl>
  </w:abstractNum>
  <w:abstractNum w:abstractNumId="35">
    <w:nsid w:val="39386575"/>
    <w:multiLevelType w:val="hybridMultilevel"/>
    <w:lvl w:ilvl="0">
      <w:lvlJc w:val="left"/>
      <w:lvlText w:val="(%1)"/>
      <w:numFmt w:val="lowerRoman"/>
      <w:start w:val="1"/>
    </w:lvl>
  </w:abstractNum>
  <w:abstractNum w:abstractNumId="36">
    <w:nsid w:val="1CF10FD8"/>
    <w:multiLevelType w:val="hybridMultilevel"/>
    <w:lvl w:ilvl="0">
      <w:lvlJc w:val="left"/>
      <w:lvlText w:val="(%1)"/>
      <w:numFmt w:val="lowerLetter"/>
      <w:start w:val="16"/>
    </w:lvl>
  </w:abstractNum>
  <w:abstractNum w:abstractNumId="37">
    <w:nsid w:val="180115BE"/>
    <w:multiLevelType w:val="hybridMultilevel"/>
    <w:lvl w:ilvl="0">
      <w:lvlJc w:val="left"/>
      <w:lvlText w:val="(%1)"/>
      <w:numFmt w:val="lowerLetter"/>
      <w:start w:val="17"/>
    </w:lvl>
  </w:abstractNum>
  <w:abstractNum w:abstractNumId="38">
    <w:nsid w:val="235BA861"/>
    <w:multiLevelType w:val="hybridMultilevel"/>
    <w:lvl w:ilvl="0">
      <w:lvlJc w:val="left"/>
      <w:lvlText w:val="%1."/>
      <w:numFmt w:val="decimal"/>
      <w:start w:val="6"/>
    </w:lvl>
  </w:abstractNum>
  <w:abstractNum w:abstractNumId="39">
    <w:nsid w:val="47398C89"/>
    <w:multiLevelType w:val="hybridMultilevel"/>
    <w:lvl w:ilvl="0">
      <w:lvlJc w:val="left"/>
      <w:lvlText w:val="(%1)"/>
      <w:numFmt w:val="lowerLetter"/>
      <w:start w:val="19"/>
    </w:lvl>
  </w:abstractNum>
  <w:abstractNum w:abstractNumId="40">
    <w:nsid w:val="354FE9F9"/>
    <w:multiLevelType w:val="hybridMultilevel"/>
    <w:lvl w:ilvl="0">
      <w:lvlJc w:val="left"/>
      <w:lvlText w:val="(%1)"/>
      <w:numFmt w:val="lowerRoman"/>
      <w:start w:val="4"/>
    </w:lvl>
  </w:abstractNum>
  <w:abstractNum w:abstractNumId="41">
    <w:nsid w:val="15B5AF5C"/>
    <w:multiLevelType w:val="hybridMultilevel"/>
    <w:lvl w:ilvl="0">
      <w:lvlJc w:val="left"/>
      <w:lvlText w:val="%1."/>
      <w:numFmt w:val="decimal"/>
      <w:start w:val="7"/>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lowerLetter"/>
      <w:start w:val="2"/>
    </w:lvl>
  </w:abstractNum>
  <w:abstractNum w:abstractNumId="44">
    <w:nsid w:val="10233C99"/>
    <w:multiLevelType w:val="hybridMultilevel"/>
    <w:lvl w:ilvl="0">
      <w:lvlJc w:val="left"/>
      <w:lvlText w:val="%1."/>
      <w:numFmt w:val="decimal"/>
      <w:start w:val="8"/>
    </w:lvl>
  </w:abstractNum>
  <w:abstractNum w:abstractNumId="45">
    <w:nsid w:val="3F6AB60F"/>
    <w:multiLevelType w:val="hybridMultilevel"/>
    <w:lvl w:ilvl="0">
      <w:lvlJc w:val="left"/>
      <w:lvlText w:val="(%1)"/>
      <w:numFmt w:val="lowerLetter"/>
      <w:start w:val="1"/>
    </w:lvl>
  </w:abstractNum>
  <w:abstractNum w:abstractNumId="46">
    <w:nsid w:val="61574095"/>
    <w:multiLevelType w:val="hybridMultilevel"/>
    <w:lvl w:ilvl="0">
      <w:lvlJc w:val="left"/>
      <w:lvlText w:val="%1."/>
      <w:numFmt w:val="decimal"/>
      <w:start w:val="9"/>
    </w:lvl>
  </w:abstractNum>
  <w:abstractNum w:abstractNumId="47">
    <w:nsid w:val="7E0C57B1"/>
    <w:multiLevelType w:val="hybridMultilevel"/>
    <w:lvl w:ilvl="0">
      <w:lvlJc w:val="left"/>
      <w:lvlText w:val="%1."/>
      <w:numFmt w:val="decimal"/>
      <w:start w:val="10"/>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decimal"/>
      <w:start w:val="11"/>
    </w:lvl>
  </w:abstractNum>
  <w:abstractNum w:abstractNumId="50">
    <w:nsid w:val="310C50B3"/>
    <w:multiLevelType w:val="hybridMultilevel"/>
    <w:lvl w:ilvl="0">
      <w:lvlJc w:val="left"/>
      <w:lvlText w:val="(%1)"/>
      <w:numFmt w:val="lowerLetter"/>
      <w:start w:val="4"/>
    </w:lvl>
  </w:abstractNum>
  <w:abstractNum w:abstractNumId="51">
    <w:nsid w:val="5FF87E05"/>
    <w:multiLevelType w:val="hybridMultilevel"/>
    <w:lvl w:ilvl="0">
      <w:lvlJc w:val="left"/>
      <w:lvlText w:val="%1."/>
      <w:numFmt w:val="decimal"/>
      <w:start w:val="12"/>
    </w:lvl>
  </w:abstractNum>
  <w:abstractNum w:abstractNumId="52">
    <w:nsid w:val="2F305DEF"/>
    <w:multiLevelType w:val="hybridMultilevel"/>
    <w:lvl w:ilvl="0">
      <w:lvlJc w:val="left"/>
      <w:lvlText w:val="(%1)"/>
      <w:numFmt w:val="lowerLetter"/>
      <w:start w:val="6"/>
    </w:lvl>
  </w:abstractNum>
  <w:abstractNum w:abstractNumId="53">
    <w:nsid w:val="25A70BF7"/>
    <w:multiLevelType w:val="hybridMultilevel"/>
    <w:lvl w:ilvl="0">
      <w:lvlJc w:val="left"/>
      <w:lvlText w:val="(%1)"/>
      <w:numFmt w:val="lowerRoman"/>
      <w:start w:val="4"/>
    </w:lvl>
  </w:abstractNum>
  <w:abstractNum w:abstractNumId="54">
    <w:nsid w:val="1DBABF00"/>
    <w:multiLevelType w:val="hybridMultilevel"/>
    <w:lvl w:ilvl="0">
      <w:lvlJc w:val="left"/>
      <w:lvlText w:val="(%1)"/>
      <w:numFmt w:val="lowerLetter"/>
      <w:start w:val="7"/>
    </w:lvl>
  </w:abstractNum>
  <w:abstractNum w:abstractNumId="55">
    <w:nsid w:val="4AD084E9"/>
    <w:multiLevelType w:val="hybridMultilevel"/>
    <w:lvl w:ilvl="0">
      <w:lvlJc w:val="left"/>
      <w:lvlText w:val="%1."/>
      <w:numFmt w:val="decimal"/>
      <w:start w:val="13"/>
    </w:lvl>
  </w:abstractNum>
  <w:abstractNum w:abstractNumId="56">
    <w:nsid w:val="1F48EAA1"/>
    <w:multiLevelType w:val="hybridMultilevel"/>
    <w:lvl w:ilvl="0">
      <w:lvlJc w:val="left"/>
      <w:lvlText w:val="(%1)"/>
      <w:numFmt w:val="lowerLetter"/>
      <w:start w:val="6"/>
    </w:lvl>
  </w:abstractNum>
  <w:abstractNum w:abstractNumId="57">
    <w:nsid w:val="1381823A"/>
    <w:multiLevelType w:val="hybridMultilevel"/>
    <w:lvl w:ilvl="0">
      <w:lvlJc w:val="left"/>
      <w:lvlText w:val="%1."/>
      <w:numFmt w:val="decimal"/>
      <w:start w:val="14"/>
    </w:lvl>
  </w:abstractNum>
  <w:abstractNum w:abstractNumId="58">
    <w:nsid w:val="5DB70AE5"/>
    <w:multiLevelType w:val="hybridMultilevel"/>
    <w:lvl w:ilvl="0">
      <w:lvlJc w:val="left"/>
      <w:lvlText w:val="%1."/>
      <w:numFmt w:val="decimal"/>
      <w:start w:val="15"/>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decimal"/>
      <w:start w:val="16"/>
    </w:lvl>
  </w:abstractNum>
  <w:abstractNum w:abstractNumId="61">
    <w:nsid w:val="15014ACB"/>
    <w:multiLevelType w:val="hybridMultilevel"/>
    <w:lvl w:ilvl="0">
      <w:lvlJc w:val="left"/>
      <w:lvlText w:val="(%1)"/>
      <w:numFmt w:val="lowerLetter"/>
      <w:start w:val="8"/>
    </w:lvl>
  </w:abstractNum>
  <w:abstractNum w:abstractNumId="62">
    <w:nsid w:val="5F5E7FD0"/>
    <w:multiLevelType w:val="hybridMultilevel"/>
    <w:lvl w:ilvl="0">
      <w:lvlJc w:val="left"/>
      <w:lvlText w:val="(%1)"/>
      <w:numFmt w:val="lowerLetter"/>
      <w:start w:val="14"/>
    </w:lvl>
  </w:abstractNum>
  <w:abstractNum w:abstractNumId="63">
    <w:nsid w:val="98A3148"/>
    <w:multiLevelType w:val="hybridMultilevel"/>
    <w:lvl w:ilvl="0">
      <w:lvlJc w:val="left"/>
      <w:lvlText w:val="(%1)"/>
      <w:numFmt w:val="lowerRoman"/>
      <w:start w:val="1"/>
    </w:lvl>
  </w:abstractNum>
  <w:abstractNum w:abstractNumId="64">
    <w:nsid w:val="799D0247"/>
    <w:multiLevelType w:val="hybridMultilevel"/>
    <w:lvl w:ilvl="0">
      <w:lvlJc w:val="left"/>
      <w:lvlText w:val="(%1)"/>
      <w:numFmt w:val="lowerLetter"/>
      <w:start w:val="9"/>
    </w:lvl>
  </w:abstractNum>
  <w:abstractNum w:abstractNumId="65">
    <w:nsid w:val="6B94764"/>
    <w:multiLevelType w:val="hybridMultilevel"/>
    <w:lvl w:ilvl="0">
      <w:lvlJc w:val="left"/>
      <w:lvlText w:val="(%1)"/>
      <w:numFmt w:val="lowerLetter"/>
      <w:start w:val="17"/>
    </w:lvl>
  </w:abstractNum>
  <w:abstractNum w:abstractNumId="66">
    <w:nsid w:val="42C296BD"/>
    <w:multiLevelType w:val="hybridMultilevel"/>
    <w:lvl w:ilvl="0">
      <w:lvlJc w:val="left"/>
      <w:lvlText w:val="(%1)"/>
      <w:numFmt w:val="lowerRoman"/>
      <w:start w:val="5"/>
    </w:lvl>
  </w:abstractNum>
  <w:abstractNum w:abstractNumId="67">
    <w:nsid w:val="168E121F"/>
    <w:multiLevelType w:val="hybridMultilevel"/>
    <w:lvl w:ilvl="0">
      <w:lvlJc w:val="left"/>
      <w:lvlText w:val="(%1)"/>
      <w:numFmt w:val="lowerLetter"/>
      <w:start w:val="19"/>
    </w:lvl>
  </w:abstractNum>
  <w:abstractNum w:abstractNumId="68">
    <w:nsid w:val="1EBA5D23"/>
    <w:multiLevelType w:val="hybridMultilevel"/>
    <w:lvl w:ilvl="0">
      <w:lvlJc w:val="left"/>
      <w:lvlText w:val="(%1)"/>
      <w:numFmt w:val="lowerLetter"/>
      <w:start w:val="27"/>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2"/>
    </w:lvl>
  </w:abstractNum>
  <w:abstractNum w:abstractNumId="71">
    <w:nsid w:val="540A471C"/>
    <w:multiLevelType w:val="hybridMultilevel"/>
    <w:lvl w:ilvl="0">
      <w:lvlJc w:val="left"/>
      <w:lvlText w:val="%1."/>
      <w:numFmt w:val="decimal"/>
      <w:start w:val="3"/>
    </w:lvl>
  </w:abstractNum>
  <w:abstractNum w:abstractNumId="72">
    <w:nsid w:val="7BD3EE7B"/>
    <w:multiLevelType w:val="hybridMultilevel"/>
    <w:lvl w:ilvl="0">
      <w:lvlJc w:val="left"/>
      <w:lvlText w:val="%1."/>
      <w:numFmt w:val="decimal"/>
      <w:start w:val="4"/>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decimal"/>
      <w:start w:val="6"/>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39" Type="http://schemas.openxmlformats.org/officeDocument/2006/relationships/hyperlink" Target="http://www.sec.gov/Archives/edgar/data/1441816/000110465917063753/a17-24439_1ex3d1.htm" TargetMode="External"/><Relationship Id="rId140" Type="http://schemas.openxmlformats.org/officeDocument/2006/relationships/hyperlink" Target="http://www.sec.gov/Archives/edgar/data/1441816/000144181620000114/mdb-certificateofretir.htm" TargetMode="External"/><Relationship Id="rId141" Type="http://schemas.openxmlformats.org/officeDocument/2006/relationships/hyperlink" Target="http://www.sec.gov/Archives/edgar/data/1441816/000104746917006014/a2233365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2022-09-02T15:59:53Z</dcterms:created>
  <dcterms:modified xsi:type="dcterms:W3CDTF">2022-09-02T15:59:53Z</dcterms:modified>
</cp:coreProperties>
</file>