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18"/>
          <w:szCs w:val="18"/>
          <w:color w:val="auto"/>
        </w:rPr>
        <w:t>Registration No. 333-</w:t>
      </w:r>
    </w:p>
    <w:p>
      <w:pPr>
        <w:spacing w:after="0" w:line="5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As filed with the U.S. Securities and Exchange Commission on March 21, 2025</w:t>
      </w:r>
    </w:p>
    <w:p>
      <w:pPr>
        <w:spacing w:after="0" w:line="15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7"/>
          <w:szCs w:val="27"/>
          <w:b w:val="1"/>
          <w:bCs w:val="1"/>
          <w:color w:val="auto"/>
        </w:rPr>
        <w:t>UNITED STATES</w:t>
      </w:r>
    </w:p>
    <w:p>
      <w:pPr>
        <w:spacing w:after="0" w:line="8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spacing w:after="0" w:line="8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10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7"/>
          <w:szCs w:val="27"/>
          <w:b w:val="1"/>
          <w:bCs w:val="1"/>
          <w:color w:val="auto"/>
        </w:rPr>
        <w:t>FORM S-8</w:t>
      </w:r>
    </w:p>
    <w:p>
      <w:pPr>
        <w:spacing w:after="0" w:line="14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REGISTRATION STATEMENT</w:t>
      </w:r>
    </w:p>
    <w:p>
      <w:pPr>
        <w:spacing w:after="0" w:line="5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UNDER</w:t>
      </w:r>
    </w:p>
    <w:p>
      <w:pPr>
        <w:spacing w:after="0" w:line="5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THE SECURITIES ACT OF 1933</w:t>
      </w:r>
    </w:p>
    <w:p>
      <w:pPr>
        <w:spacing w:after="0" w:line="6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MongoDB, Inc.</w:t>
      </w:r>
    </w:p>
    <w:p>
      <w:pPr>
        <w:spacing w:after="0" w:line="5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ectPr>
          <w:pgSz w:w="11900" w:h="16838" w:orient="portrait"/>
          <w:cols w:equalWidth="0" w:num="1">
            <w:col w:w="10460"/>
          </w:cols>
          <w:pgMar w:left="660" w:top="904" w:right="779" w:bottom="1440" w:gutter="0" w:footer="0" w:header="0"/>
        </w:sectPr>
      </w:pPr>
    </w:p>
    <w:p>
      <w:pPr>
        <w:spacing w:after="0" w:line="154" w:lineRule="exact"/>
        <w:rPr>
          <w:sz w:val="24"/>
          <w:szCs w:val="24"/>
          <w:color w:val="auto"/>
        </w:rPr>
      </w:pPr>
    </w:p>
    <w:p>
      <w:pPr>
        <w:ind w:left="1820"/>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3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26-1463205</w:t>
      </w:r>
    </w:p>
    <w:p>
      <w:pPr>
        <w:spacing w:after="0" w:line="75" w:lineRule="exact"/>
        <w:rPr>
          <w:sz w:val="24"/>
          <w:szCs w:val="24"/>
          <w:color w:val="auto"/>
        </w:rPr>
      </w:pPr>
    </w:p>
    <w:p>
      <w:pPr>
        <w:sectPr>
          <w:pgSz w:w="11900" w:h="16838" w:orient="portrait"/>
          <w:cols w:equalWidth="0" w:num="2">
            <w:col w:w="7660" w:space="720"/>
            <w:col w:w="2080"/>
          </w:cols>
          <w:pgMar w:left="660" w:top="904" w:right="779" w:bottom="1440" w:gutter="0" w:footer="0" w:header="0"/>
          <w:type w:val="continuous"/>
        </w:sectPr>
      </w:pPr>
    </w:p>
    <w:p>
      <w:pPr>
        <w:ind w:left="220"/>
        <w:spacing w:after="0"/>
        <w:rPr>
          <w:sz w:val="20"/>
          <w:szCs w:val="20"/>
          <w:color w:val="auto"/>
        </w:rPr>
      </w:pPr>
      <w:r>
        <w:rPr>
          <w:rFonts w:ascii="Times New Roman" w:cs="Times New Roman" w:eastAsia="Times New Roman" w:hAnsi="Times New Roman"/>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(I.R.S. Employer Identification No.)</w:t>
      </w:r>
    </w:p>
    <w:p>
      <w:pPr>
        <w:spacing w:after="0" w:line="171" w:lineRule="exact"/>
        <w:rPr>
          <w:sz w:val="24"/>
          <w:szCs w:val="24"/>
          <w:color w:val="auto"/>
        </w:rPr>
      </w:pPr>
    </w:p>
    <w:p>
      <w:pPr>
        <w:sectPr>
          <w:pgSz w:w="11900" w:h="16838" w:orient="portrait"/>
          <w:cols w:equalWidth="0" w:num="2">
            <w:col w:w="6880" w:space="720"/>
            <w:col w:w="2860"/>
          </w:cols>
          <w:pgMar w:left="660" w:top="904" w:right="779" w:bottom="1440" w:gutter="0" w:footer="0" w:header="0"/>
          <w:type w:val="continuous"/>
        </w:sect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1633 Broadway, 38</w:t>
      </w:r>
      <w:r>
        <w:rPr>
          <w:rFonts w:ascii="Times New Roman" w:cs="Times New Roman" w:eastAsia="Times New Roman" w:hAnsi="Times New Roman"/>
          <w:sz w:val="23"/>
          <w:szCs w:val="23"/>
          <w:b w:val="1"/>
          <w:bCs w:val="1"/>
          <w:color w:val="auto"/>
          <w:vertAlign w:val="superscript"/>
        </w:rPr>
        <w:t>th</w:t>
      </w:r>
      <w:r>
        <w:rPr>
          <w:rFonts w:ascii="Times New Roman" w:cs="Times New Roman" w:eastAsia="Times New Roman" w:hAnsi="Times New Roman"/>
          <w:sz w:val="18"/>
          <w:szCs w:val="18"/>
          <w:b w:val="1"/>
          <w:bCs w:val="1"/>
          <w:color w:val="auto"/>
        </w:rPr>
        <w:t xml:space="preserve"> Floor</w:t>
      </w:r>
    </w:p>
    <w:p>
      <w:pPr>
        <w:spacing w:after="0" w:line="1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New York, NY 10019</w:t>
      </w:r>
    </w:p>
    <w:p>
      <w:pPr>
        <w:spacing w:after="0" w:line="2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(Address of principal executive offices) (Zip code)</w:t>
      </w:r>
    </w:p>
    <w:p>
      <w:pPr>
        <w:spacing w:after="0" w:line="4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MongoDB, Inc. 2016 Equity Incentive Plan</w:t>
      </w:r>
    </w:p>
    <w:p>
      <w:pPr>
        <w:spacing w:after="0" w:line="6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MongoDB, Inc. 2017 Employee Stock Purchase Plan</w:t>
      </w:r>
    </w:p>
    <w:p>
      <w:pPr>
        <w:spacing w:after="0" w:line="4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(Full titles of the plans)</w:t>
      </w:r>
    </w:p>
    <w:p>
      <w:pPr>
        <w:spacing w:after="0" w:line="46" w:lineRule="exact"/>
        <w:rPr>
          <w:sz w:val="24"/>
          <w:szCs w:val="24"/>
          <w:color w:val="auto"/>
        </w:rPr>
      </w:pPr>
    </w:p>
    <w:p>
      <w:pPr>
        <w:ind w:left="3620"/>
        <w:spacing w:after="0"/>
        <w:rPr>
          <w:sz w:val="20"/>
          <w:szCs w:val="20"/>
          <w:color w:val="auto"/>
        </w:rPr>
      </w:pPr>
      <w:r>
        <w:rPr>
          <w:rFonts w:ascii="Times New Roman" w:cs="Times New Roman" w:eastAsia="Times New Roman" w:hAnsi="Times New Roman"/>
          <w:sz w:val="18"/>
          <w:szCs w:val="18"/>
          <w:color w:val="auto"/>
        </w:rPr>
        <w:t>_____________________________________</w:t>
      </w:r>
    </w:p>
    <w:p>
      <w:pPr>
        <w:spacing w:after="0" w:line="46"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Dev Ittycheria</w:t>
      </w:r>
    </w:p>
    <w:p>
      <w:pPr>
        <w:spacing w:after="0" w:line="6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50"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4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1633 Broadway, 38</w:t>
      </w:r>
      <w:r>
        <w:rPr>
          <w:rFonts w:ascii="Times New Roman" w:cs="Times New Roman" w:eastAsia="Times New Roman" w:hAnsi="Times New Roman"/>
          <w:sz w:val="23"/>
          <w:szCs w:val="23"/>
          <w:b w:val="1"/>
          <w:bCs w:val="1"/>
          <w:color w:val="auto"/>
          <w:vertAlign w:val="superscript"/>
        </w:rPr>
        <w:t>th</w:t>
      </w:r>
      <w:r>
        <w:rPr>
          <w:rFonts w:ascii="Times New Roman" w:cs="Times New Roman" w:eastAsia="Times New Roman" w:hAnsi="Times New Roman"/>
          <w:sz w:val="18"/>
          <w:szCs w:val="18"/>
          <w:b w:val="1"/>
          <w:bCs w:val="1"/>
          <w:color w:val="auto"/>
        </w:rPr>
        <w:t xml:space="preserve"> Floor</w:t>
      </w:r>
    </w:p>
    <w:p>
      <w:pPr>
        <w:spacing w:after="0" w:line="1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New York, NY 10019</w:t>
      </w:r>
    </w:p>
    <w:p>
      <w:pPr>
        <w:spacing w:after="0" w:line="26"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646-727-4092</w:t>
      </w:r>
    </w:p>
    <w:p>
      <w:pPr>
        <w:spacing w:after="0" w:line="6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(Name and address of agent for service) (Telephone number, including area code, of agent for service)</w:t>
      </w:r>
    </w:p>
    <w:p>
      <w:pPr>
        <w:spacing w:after="0" w:line="46"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Copies to:</w:t>
      </w:r>
    </w:p>
    <w:p>
      <w:pPr>
        <w:spacing w:after="0" w:line="46"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Nicole Brookshire</w:t>
      </w:r>
    </w:p>
    <w:p>
      <w:pPr>
        <w:spacing w:after="0" w:line="50"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Davis Polk &amp; Wardwell LLP</w:t>
      </w:r>
    </w:p>
    <w:p>
      <w:pPr>
        <w:spacing w:after="0" w:line="50"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450 Lexington Ave</w:t>
      </w:r>
    </w:p>
    <w:p>
      <w:pPr>
        <w:spacing w:after="0" w:line="6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New York, NY 10017</w:t>
      </w:r>
    </w:p>
    <w:p>
      <w:pPr>
        <w:spacing w:after="0" w:line="50"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(212) 450-4000</w:t>
      </w:r>
    </w:p>
    <w:p>
      <w:pPr>
        <w:spacing w:after="0" w:line="54"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60" w:type="dxa"/>
        <w:tblCellMar>
          <w:top w:w="0" w:type="dxa"/>
          <w:left w:w="0" w:type="dxa"/>
          <w:bottom w:w="0" w:type="dxa"/>
          <w:right w:w="0" w:type="dxa"/>
        </w:tblCellMar>
      </w:tblPr>
      <w:tr>
        <w:trPr>
          <w:trHeight w:val="330"/>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4280" w:type="dxa"/>
            <w:vAlign w:val="bottom"/>
          </w:tcPr>
          <w:p>
            <w:pPr>
              <w:ind w:left="440"/>
              <w:spacing w:after="0"/>
              <w:rPr>
                <w:sz w:val="20"/>
                <w:szCs w:val="20"/>
                <w:color w:val="auto"/>
              </w:rPr>
            </w:pPr>
            <w:r>
              <w:rPr>
                <w:rFonts w:ascii="Arial" w:cs="Arial" w:eastAsia="Arial" w:hAnsi="Arial"/>
                <w:sz w:val="14"/>
                <w:szCs w:val="14"/>
                <w:b w:val="1"/>
                <w:bCs w:val="1"/>
                <w:color w:val="auto"/>
              </w:rPr>
              <w:t>R</w:t>
            </w:r>
          </w:p>
        </w:tc>
        <w:tc>
          <w:tcPr>
            <w:tcW w:w="25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Accelerated filer</w:t>
            </w:r>
          </w:p>
        </w:tc>
        <w:tc>
          <w:tcPr>
            <w:tcW w:w="460" w:type="dxa"/>
            <w:vAlign w:val="bottom"/>
          </w:tcPr>
          <w:p>
            <w:pPr>
              <w:ind w:left="260"/>
              <w:spacing w:after="0" w:line="221" w:lineRule="exact"/>
              <w:rPr>
                <w:sz w:val="20"/>
                <w:szCs w:val="20"/>
                <w:color w:val="auto"/>
              </w:rPr>
            </w:pPr>
            <w:r>
              <w:rPr>
                <w:rFonts w:ascii="MS PGothic" w:cs="MS PGothic" w:eastAsia="MS PGothic" w:hAnsi="MS PGothic"/>
                <w:sz w:val="22"/>
                <w:szCs w:val="22"/>
                <w:color w:val="auto"/>
                <w:w w:val="81"/>
              </w:rPr>
              <w:t>☐</w:t>
            </w:r>
          </w:p>
        </w:tc>
      </w:tr>
      <w:tr>
        <w:trPr>
          <w:trHeight w:val="311"/>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4280" w:type="dxa"/>
            <w:vAlign w:val="bottom"/>
          </w:tcPr>
          <w:p>
            <w:pPr>
              <w:ind w:left="440"/>
              <w:spacing w:after="0" w:line="242" w:lineRule="exact"/>
              <w:rPr>
                <w:sz w:val="20"/>
                <w:szCs w:val="20"/>
                <w:color w:val="auto"/>
              </w:rPr>
            </w:pP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(Do not check if a smaller reporting company)</w:t>
            </w:r>
          </w:p>
        </w:tc>
        <w:tc>
          <w:tcPr>
            <w:tcW w:w="25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460" w:type="dxa"/>
            <w:vAlign w:val="bottom"/>
          </w:tcPr>
          <w:p>
            <w:pPr>
              <w:ind w:left="260"/>
              <w:spacing w:after="0" w:line="221" w:lineRule="exact"/>
              <w:rPr>
                <w:sz w:val="20"/>
                <w:szCs w:val="20"/>
                <w:color w:val="auto"/>
              </w:rPr>
            </w:pPr>
            <w:r>
              <w:rPr>
                <w:rFonts w:ascii="MS PGothic" w:cs="MS PGothic" w:eastAsia="MS PGothic" w:hAnsi="MS PGothic"/>
                <w:sz w:val="22"/>
                <w:szCs w:val="22"/>
                <w:color w:val="auto"/>
                <w:w w:val="81"/>
              </w:rPr>
              <w:t>☐</w:t>
            </w:r>
          </w:p>
        </w:tc>
      </w:tr>
      <w:tr>
        <w:trPr>
          <w:trHeight w:val="362"/>
        </w:trPr>
        <w:tc>
          <w:tcPr>
            <w:tcW w:w="204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25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Emerging growth company</w:t>
            </w:r>
          </w:p>
        </w:tc>
        <w:tc>
          <w:tcPr>
            <w:tcW w:w="460" w:type="dxa"/>
            <w:vAlign w:val="bottom"/>
          </w:tcPr>
          <w:p>
            <w:pPr>
              <w:ind w:left="260"/>
              <w:spacing w:after="0" w:line="221" w:lineRule="exact"/>
              <w:rPr>
                <w:sz w:val="20"/>
                <w:szCs w:val="20"/>
                <w:color w:val="auto"/>
              </w:rPr>
            </w:pPr>
            <w:r>
              <w:rPr>
                <w:rFonts w:ascii="MS PGothic" w:cs="MS PGothic" w:eastAsia="MS PGothic" w:hAnsi="MS PGothic"/>
                <w:sz w:val="22"/>
                <w:szCs w:val="22"/>
                <w:color w:val="auto"/>
                <w:w w:val="81"/>
              </w:rPr>
              <w:t>☐</w:t>
            </w:r>
          </w:p>
        </w:tc>
      </w:tr>
    </w:tbl>
    <w:p>
      <w:pPr>
        <w:spacing w:after="0" w:line="208" w:lineRule="exact"/>
        <w:rPr>
          <w:sz w:val="24"/>
          <w:szCs w:val="24"/>
          <w:color w:val="auto"/>
        </w:rPr>
      </w:pPr>
    </w:p>
    <w:p>
      <w:pPr>
        <w:ind w:right="60"/>
        <w:spacing w:after="0" w:line="287"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21"/>
          <w:szCs w:val="21"/>
          <w:color w:val="auto"/>
        </w:rPr>
        <w:t>☐</w:t>
      </w:r>
    </w:p>
    <w:p>
      <w:pPr>
        <w:sectPr>
          <w:pgSz w:w="11900" w:h="16838" w:orient="portrait"/>
          <w:cols w:equalWidth="0" w:num="1">
            <w:col w:w="10460"/>
          </w:cols>
          <w:pgMar w:left="660" w:top="904" w:right="779" w:bottom="1440" w:gutter="0" w:footer="0" w:header="0"/>
          <w:type w:val="continuous"/>
        </w:sectPr>
      </w:pPr>
    </w:p>
    <w:bookmarkStart w:id="1" w:name="page2"/>
    <w:bookmarkEnd w:id="1"/>
    <w:p>
      <w:pPr>
        <w:ind w:left="3800"/>
        <w:spacing w:after="0"/>
        <w:rPr>
          <w:sz w:val="20"/>
          <w:szCs w:val="20"/>
          <w:color w:val="auto"/>
        </w:rPr>
      </w:pPr>
      <w:r>
        <w:rPr>
          <w:rFonts w:ascii="Times New Roman" w:cs="Times New Roman" w:eastAsia="Times New Roman" w:hAnsi="Times New Roman"/>
          <w:sz w:val="18"/>
          <w:szCs w:val="18"/>
          <w:b w:val="1"/>
          <w:bCs w:val="1"/>
          <w:color w:val="auto"/>
        </w:rPr>
        <w:t>REGISTRATION OF ADDITIONAL SHARES</w:t>
      </w:r>
    </w:p>
    <w:p>
      <w:pPr>
        <w:spacing w:after="0" w:line="50"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PURSUANT TO GENERAL INSTRUCTION E</w:t>
      </w:r>
    </w:p>
    <w:p>
      <w:pPr>
        <w:spacing w:after="0" w:line="293" w:lineRule="exact"/>
        <w:rPr>
          <w:sz w:val="20"/>
          <w:szCs w:val="20"/>
          <w:color w:val="auto"/>
        </w:rPr>
      </w:pPr>
    </w:p>
    <w:p>
      <w:pPr>
        <w:jc w:val="both"/>
        <w:ind w:firstLine="648"/>
        <w:spacing w:after="0" w:line="307" w:lineRule="auto"/>
        <w:rPr>
          <w:sz w:val="20"/>
          <w:szCs w:val="20"/>
          <w:color w:val="auto"/>
        </w:rPr>
      </w:pPr>
      <w:r>
        <w:rPr>
          <w:rFonts w:ascii="Times New Roman" w:cs="Times New Roman" w:eastAsia="Times New Roman" w:hAnsi="Times New Roman"/>
          <w:sz w:val="18"/>
          <w:szCs w:val="18"/>
          <w:color w:val="auto"/>
        </w:rPr>
        <w:t>Pursuant to General Instruction E of Form S-8, MongoDB, Inc. (the “</w:t>
      </w:r>
      <w:r>
        <w:rPr>
          <w:rFonts w:ascii="Times New Roman" w:cs="Times New Roman" w:eastAsia="Times New Roman" w:hAnsi="Times New Roman"/>
          <w:sz w:val="18"/>
          <w:szCs w:val="18"/>
          <w:b w:val="1"/>
          <w:bCs w:val="1"/>
          <w:i w:val="1"/>
          <w:iCs w:val="1"/>
          <w:color w:val="auto"/>
        </w:rPr>
        <w:t>Registrant</w:t>
      </w:r>
      <w:r>
        <w:rPr>
          <w:rFonts w:ascii="Times New Roman" w:cs="Times New Roman" w:eastAsia="Times New Roman" w:hAnsi="Times New Roman"/>
          <w:sz w:val="18"/>
          <w:szCs w:val="18"/>
          <w:color w:val="auto"/>
        </w:rPr>
        <w:t>”) is filing this Registration Statement on Form S-8 (the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with the Securities and 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to register (1) 4,023,391 additional shares of its Class A common stock, par value $0.001 per share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under the MongoDB, Inc. 2016 Equity Incentive Plan (the "</w:t>
      </w:r>
      <w:r>
        <w:rPr>
          <w:rFonts w:ascii="Times New Roman" w:cs="Times New Roman" w:eastAsia="Times New Roman" w:hAnsi="Times New Roman"/>
          <w:sz w:val="18"/>
          <w:szCs w:val="18"/>
          <w:b w:val="1"/>
          <w:bCs w:val="1"/>
          <w:i w:val="1"/>
          <w:iCs w:val="1"/>
          <w:color w:val="auto"/>
        </w:rPr>
        <w:t>2016 Plan</w:t>
      </w:r>
      <w:r>
        <w:rPr>
          <w:rFonts w:ascii="Times New Roman" w:cs="Times New Roman" w:eastAsia="Times New Roman" w:hAnsi="Times New Roman"/>
          <w:sz w:val="18"/>
          <w:szCs w:val="18"/>
          <w:color w:val="auto"/>
        </w:rPr>
        <w:t>"), which include shares of Common Stock pursuant to the provisions of the 2016 Plan providing for an automatic increase in the number of shares of Common Stock reserved and available for issuance under the 2016 Plan on February 1, 2025 and (2) 804,678 additional shares of Common Stock under the MongoDB, Inc. 2017 Employee Stock Purchase Plan (the "</w:t>
      </w:r>
      <w:r>
        <w:rPr>
          <w:rFonts w:ascii="Times New Roman" w:cs="Times New Roman" w:eastAsia="Times New Roman" w:hAnsi="Times New Roman"/>
          <w:sz w:val="18"/>
          <w:szCs w:val="18"/>
          <w:b w:val="1"/>
          <w:bCs w:val="1"/>
          <w:i w:val="1"/>
          <w:iCs w:val="1"/>
          <w:color w:val="auto"/>
        </w:rPr>
        <w:t>2017 ESPP</w:t>
      </w:r>
      <w:r>
        <w:rPr>
          <w:rFonts w:ascii="Times New Roman" w:cs="Times New Roman" w:eastAsia="Times New Roman" w:hAnsi="Times New Roman"/>
          <w:sz w:val="18"/>
          <w:szCs w:val="18"/>
          <w:color w:val="auto"/>
        </w:rPr>
        <w:t>"), pursuant to the provisions of the 2017 ESPP providing for an automatic increase in the number of shares of Common Stock reserved and available for issuance under the 2017 ESPP on February 1, 2025. In accordance with the instructional note to Part I of Form S-8 as promulgated by the Commission, the information specified by Part I of the Form S-8 has been omitted from this Registration Statement.</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INCORPORATION OF CERTAIN DOCUMENTS BY REFERENCE</w:t>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documents filed by the Registrant with the Commission are incorporated by reference into this Registration Statement:</w:t>
      </w:r>
    </w:p>
    <w:p>
      <w:pPr>
        <w:spacing w:after="0" w:line="225" w:lineRule="exact"/>
        <w:rPr>
          <w:sz w:val="20"/>
          <w:szCs w:val="20"/>
          <w:color w:val="auto"/>
        </w:rPr>
      </w:pPr>
    </w:p>
    <w:p>
      <w:pPr>
        <w:ind w:left="1300" w:hanging="644"/>
        <w:spacing w:after="0"/>
        <w:tabs>
          <w:tab w:leader="none" w:pos="1300" w:val="left"/>
        </w:tabs>
        <w:numPr>
          <w:ilvl w:val="0"/>
          <w:numId w:val="1"/>
        </w:numPr>
        <w:rPr>
          <w:rFonts w:ascii="Times New Roman" w:cs="Times New Roman" w:eastAsia="Times New Roman" w:hAnsi="Times New Roman"/>
          <w:sz w:val="18"/>
          <w:szCs w:val="18"/>
          <w:color w:val="auto"/>
        </w:rPr>
      </w:pPr>
      <w:hyperlink r:id="rId8">
        <w:r>
          <w:rPr>
            <w:rFonts w:ascii="Times New Roman" w:cs="Times New Roman" w:eastAsia="Times New Roman" w:hAnsi="Times New Roman"/>
            <w:sz w:val="18"/>
            <w:szCs w:val="18"/>
            <w:color w:val="auto"/>
          </w:rPr>
          <w:t xml:space="preserve">The contents of the Registrant’s Registration Statements on Form S-8 (File No. </w:t>
        </w:r>
        <w:r>
          <w:rPr>
            <w:rFonts w:ascii="Times New Roman" w:cs="Times New Roman" w:eastAsia="Times New Roman" w:hAnsi="Times New Roman"/>
            <w:sz w:val="18"/>
            <w:szCs w:val="18"/>
            <w:u w:val="single" w:color="auto"/>
            <w:color w:val="0000FF"/>
          </w:rPr>
          <w:t>333-221028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333-224058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333-230661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333-237570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333-</w:t>
        </w:r>
      </w:hyperlink>
    </w:p>
    <w:p>
      <w:pPr>
        <w:spacing w:after="0" w:line="63" w:lineRule="exact"/>
        <w:rPr>
          <w:rFonts w:ascii="Times New Roman" w:cs="Times New Roman" w:eastAsia="Times New Roman" w:hAnsi="Times New Roman"/>
          <w:sz w:val="18"/>
          <w:szCs w:val="18"/>
          <w:color w:val="auto"/>
        </w:rPr>
      </w:pPr>
    </w:p>
    <w:p>
      <w:pPr>
        <w:spacing w:after="0" w:line="329" w:lineRule="auto"/>
        <w:rPr>
          <w:rFonts w:ascii="Times New Roman" w:cs="Times New Roman" w:eastAsia="Times New Roman" w:hAnsi="Times New Roman"/>
          <w:sz w:val="18"/>
          <w:szCs w:val="18"/>
          <w:color w:val="0000FF"/>
        </w:rPr>
      </w:pPr>
      <w:hyperlink r:id="rId8">
        <w:r>
          <w:rPr>
            <w:rFonts w:ascii="Times New Roman" w:cs="Times New Roman" w:eastAsia="Times New Roman" w:hAnsi="Times New Roman"/>
            <w:sz w:val="18"/>
            <w:szCs w:val="18"/>
            <w:u w:val="single" w:color="auto"/>
            <w:color w:val="0000FF"/>
          </w:rPr>
          <w:t>254592</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hyperlink>
      <w:hyperlink r:id="rId9">
        <w:r>
          <w:rPr>
            <w:rFonts w:ascii="Times New Roman" w:cs="Times New Roman" w:eastAsia="Times New Roman" w:hAnsi="Times New Roman"/>
            <w:sz w:val="18"/>
            <w:szCs w:val="18"/>
            <w:u w:val="single" w:color="auto"/>
            <w:color w:val="0000FF"/>
          </w:rPr>
          <w:t>333-263701</w:t>
        </w:r>
      </w:hyperlink>
      <w:hyperlink r:id="rId8">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hyperlink>
      <w:hyperlink r:id="rId10">
        <w:r>
          <w:rPr>
            <w:rFonts w:ascii="Times New Roman" w:cs="Times New Roman" w:eastAsia="Times New Roman" w:hAnsi="Times New Roman"/>
            <w:sz w:val="18"/>
            <w:szCs w:val="18"/>
            <w:u w:val="single" w:color="auto"/>
            <w:color w:val="0000FF"/>
          </w:rPr>
          <w:t xml:space="preserve">333-270654 </w:t>
        </w:r>
      </w:hyperlink>
      <w:hyperlink r:id="rId8">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FF"/>
          </w:rPr>
          <w:t xml:space="preserve"> </w:t>
        </w:r>
      </w:hyperlink>
      <w:hyperlink r:id="rId11">
        <w:r>
          <w:rPr>
            <w:rFonts w:ascii="Times New Roman" w:cs="Times New Roman" w:eastAsia="Times New Roman" w:hAnsi="Times New Roman"/>
            <w:sz w:val="18"/>
            <w:szCs w:val="18"/>
            <w:u w:val="single" w:color="auto"/>
            <w:color w:val="0000FF"/>
          </w:rPr>
          <w:t>333-277993</w:t>
        </w:r>
      </w:hyperlink>
      <w:hyperlink r:id="rId8">
        <w:r>
          <w:rPr>
            <w:rFonts w:ascii="Times New Roman" w:cs="Times New Roman" w:eastAsia="Times New Roman" w:hAnsi="Times New Roman"/>
            <w:sz w:val="18"/>
            <w:szCs w:val="18"/>
            <w:color w:val="000000"/>
          </w:rPr>
          <w:t>), filed with the Commission on October 20, 2017, March 30, 2018, April 1, 2019, April 3, 2020, March</w:t>
        </w:r>
      </w:hyperlink>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22, 2021, March 18, 2022, March 17, 2023, and March 15, 2024 respectively.</w:t>
      </w:r>
    </w:p>
    <w:p>
      <w:pPr>
        <w:spacing w:after="0" w:line="121" w:lineRule="exact"/>
        <w:rPr>
          <w:rFonts w:ascii="Times New Roman" w:cs="Times New Roman" w:eastAsia="Times New Roman" w:hAnsi="Times New Roman"/>
          <w:sz w:val="18"/>
          <w:szCs w:val="18"/>
          <w:color w:val="0000FF"/>
        </w:rPr>
      </w:pPr>
    </w:p>
    <w:p>
      <w:pPr>
        <w:ind w:firstLine="656"/>
        <w:spacing w:after="0" w:line="344" w:lineRule="auto"/>
        <w:tabs>
          <w:tab w:leader="none" w:pos="1292"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Registrant’s Annual Report on Form 10-K for the fiscal year ended January 31, 2025, filed with the Commission on March 21, 2025 (the "</w:t>
      </w:r>
      <w:r>
        <w:rPr>
          <w:rFonts w:ascii="Times New Roman" w:cs="Times New Roman" w:eastAsia="Times New Roman" w:hAnsi="Times New Roman"/>
          <w:sz w:val="18"/>
          <w:szCs w:val="18"/>
          <w:b w:val="1"/>
          <w:bCs w:val="1"/>
          <w:i w:val="1"/>
          <w:iCs w:val="1"/>
          <w:color w:val="auto"/>
        </w:rPr>
        <w:t>Annual Report</w:t>
      </w:r>
      <w:r>
        <w:rPr>
          <w:rFonts w:ascii="Times New Roman" w:cs="Times New Roman" w:eastAsia="Times New Roman" w:hAnsi="Times New Roman"/>
          <w:sz w:val="18"/>
          <w:szCs w:val="18"/>
          <w:color w:val="auto"/>
        </w:rPr>
        <w:t>").</w:t>
      </w:r>
    </w:p>
    <w:p>
      <w:pPr>
        <w:spacing w:after="0" w:line="108" w:lineRule="exact"/>
        <w:rPr>
          <w:rFonts w:ascii="Times New Roman" w:cs="Times New Roman" w:eastAsia="Times New Roman" w:hAnsi="Times New Roman"/>
          <w:sz w:val="18"/>
          <w:szCs w:val="18"/>
          <w:b w:val="1"/>
          <w:bCs w:val="1"/>
          <w:color w:val="auto"/>
        </w:rPr>
      </w:pPr>
    </w:p>
    <w:p>
      <w:pPr>
        <w:jc w:val="both"/>
        <w:ind w:firstLine="656"/>
        <w:spacing w:after="0" w:line="313" w:lineRule="auto"/>
        <w:tabs>
          <w:tab w:leader="none" w:pos="1286"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All other reports of the Registrant filed pursuant to Sections 13(a) or 15(d) of the Securities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since the end of the fiscal year covered by the Registrant’s Annual Report referred to in (b) above (other than Current Reports furnished under Item 2.02 or Item 7.01 of Form 8-K and exhibits furnished on such form that relate to such items).</w:t>
      </w:r>
    </w:p>
    <w:p>
      <w:pPr>
        <w:spacing w:after="0" w:line="148" w:lineRule="exact"/>
        <w:rPr>
          <w:rFonts w:ascii="Times New Roman" w:cs="Times New Roman" w:eastAsia="Times New Roman" w:hAnsi="Times New Roman"/>
          <w:sz w:val="18"/>
          <w:szCs w:val="18"/>
          <w:b w:val="1"/>
          <w:bCs w:val="1"/>
          <w:color w:val="auto"/>
        </w:rPr>
      </w:pPr>
    </w:p>
    <w:p>
      <w:pPr>
        <w:jc w:val="both"/>
        <w:ind w:firstLine="656"/>
        <w:spacing w:after="0" w:line="313" w:lineRule="auto"/>
        <w:tabs>
          <w:tab w:leader="none" w:pos="1292" w:val="left"/>
        </w:tabs>
        <w:numPr>
          <w:ilvl w:val="0"/>
          <w:numId w:val="1"/>
        </w:numPr>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 xml:space="preserve">The description of the Common Stock, which is contained in a registration statement on Form 8-A filed on October 10, 2017 (File No. </w:t>
      </w:r>
      <w:hyperlink r:id="rId12">
        <w:r>
          <w:rPr>
            <w:rFonts w:ascii="Times New Roman" w:cs="Times New Roman" w:eastAsia="Times New Roman" w:hAnsi="Times New Roman"/>
            <w:sz w:val="18"/>
            <w:szCs w:val="18"/>
            <w:u w:val="single" w:color="auto"/>
            <w:color w:val="0000FF"/>
          </w:rPr>
          <w:t>001-38240</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under the Exchange Act, including any amendment or report filed for the purpose of updating such description, including Exhibit 4.4 to the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Annual Report.</w:t>
      </w:r>
    </w:p>
    <w:p>
      <w:pPr>
        <w:spacing w:after="0" w:line="148" w:lineRule="exact"/>
        <w:rPr>
          <w:rFonts w:ascii="Times New Roman" w:cs="Times New Roman" w:eastAsia="Times New Roman" w:hAnsi="Times New Roman"/>
          <w:sz w:val="18"/>
          <w:szCs w:val="18"/>
          <w:color w:val="0000FF"/>
        </w:rPr>
      </w:pPr>
    </w:p>
    <w:p>
      <w:pPr>
        <w:jc w:val="both"/>
        <w:ind w:firstLine="656"/>
        <w:spacing w:after="0" w:line="301" w:lineRule="auto"/>
        <w:tabs>
          <w:tab w:leader="none" w:pos="1286"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All other reports and documents subsequently filed by the Registrant pursuant to Sections 13(a), 13(c), 14 and 15(d) of the Exchange Act (other than Current Reports furnished under Item 2.02 or Item 7.01 of Form 8-K and exhibits furnished on such form that relate to such items) on or after the date of this Registration Statement and prior to the filing of a post-effective amendment to this Registration Statement which indicates that all securities offered have been sold or which deregisters all securities then remaining unsold, shall be deemed to be incorporated by reference herein and to be a part of</w:t>
      </w:r>
    </w:p>
    <w:p>
      <w:pPr>
        <w:spacing w:after="0" w:line="1" w:lineRule="exact"/>
        <w:rPr>
          <w:rFonts w:ascii="Times New Roman" w:cs="Times New Roman" w:eastAsia="Times New Roman" w:hAnsi="Times New Roman"/>
          <w:sz w:val="18"/>
          <w:szCs w:val="18"/>
          <w:b w:val="1"/>
          <w:bCs w:val="1"/>
          <w:color w:val="auto"/>
        </w:rPr>
      </w:pPr>
    </w:p>
    <w:p>
      <w:pPr>
        <w:jc w:val="both"/>
        <w:spacing w:after="0" w:line="30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Registration Statement from the date of the filing of such reports and documents. Any statement contained in a document incorporated or deemed to be incorporated by reference herein shall be deemed to be modified or superseded for purposes of this Registration Statement to the extent that a statement contained herein or in any subsequently filed document that also is deemed to be incorporated by reference herein modifies or supersedes such statement. Any such statement so modified or superseded shall not be deemed, except as so modified or superseded, to constitute a part of this Registration Statement.</w:t>
      </w:r>
    </w:p>
    <w:p>
      <w:pPr>
        <w:sectPr>
          <w:pgSz w:w="11900" w:h="16838" w:orient="portrait"/>
          <w:cols w:equalWidth="0" w:num="1">
            <w:col w:w="11240"/>
          </w:cols>
          <w:pgMar w:left="320" w:top="792"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8.</w:t>
            </w:r>
          </w:p>
        </w:tc>
        <w:tc>
          <w:tcPr>
            <w:tcW w:w="30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0" w:type="dxa"/>
            <w:vAlign w:val="bottom"/>
          </w:tcPr>
          <w:p>
            <w:pPr>
              <w:spacing w:after="0"/>
              <w:rPr>
                <w:sz w:val="1"/>
                <w:szCs w:val="1"/>
                <w:color w:val="auto"/>
              </w:rPr>
            </w:pPr>
          </w:p>
        </w:tc>
      </w:tr>
      <w:tr>
        <w:trPr>
          <w:trHeight w:val="756"/>
        </w:trPr>
        <w:tc>
          <w:tcPr>
            <w:tcW w:w="78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080" w:type="dxa"/>
            <w:vAlign w:val="bottom"/>
            <w:vMerge w:val="restart"/>
          </w:tcPr>
          <w:p>
            <w:pPr>
              <w:ind w:left="23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3"/>
        </w:trPr>
        <w:tc>
          <w:tcPr>
            <w:tcW w:w="78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32385</wp:posOffset>
            </wp:positionV>
            <wp:extent cx="37719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extLst>
                    </a:blip>
                    <a:srcRect/>
                    <a:stretch>
                      <a:fillRect/>
                    </a:stretch>
                  </pic:blipFill>
                  <pic:spPr bwMode="auto">
                    <a:xfrm>
                      <a:off x="0" y="0"/>
                      <a:ext cx="3771900" cy="8255"/>
                    </a:xfrm>
                    <a:prstGeom prst="rect">
                      <a:avLst/>
                    </a:prstGeom>
                    <a:noFill/>
                  </pic:spPr>
                </pic:pic>
              </a:graphicData>
            </a:graphic>
          </wp:anchor>
        </w:drawing>
      </w:r>
    </w:p>
    <w:p>
      <w:pPr>
        <w:spacing w:after="0" w:line="39" w:lineRule="exact"/>
        <w:rPr>
          <w:sz w:val="20"/>
          <w:szCs w:val="20"/>
          <w:color w:val="auto"/>
        </w:rPr>
      </w:pPr>
    </w:p>
    <w:p>
      <w:pPr>
        <w:ind w:left="1060" w:right="620" w:hanging="408"/>
        <w:spacing w:after="0" w:line="237" w:lineRule="auto"/>
        <w:tabs>
          <w:tab w:leader="none" w:pos="10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4.1</w:t>
      </w:r>
      <w:r>
        <w:rPr>
          <w:sz w:val="20"/>
          <w:szCs w:val="20"/>
          <w:color w:val="auto"/>
        </w:rPr>
        <w:tab/>
      </w:r>
      <w:hyperlink r:id="rId14">
        <w:r>
          <w:rPr>
            <w:rFonts w:ascii="Times New Roman" w:cs="Times New Roman" w:eastAsia="Times New Roman" w:hAnsi="Times New Roman"/>
            <w:sz w:val="18"/>
            <w:szCs w:val="18"/>
            <w:u w:val="single" w:color="auto"/>
            <w:color w:val="0000FF"/>
          </w:rPr>
          <w:t>Amended and Restated Certificate of Incorporation of the</w:t>
        </w:r>
      </w:hyperlink>
      <w:r>
        <w:rPr>
          <w:rFonts w:ascii="Times New Roman" w:cs="Times New Roman" w:eastAsia="Times New Roman" w:hAnsi="Times New Roman"/>
          <w:sz w:val="18"/>
          <w:szCs w:val="18"/>
          <w:u w:val="single" w:color="auto"/>
          <w:color w:val="0000FF"/>
        </w:rPr>
        <w:t xml:space="preserve"> </w:t>
      </w:r>
      <w:hyperlink r:id="rId14">
        <w:r>
          <w:rPr>
            <w:rFonts w:ascii="Times New Roman" w:cs="Times New Roman" w:eastAsia="Times New Roman" w:hAnsi="Times New Roman"/>
            <w:sz w:val="18"/>
            <w:szCs w:val="18"/>
            <w:u w:val="single" w:color="auto"/>
            <w:color w:val="0000FF"/>
          </w:rPr>
          <w:t>Registrant, as currently in effect</w:t>
        </w:r>
      </w:hyperlink>
    </w:p>
    <w:p>
      <w:pPr>
        <w:spacing w:after="0" w:line="10" w:lineRule="exact"/>
        <w:rPr>
          <w:sz w:val="20"/>
          <w:szCs w:val="20"/>
          <w:color w:val="auto"/>
        </w:rPr>
      </w:pPr>
    </w:p>
    <w:p>
      <w:pPr>
        <w:ind w:left="1060" w:right="160" w:hanging="408"/>
        <w:spacing w:after="0" w:line="237" w:lineRule="auto"/>
        <w:tabs>
          <w:tab w:leader="none" w:pos="10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4.2</w:t>
      </w:r>
      <w:r>
        <w:rPr>
          <w:sz w:val="20"/>
          <w:szCs w:val="20"/>
          <w:color w:val="auto"/>
        </w:rPr>
        <w:tab/>
      </w:r>
      <w:hyperlink r:id="rId15">
        <w:r>
          <w:rPr>
            <w:rFonts w:ascii="Times New Roman" w:cs="Times New Roman" w:eastAsia="Times New Roman" w:hAnsi="Times New Roman"/>
            <w:sz w:val="18"/>
            <w:szCs w:val="18"/>
            <w:u w:val="single" w:color="auto"/>
            <w:color w:val="0000FF"/>
          </w:rPr>
          <w:t>Amended and Restated Bylaws of the Registrant, as currently in</w:t>
        </w:r>
      </w:hyperlink>
      <w:r>
        <w:rPr>
          <w:rFonts w:ascii="Times New Roman" w:cs="Times New Roman" w:eastAsia="Times New Roman" w:hAnsi="Times New Roman"/>
          <w:sz w:val="18"/>
          <w:szCs w:val="18"/>
          <w:u w:val="single" w:color="auto"/>
          <w:color w:val="0000FF"/>
        </w:rPr>
        <w:t xml:space="preserve"> </w:t>
      </w:r>
      <w:hyperlink r:id="rId15">
        <w:r>
          <w:rPr>
            <w:rFonts w:ascii="Times New Roman" w:cs="Times New Roman" w:eastAsia="Times New Roman" w:hAnsi="Times New Roman"/>
            <w:sz w:val="18"/>
            <w:szCs w:val="18"/>
            <w:u w:val="single" w:color="auto"/>
            <w:color w:val="0000FF"/>
          </w:rPr>
          <w:t>effect</w:t>
        </w:r>
      </w:hyperlink>
    </w:p>
    <w:p>
      <w:pPr>
        <w:spacing w:after="0" w:line="10" w:lineRule="exact"/>
        <w:rPr>
          <w:sz w:val="20"/>
          <w:szCs w:val="20"/>
          <w:color w:val="auto"/>
        </w:rPr>
      </w:pPr>
    </w:p>
    <w:p>
      <w:pPr>
        <w:ind w:left="660"/>
        <w:spacing w:after="0"/>
        <w:tabs>
          <w:tab w:leader="none" w:pos="10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4.3</w:t>
      </w:r>
      <w:r>
        <w:rPr>
          <w:sz w:val="20"/>
          <w:szCs w:val="20"/>
          <w:color w:val="auto"/>
        </w:rPr>
        <w:tab/>
      </w:r>
      <w:hyperlink r:id="rId16">
        <w:r>
          <w:rPr>
            <w:rFonts w:ascii="Times New Roman" w:cs="Times New Roman" w:eastAsia="Times New Roman" w:hAnsi="Times New Roman"/>
            <w:sz w:val="17"/>
            <w:szCs w:val="17"/>
            <w:u w:val="single" w:color="auto"/>
            <w:color w:val="0000FF"/>
          </w:rPr>
          <w:t>Form of Class A common stock certificate of the Registrant</w:t>
        </w:r>
      </w:hyperlink>
    </w:p>
    <w:p>
      <w:pPr>
        <w:spacing w:after="0" w:line="63" w:lineRule="exact"/>
        <w:rPr>
          <w:sz w:val="20"/>
          <w:szCs w:val="20"/>
          <w:color w:val="auto"/>
        </w:rPr>
      </w:pPr>
    </w:p>
    <w:p>
      <w:pPr>
        <w:ind w:left="660"/>
        <w:spacing w:after="0"/>
        <w:tabs>
          <w:tab w:leader="none" w:pos="10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4.4</w:t>
      </w:r>
      <w:r>
        <w:rPr>
          <w:sz w:val="20"/>
          <w:szCs w:val="20"/>
          <w:color w:val="auto"/>
        </w:rPr>
        <w:tab/>
      </w:r>
      <w:hyperlink r:id="rId17">
        <w:r>
          <w:rPr>
            <w:rFonts w:ascii="Times New Roman" w:cs="Times New Roman" w:eastAsia="Times New Roman" w:hAnsi="Times New Roman"/>
            <w:sz w:val="17"/>
            <w:szCs w:val="17"/>
            <w:u w:val="single" w:color="auto"/>
            <w:color w:val="0000FF"/>
          </w:rPr>
          <w:t>Certificate of Retirement</w:t>
        </w:r>
      </w:hyperlink>
    </w:p>
    <w:p>
      <w:pPr>
        <w:spacing w:after="0" w:line="27" w:lineRule="exact"/>
        <w:rPr>
          <w:sz w:val="20"/>
          <w:szCs w:val="20"/>
          <w:color w:val="auto"/>
        </w:rPr>
      </w:pPr>
    </w:p>
    <w:p>
      <w:pPr>
        <w:ind w:left="660"/>
        <w:spacing w:after="0"/>
        <w:tabs>
          <w:tab w:leader="none" w:pos="10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4.5</w:t>
      </w:r>
      <w:r>
        <w:rPr>
          <w:sz w:val="20"/>
          <w:szCs w:val="20"/>
          <w:color w:val="auto"/>
        </w:rPr>
        <w:tab/>
      </w:r>
      <w:hyperlink r:id="rId18">
        <w:r>
          <w:rPr>
            <w:rFonts w:ascii="Times New Roman" w:cs="Times New Roman" w:eastAsia="Times New Roman" w:hAnsi="Times New Roman"/>
            <w:sz w:val="17"/>
            <w:szCs w:val="17"/>
            <w:u w:val="single" w:color="auto"/>
            <w:color w:val="0000FF"/>
          </w:rPr>
          <w:t>Description of Registered Securities</w:t>
        </w:r>
      </w:hyperlink>
    </w:p>
    <w:p>
      <w:pPr>
        <w:spacing w:after="0" w:line="23" w:lineRule="exact"/>
        <w:rPr>
          <w:sz w:val="20"/>
          <w:szCs w:val="20"/>
          <w:color w:val="auto"/>
        </w:rPr>
      </w:pPr>
    </w:p>
    <w:p>
      <w:pPr>
        <w:ind w:left="520"/>
        <w:spacing w:after="0"/>
        <w:tabs>
          <w:tab w:leader="none" w:pos="104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7"/>
          <w:szCs w:val="17"/>
          <w:u w:val="single" w:color="auto"/>
          <w:color w:val="0000FF"/>
        </w:rPr>
        <w:t>Opinion of Davis Polk &amp; Wardwell LLP</w:t>
      </w:r>
    </w:p>
    <w:p>
      <w:pPr>
        <w:spacing w:after="0" w:line="58" w:lineRule="exact"/>
        <w:rPr>
          <w:sz w:val="20"/>
          <w:szCs w:val="20"/>
          <w:color w:val="auto"/>
        </w:rPr>
      </w:pPr>
    </w:p>
    <w:p>
      <w:pPr>
        <w:ind w:left="1060" w:right="80" w:hanging="629"/>
        <w:spacing w:after="0" w:line="237" w:lineRule="auto"/>
        <w:tabs>
          <w:tab w:leader="none" w:pos="1040"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8"/>
          <w:szCs w:val="18"/>
          <w:u w:val="single" w:color="auto"/>
          <w:color w:val="0000FF"/>
        </w:rPr>
        <w:t>Consent of PricewaterhouseCoopers LLP, independent registered public accounting firm</w:t>
      </w:r>
    </w:p>
    <w:p>
      <w:pPr>
        <w:spacing w:after="0" w:line="10" w:lineRule="exact"/>
        <w:rPr>
          <w:sz w:val="20"/>
          <w:szCs w:val="20"/>
          <w:color w:val="auto"/>
        </w:rPr>
      </w:pPr>
    </w:p>
    <w:p>
      <w:pPr>
        <w:ind w:left="440"/>
        <w:spacing w:after="0"/>
        <w:tabs>
          <w:tab w:leader="none" w:pos="1040" w:val="left"/>
        </w:tabs>
        <w:rPr>
          <w:sz w:val="20"/>
          <w:szCs w:val="20"/>
          <w:color w:val="auto"/>
        </w:rPr>
      </w:pPr>
      <w:r>
        <w:rPr>
          <w:rFonts w:ascii="Times New Roman" w:cs="Times New Roman" w:eastAsia="Times New Roman" w:hAnsi="Times New Roman"/>
          <w:sz w:val="18"/>
          <w:szCs w:val="18"/>
          <w:color w:val="auto"/>
        </w:rPr>
        <w:t>23.2*</w:t>
      </w:r>
      <w:r>
        <w:rPr>
          <w:sz w:val="20"/>
          <w:szCs w:val="20"/>
          <w:color w:val="auto"/>
        </w:rPr>
        <w:tab/>
      </w:r>
      <w:r>
        <w:rPr>
          <w:rFonts w:ascii="Times New Roman" w:cs="Times New Roman" w:eastAsia="Times New Roman" w:hAnsi="Times New Roman"/>
          <w:sz w:val="17"/>
          <w:szCs w:val="17"/>
          <w:u w:val="single" w:color="auto"/>
          <w:color w:val="0000FF"/>
        </w:rPr>
        <w:t>Consent of Davis Polk &amp; Wardwell LLP (included in Exhibit 5.1)</w:t>
      </w:r>
    </w:p>
    <w:p>
      <w:pPr>
        <w:spacing w:after="0" w:line="52" w:lineRule="exact"/>
        <w:rPr>
          <w:sz w:val="20"/>
          <w:szCs w:val="20"/>
          <w:color w:val="auto"/>
        </w:rPr>
      </w:pPr>
    </w:p>
    <w:p>
      <w:pPr>
        <w:ind w:left="440"/>
        <w:spacing w:after="0"/>
        <w:tabs>
          <w:tab w:leader="none" w:pos="1040" w:val="left"/>
        </w:tabs>
        <w:rPr>
          <w:sz w:val="20"/>
          <w:szCs w:val="20"/>
          <w:color w:val="auto"/>
        </w:rPr>
      </w:pPr>
      <w:r>
        <w:rPr>
          <w:rFonts w:ascii="Times New Roman" w:cs="Times New Roman" w:eastAsia="Times New Roman" w:hAnsi="Times New Roman"/>
          <w:sz w:val="18"/>
          <w:szCs w:val="18"/>
          <w:color w:val="auto"/>
        </w:rPr>
        <w:t>24.1*</w:t>
      </w:r>
      <w:r>
        <w:rPr>
          <w:sz w:val="20"/>
          <w:szCs w:val="20"/>
          <w:color w:val="auto"/>
        </w:rPr>
        <w:tab/>
      </w:r>
      <w:r>
        <w:rPr>
          <w:rFonts w:ascii="Times New Roman" w:cs="Times New Roman" w:eastAsia="Times New Roman" w:hAnsi="Times New Roman"/>
          <w:sz w:val="17"/>
          <w:szCs w:val="17"/>
          <w:u w:val="single" w:color="auto"/>
          <w:color w:val="0000FF"/>
        </w:rPr>
        <w:t>Power of Attorney (included on the signature page of this Form S-</w:t>
      </w:r>
    </w:p>
    <w:p>
      <w:pPr>
        <w:ind w:left="1060"/>
        <w:spacing w:after="0"/>
        <w:rPr>
          <w:sz w:val="20"/>
          <w:szCs w:val="20"/>
          <w:color w:val="auto"/>
        </w:rPr>
      </w:pPr>
      <w:r>
        <w:rPr>
          <w:rFonts w:ascii="Times New Roman" w:cs="Times New Roman" w:eastAsia="Times New Roman" w:hAnsi="Times New Roman"/>
          <w:sz w:val="18"/>
          <w:szCs w:val="18"/>
          <w:u w:val="single" w:color="auto"/>
          <w:color w:val="0000FF"/>
        </w:rPr>
        <w:t>8)</w:t>
      </w:r>
    </w:p>
    <w:p>
      <w:pPr>
        <w:spacing w:after="0" w:line="16" w:lineRule="exact"/>
        <w:rPr>
          <w:sz w:val="20"/>
          <w:szCs w:val="20"/>
          <w:color w:val="auto"/>
        </w:rPr>
      </w:pPr>
    </w:p>
    <w:p>
      <w:pPr>
        <w:jc w:val="both"/>
        <w:ind w:left="1060" w:right="40" w:hanging="498"/>
        <w:spacing w:after="0" w:line="226" w:lineRule="auto"/>
        <w:tabs>
          <w:tab w:leader="none" w:pos="10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99.1</w:t>
      </w:r>
      <w:r>
        <w:rPr>
          <w:sz w:val="20"/>
          <w:szCs w:val="20"/>
          <w:color w:val="auto"/>
        </w:rPr>
        <w:tab/>
      </w:r>
      <w:hyperlink r:id="rId19">
        <w:r>
          <w:rPr>
            <w:rFonts w:ascii="Times New Roman" w:cs="Times New Roman" w:eastAsia="Times New Roman" w:hAnsi="Times New Roman"/>
            <w:sz w:val="18"/>
            <w:szCs w:val="18"/>
            <w:u w:val="single" w:color="auto"/>
            <w:color w:val="0000FF"/>
          </w:rPr>
          <w:t>Amended and Restated 2016 Equity Incentive Plan and Forms of</w:t>
        </w:r>
      </w:hyperlink>
      <w:r>
        <w:rPr>
          <w:rFonts w:ascii="Times New Roman" w:cs="Times New Roman" w:eastAsia="Times New Roman" w:hAnsi="Times New Roman"/>
          <w:sz w:val="18"/>
          <w:szCs w:val="18"/>
          <w:u w:val="single" w:color="auto"/>
          <w:color w:val="0000FF"/>
        </w:rPr>
        <w:t xml:space="preserve"> </w:t>
      </w:r>
      <w:hyperlink r:id="rId19">
        <w:r>
          <w:rPr>
            <w:rFonts w:ascii="Times New Roman" w:cs="Times New Roman" w:eastAsia="Times New Roman" w:hAnsi="Times New Roman"/>
            <w:sz w:val="18"/>
            <w:szCs w:val="18"/>
            <w:u w:val="single" w:color="auto"/>
            <w:color w:val="0000FF"/>
          </w:rPr>
          <w:t>Stock Option Agreement, Notice of Exercise, Stock Option Grant</w:t>
        </w:r>
      </w:hyperlink>
      <w:r>
        <w:rPr>
          <w:rFonts w:ascii="Times New Roman" w:cs="Times New Roman" w:eastAsia="Times New Roman" w:hAnsi="Times New Roman"/>
          <w:sz w:val="18"/>
          <w:szCs w:val="18"/>
          <w:u w:val="single" w:color="auto"/>
          <w:color w:val="0000FF"/>
        </w:rPr>
        <w:t xml:space="preserve"> </w:t>
      </w:r>
      <w:hyperlink r:id="rId19">
        <w:r>
          <w:rPr>
            <w:rFonts w:ascii="Times New Roman" w:cs="Times New Roman" w:eastAsia="Times New Roman" w:hAnsi="Times New Roman"/>
            <w:sz w:val="18"/>
            <w:szCs w:val="18"/>
            <w:u w:val="single" w:color="auto"/>
            <w:color w:val="0000FF"/>
          </w:rPr>
          <w:t>Notice and Restricted Stock Unit Award Agreement thereunder</w:t>
        </w:r>
      </w:hyperlink>
    </w:p>
    <w:p>
      <w:pPr>
        <w:spacing w:after="0" w:line="9" w:lineRule="exact"/>
        <w:rPr>
          <w:rFonts w:ascii="Times New Roman" w:cs="Times New Roman" w:eastAsia="Times New Roman" w:hAnsi="Times New Roman"/>
          <w:sz w:val="18"/>
          <w:szCs w:val="18"/>
          <w:u w:val="single" w:color="auto"/>
          <w:color w:val="0000FF"/>
        </w:rPr>
      </w:pPr>
    </w:p>
    <w:p>
      <w:pPr>
        <w:ind w:left="560"/>
        <w:spacing w:after="0"/>
        <w:tabs>
          <w:tab w:leader="none" w:pos="10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99.2</w:t>
      </w:r>
      <w:r>
        <w:rPr>
          <w:sz w:val="20"/>
          <w:szCs w:val="20"/>
          <w:color w:val="auto"/>
        </w:rPr>
        <w:tab/>
      </w:r>
      <w:hyperlink r:id="rId20">
        <w:r>
          <w:rPr>
            <w:rFonts w:ascii="Times New Roman" w:cs="Times New Roman" w:eastAsia="Times New Roman" w:hAnsi="Times New Roman"/>
            <w:sz w:val="18"/>
            <w:szCs w:val="18"/>
            <w:u w:val="single" w:color="auto"/>
            <w:color w:val="0000FF"/>
          </w:rPr>
          <w:t>2017 Employee Stock Purchase Plan</w:t>
        </w:r>
      </w:hyperlink>
    </w:p>
    <w:p>
      <w:pPr>
        <w:spacing w:after="0" w:line="63" w:lineRule="exact"/>
        <w:rPr>
          <w:rFonts w:ascii="Times New Roman" w:cs="Times New Roman" w:eastAsia="Times New Roman" w:hAnsi="Times New Roman"/>
          <w:sz w:val="18"/>
          <w:szCs w:val="18"/>
          <w:u w:val="single" w:color="auto"/>
          <w:color w:val="0000FF"/>
        </w:rPr>
      </w:pPr>
    </w:p>
    <w:p>
      <w:pPr>
        <w:ind w:left="520"/>
        <w:spacing w:after="0"/>
        <w:tabs>
          <w:tab w:leader="none" w:pos="1040" w:val="left"/>
        </w:tabs>
        <w:rPr>
          <w:sz w:val="20"/>
          <w:szCs w:val="20"/>
          <w:color w:val="auto"/>
        </w:rPr>
      </w:pPr>
      <w:r>
        <w:rPr>
          <w:rFonts w:ascii="Times New Roman" w:cs="Times New Roman" w:eastAsia="Times New Roman" w:hAnsi="Times New Roman"/>
          <w:sz w:val="18"/>
          <w:szCs w:val="18"/>
          <w:color w:val="auto"/>
        </w:rPr>
        <w:t>107*</w:t>
      </w:r>
      <w:r>
        <w:rPr>
          <w:sz w:val="20"/>
          <w:szCs w:val="20"/>
          <w:color w:val="auto"/>
        </w:rPr>
        <w:tab/>
      </w:r>
      <w:r>
        <w:rPr>
          <w:rFonts w:ascii="Times New Roman" w:cs="Times New Roman" w:eastAsia="Times New Roman" w:hAnsi="Times New Roman"/>
          <w:sz w:val="17"/>
          <w:szCs w:val="17"/>
          <w:u w:val="single" w:color="auto"/>
          <w:color w:val="0000FF"/>
        </w:rPr>
        <w:t>Filing Fee Table</w:t>
      </w:r>
    </w:p>
    <w:p>
      <w:pPr>
        <w:spacing w:after="0" w:line="200" w:lineRule="exact"/>
        <w:rPr>
          <w:rFonts w:ascii="Times New Roman" w:cs="Times New Roman" w:eastAsia="Times New Roman" w:hAnsi="Times New Roman"/>
          <w:sz w:val="18"/>
          <w:szCs w:val="18"/>
          <w:u w:val="single" w:color="auto"/>
          <w:color w:val="0000FF"/>
        </w:rPr>
      </w:pPr>
    </w:p>
    <w:p>
      <w:pPr>
        <w:spacing w:after="0" w:line="214" w:lineRule="exact"/>
        <w:rPr>
          <w:rFonts w:ascii="Times New Roman" w:cs="Times New Roman" w:eastAsia="Times New Roman" w:hAnsi="Times New Roman"/>
          <w:sz w:val="18"/>
          <w:szCs w:val="18"/>
          <w:u w:val="single" w:color="auto"/>
          <w:color w:val="0000FF"/>
        </w:rPr>
      </w:pPr>
    </w:p>
    <w:p>
      <w:pPr>
        <w:ind w:left="80"/>
        <w:spacing w:after="0"/>
        <w:rPr>
          <w:sz w:val="20"/>
          <w:szCs w:val="20"/>
          <w:color w:val="auto"/>
        </w:rPr>
      </w:pPr>
      <w:r>
        <w:rPr>
          <w:rFonts w:ascii="Times New Roman" w:cs="Times New Roman" w:eastAsia="Times New Roman" w:hAnsi="Times New Roman"/>
          <w:sz w:val="18"/>
          <w:szCs w:val="18"/>
          <w:color w:val="auto"/>
        </w:rPr>
        <w:t>* Filed herewith</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br w:type="column"/>
      </w:r>
    </w:p>
    <w:p>
      <w:pPr>
        <w:spacing w:after="0" w:line="200" w:lineRule="exact"/>
        <w:rPr>
          <w:rFonts w:ascii="Times New Roman" w:cs="Times New Roman" w:eastAsia="Times New Roman" w:hAnsi="Times New Roman"/>
          <w:sz w:val="18"/>
          <w:szCs w:val="18"/>
          <w:u w:val="single" w:color="auto"/>
          <w:color w:val="0000FF"/>
        </w:rPr>
      </w:pPr>
    </w:p>
    <w:p>
      <w:pPr>
        <w:spacing w:after="0" w:line="347" w:lineRule="exact"/>
        <w:rPr>
          <w:rFonts w:ascii="Times New Roman" w:cs="Times New Roman" w:eastAsia="Times New Roman" w:hAnsi="Times New Roman"/>
          <w:sz w:val="18"/>
          <w:szCs w:val="18"/>
          <w:u w:val="single" w:color="auto"/>
          <w:color w:val="0000FF"/>
        </w:rPr>
      </w:pPr>
    </w:p>
    <w:p>
      <w:pPr>
        <w:ind w:left="148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p>
      <w:pPr>
        <w:spacing w:after="0" w:line="52" w:lineRule="exact"/>
        <w:rPr>
          <w:rFonts w:ascii="Times New Roman" w:cs="Times New Roman" w:eastAsia="Times New Roman" w:hAnsi="Times New Roman"/>
          <w:sz w:val="18"/>
          <w:szCs w:val="18"/>
          <w:u w:val="single" w:color="auto"/>
          <w:color w:val="0000FF"/>
        </w:rPr>
      </w:pPr>
    </w:p>
    <w:tbl>
      <w:tblPr>
        <w:tblLayout w:type="fixed"/>
        <w:tblInd w:w="0" w:type="dxa"/>
        <w:tblCellMar>
          <w:top w:w="0" w:type="dxa"/>
          <w:left w:w="0" w:type="dxa"/>
          <w:bottom w:w="0" w:type="dxa"/>
          <w:right w:w="0" w:type="dxa"/>
        </w:tblCellMar>
      </w:tblPr>
      <w:tr>
        <w:trPr>
          <w:trHeight w:val="148"/>
        </w:trPr>
        <w:tc>
          <w:tcPr>
            <w:tcW w:w="1040" w:type="dxa"/>
            <w:vAlign w:val="bottom"/>
            <w:tcBorders>
              <w:top w:val="single" w:sz="8" w:color="auto"/>
            </w:tcBorders>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Schedule</w:t>
            </w:r>
          </w:p>
        </w:tc>
        <w:tc>
          <w:tcPr>
            <w:tcW w:w="1300" w:type="dxa"/>
            <w:vAlign w:val="bottom"/>
            <w:tcBorders>
              <w:top w:val="single" w:sz="8" w:color="auto"/>
            </w:tcBorders>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920" w:type="dxa"/>
            <w:vAlign w:val="bottom"/>
            <w:tcBorders>
              <w:top w:val="single" w:sz="8" w:color="auto"/>
            </w:tcBorders>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780" w:type="dxa"/>
            <w:vAlign w:val="bottom"/>
            <w:tcBorders>
              <w:top w:val="single" w:sz="8" w:color="auto"/>
            </w:tcBorders>
            <w:vMerge w:val="restart"/>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193"/>
        </w:trPr>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300" w:type="dxa"/>
            <w:vAlign w:val="bottom"/>
            <w:gridSpan w:val="2"/>
            <w:vMerge w:val="continue"/>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1"/>
        </w:trPr>
        <w:tc>
          <w:tcPr>
            <w:tcW w:w="9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7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001-38240</w:t>
            </w:r>
          </w:p>
        </w:tc>
        <w:tc>
          <w:tcPr>
            <w:tcW w:w="100" w:type="dxa"/>
            <w:vAlign w:val="bottom"/>
          </w:tcPr>
          <w:p>
            <w:pPr>
              <w:spacing w:after="0"/>
              <w:rPr>
                <w:sz w:val="19"/>
                <w:szCs w:val="19"/>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October 25, 2017</w:t>
            </w:r>
          </w:p>
        </w:tc>
        <w:tc>
          <w:tcPr>
            <w:tcW w:w="0" w:type="dxa"/>
            <w:vAlign w:val="bottom"/>
          </w:tcPr>
          <w:p>
            <w:pPr>
              <w:spacing w:after="0"/>
              <w:rPr>
                <w:sz w:val="1"/>
                <w:szCs w:val="1"/>
                <w:color w:val="auto"/>
              </w:rPr>
            </w:pPr>
          </w:p>
        </w:tc>
      </w:tr>
      <w:tr>
        <w:trPr>
          <w:trHeight w:val="414"/>
        </w:trPr>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001-38240</w:t>
            </w:r>
          </w:p>
        </w:tc>
        <w:tc>
          <w:tcPr>
            <w:tcW w:w="10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November 20, 2024</w:t>
            </w:r>
          </w:p>
        </w:tc>
        <w:tc>
          <w:tcPr>
            <w:tcW w:w="0" w:type="dxa"/>
            <w:vAlign w:val="bottom"/>
          </w:tcPr>
          <w:p>
            <w:pPr>
              <w:spacing w:after="0"/>
              <w:rPr>
                <w:sz w:val="1"/>
                <w:szCs w:val="1"/>
                <w:color w:val="auto"/>
              </w:rPr>
            </w:pPr>
          </w:p>
        </w:tc>
      </w:tr>
      <w:tr>
        <w:trPr>
          <w:trHeight w:val="418"/>
        </w:trPr>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S-1/A</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333-220557</w:t>
            </w:r>
          </w:p>
        </w:tc>
        <w:tc>
          <w:tcPr>
            <w:tcW w:w="10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October 6, 2017</w:t>
            </w:r>
          </w:p>
        </w:tc>
        <w:tc>
          <w:tcPr>
            <w:tcW w:w="0" w:type="dxa"/>
            <w:vAlign w:val="bottom"/>
          </w:tcPr>
          <w:p>
            <w:pPr>
              <w:spacing w:after="0"/>
              <w:rPr>
                <w:sz w:val="1"/>
                <w:szCs w:val="1"/>
                <w:color w:val="auto"/>
              </w:rPr>
            </w:pPr>
          </w:p>
        </w:tc>
      </w:tr>
      <w:tr>
        <w:trPr>
          <w:trHeight w:val="265"/>
        </w:trPr>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001-38240</w:t>
            </w:r>
          </w:p>
        </w:tc>
        <w:tc>
          <w:tcPr>
            <w:tcW w:w="100" w:type="dxa"/>
            <w:vAlign w:val="bottom"/>
          </w:tcPr>
          <w:p>
            <w:pPr>
              <w:spacing w:after="0"/>
              <w:rPr>
                <w:sz w:val="23"/>
                <w:szCs w:val="23"/>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June 16, 2020</w:t>
            </w:r>
          </w:p>
        </w:tc>
        <w:tc>
          <w:tcPr>
            <w:tcW w:w="0" w:type="dxa"/>
            <w:vAlign w:val="bottom"/>
          </w:tcPr>
          <w:p>
            <w:pPr>
              <w:spacing w:after="0"/>
              <w:rPr>
                <w:sz w:val="1"/>
                <w:szCs w:val="1"/>
                <w:color w:val="auto"/>
              </w:rPr>
            </w:pPr>
          </w:p>
        </w:tc>
      </w:tr>
      <w:tr>
        <w:trPr>
          <w:trHeight w:val="234"/>
        </w:trPr>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10-K</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001-38240</w:t>
            </w:r>
          </w:p>
        </w:tc>
        <w:tc>
          <w:tcPr>
            <w:tcW w:w="10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4.4</w:t>
            </w:r>
          </w:p>
        </w:tc>
        <w:tc>
          <w:tcPr>
            <w:tcW w:w="10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15, 2024</w:t>
            </w:r>
          </w:p>
        </w:tc>
        <w:tc>
          <w:tcPr>
            <w:tcW w:w="0" w:type="dxa"/>
            <w:vAlign w:val="bottom"/>
          </w:tcPr>
          <w:p>
            <w:pPr>
              <w:spacing w:after="0"/>
              <w:rPr>
                <w:sz w:val="1"/>
                <w:szCs w:val="1"/>
                <w:color w:val="auto"/>
              </w:rPr>
            </w:pPr>
          </w:p>
        </w:tc>
      </w:tr>
    </w:tbl>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372" w:lineRule="exact"/>
        <w:rPr>
          <w:rFonts w:ascii="Times New Roman" w:cs="Times New Roman" w:eastAsia="Times New Roman" w:hAnsi="Times New Roman"/>
          <w:sz w:val="18"/>
          <w:szCs w:val="18"/>
          <w:u w:val="single" w:color="auto"/>
          <w:color w:val="0000FF"/>
        </w:rPr>
      </w:pPr>
    </w:p>
    <w:tbl>
      <w:tblPr>
        <w:tblLayout w:type="fixed"/>
        <w:tblInd w:w="26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S-1/A</w:t>
            </w:r>
          </w:p>
        </w:tc>
        <w:tc>
          <w:tcPr>
            <w:tcW w:w="1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333-220557</w:t>
            </w:r>
          </w:p>
        </w:tc>
        <w:tc>
          <w:tcPr>
            <w:tcW w:w="9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10.2</w:t>
            </w:r>
          </w:p>
        </w:tc>
        <w:tc>
          <w:tcPr>
            <w:tcW w:w="162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7"/>
              </w:rPr>
              <w:t>October 6, 2017</w:t>
            </w:r>
          </w:p>
        </w:tc>
      </w:tr>
      <w:tr>
        <w:trPr>
          <w:trHeight w:val="59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S-1/A</w:t>
            </w:r>
          </w:p>
        </w:tc>
        <w:tc>
          <w:tcPr>
            <w:tcW w:w="1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333-220557</w:t>
            </w:r>
          </w:p>
        </w:tc>
        <w:tc>
          <w:tcPr>
            <w:tcW w:w="9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10.4</w:t>
            </w:r>
          </w:p>
        </w:tc>
        <w:tc>
          <w:tcPr>
            <w:tcW w:w="162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7"/>
              </w:rPr>
              <w:t>October 6, 2017</w:t>
            </w:r>
          </w:p>
        </w:tc>
      </w:tr>
    </w:tbl>
    <w:p>
      <w:pPr>
        <w:sectPr>
          <w:pgSz w:w="11900" w:h="16838" w:orient="portrait"/>
          <w:cols w:equalWidth="0" w:num="2">
            <w:col w:w="5840" w:space="260"/>
            <w:col w:w="5040"/>
          </w:cols>
          <w:pgMar w:left="320" w:top="765" w:right="4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70" w:lineRule="exact"/>
        <w:rPr>
          <w:sz w:val="20"/>
          <w:szCs w:val="20"/>
          <w:color w:val="auto"/>
        </w:rPr>
      </w:pPr>
    </w:p>
    <w:p>
      <w:pPr>
        <w:jc w:val="both"/>
        <w:ind w:firstLine="648"/>
        <w:spacing w:after="0" w:line="321"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New York, New York, on the 20th day of March, 2025.</w:t>
      </w:r>
    </w:p>
    <w:p>
      <w:pPr>
        <w:spacing w:after="0" w:line="191"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279" w:lineRule="exact"/>
        <w:rPr>
          <w:sz w:val="20"/>
          <w:szCs w:val="20"/>
          <w:color w:val="auto"/>
        </w:rPr>
      </w:pPr>
    </w:p>
    <w:tbl>
      <w:tblPr>
        <w:tblLayout w:type="fixed"/>
        <w:tblInd w:w="3580" w:type="dxa"/>
        <w:tblCellMar>
          <w:top w:w="0" w:type="dxa"/>
          <w:left w:w="0" w:type="dxa"/>
          <w:bottom w:w="0" w:type="dxa"/>
          <w:right w:w="0" w:type="dxa"/>
        </w:tblCellMar>
      </w:tblPr>
      <w:tr>
        <w:trPr>
          <w:trHeight w:val="238"/>
        </w:trPr>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By:</w:t>
            </w:r>
          </w:p>
        </w:tc>
        <w:tc>
          <w:tcPr>
            <w:tcW w:w="4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 Dev Ittycheria</w:t>
            </w:r>
          </w:p>
        </w:tc>
        <w:tc>
          <w:tcPr>
            <w:tcW w:w="0" w:type="dxa"/>
            <w:vAlign w:val="bottom"/>
          </w:tcPr>
          <w:p>
            <w:pPr>
              <w:spacing w:after="0"/>
              <w:rPr>
                <w:sz w:val="1"/>
                <w:szCs w:val="1"/>
                <w:color w:val="auto"/>
              </w:rPr>
            </w:pPr>
          </w:p>
        </w:tc>
      </w:tr>
      <w:tr>
        <w:trPr>
          <w:trHeight w:val="40"/>
        </w:trPr>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Name:</w:t>
            </w:r>
          </w:p>
        </w:tc>
        <w:tc>
          <w:tcPr>
            <w:tcW w:w="4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580" w:type="dxa"/>
            <w:vAlign w:val="bottom"/>
            <w:vMerge w:val="continue"/>
          </w:tcPr>
          <w:p>
            <w:pPr>
              <w:spacing w:after="0"/>
              <w:rPr>
                <w:sz w:val="19"/>
                <w:szCs w:val="19"/>
                <w:color w:val="auto"/>
              </w:rPr>
            </w:pPr>
          </w:p>
        </w:tc>
        <w:tc>
          <w:tcPr>
            <w:tcW w:w="4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Dev Ittycheria</w:t>
            </w:r>
          </w:p>
        </w:tc>
        <w:tc>
          <w:tcPr>
            <w:tcW w:w="0" w:type="dxa"/>
            <w:vAlign w:val="bottom"/>
          </w:tcPr>
          <w:p>
            <w:pPr>
              <w:spacing w:after="0"/>
              <w:rPr>
                <w:sz w:val="1"/>
                <w:szCs w:val="1"/>
                <w:color w:val="auto"/>
              </w:rPr>
            </w:pPr>
          </w:p>
        </w:tc>
      </w:tr>
      <w:tr>
        <w:trPr>
          <w:trHeight w:val="265"/>
        </w:trPr>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Title:</w:t>
            </w:r>
          </w:p>
        </w:tc>
        <w:tc>
          <w:tcPr>
            <w:tcW w:w="4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58" w:lineRule="exact"/>
        <w:rPr>
          <w:sz w:val="20"/>
          <w:szCs w:val="20"/>
          <w:color w:val="auto"/>
        </w:rPr>
      </w:pPr>
    </w:p>
    <w:p>
      <w:pPr>
        <w:jc w:val="both"/>
        <w:ind w:firstLine="648"/>
        <w:spacing w:after="0" w:line="303" w:lineRule="auto"/>
        <w:rPr>
          <w:sz w:val="20"/>
          <w:szCs w:val="20"/>
          <w:color w:val="auto"/>
        </w:rPr>
      </w:pPr>
      <w:r>
        <w:rPr>
          <w:rFonts w:ascii="Times New Roman" w:cs="Times New Roman" w:eastAsia="Times New Roman" w:hAnsi="Times New Roman"/>
          <w:sz w:val="18"/>
          <w:szCs w:val="18"/>
          <w:b w:val="1"/>
          <w:bCs w:val="1"/>
          <w:color w:val="auto"/>
        </w:rPr>
        <w:t>KNOW ALL PERSONS BY THESE PRESENTS</w:t>
      </w:r>
      <w:r>
        <w:rPr>
          <w:rFonts w:ascii="Times New Roman" w:cs="Times New Roman" w:eastAsia="Times New Roman" w:hAnsi="Times New Roman"/>
          <w:sz w:val="18"/>
          <w:szCs w:val="18"/>
          <w:color w:val="auto"/>
        </w:rPr>
        <w:t>, that each person whose signature appears below constitutes and appoints Dev Ittycheria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Srdjan Tanjga, and each of them, as his or her true and lawful attorneys-in-fact and agents, each with the full power of substitution, for him or her and in their name, place or stead, in any and all capacities, to sign any and all amendments to this Registration Statement (including post-effective amendments), and to sign any registration statement for the same offering covered by this Registration Statement that is to be effective upon filing pursuant to Rule 462(b) promulgated under the Securities Act, and all post-effective amendments thereto,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his, her or their substitute or substitutes, may lawfully do or cause to be done by virtue hereof.</w:t>
      </w:r>
    </w:p>
    <w:p>
      <w:pPr>
        <w:spacing w:after="0" w:line="96" w:lineRule="exact"/>
        <w:rPr>
          <w:sz w:val="20"/>
          <w:szCs w:val="20"/>
          <w:color w:val="auto"/>
        </w:rPr>
      </w:pPr>
    </w:p>
    <w:p>
      <w:pPr>
        <w:ind w:right="220" w:firstLine="648"/>
        <w:spacing w:after="0" w:line="329" w:lineRule="auto"/>
        <w:rPr>
          <w:sz w:val="20"/>
          <w:szCs w:val="20"/>
          <w:color w:val="auto"/>
        </w:rPr>
      </w:pPr>
      <w:r>
        <w:rPr>
          <w:rFonts w:ascii="Times New Roman" w:cs="Times New Roman" w:eastAsia="Times New Roman" w:hAnsi="Times New Roman"/>
          <w:sz w:val="18"/>
          <w:szCs w:val="18"/>
          <w:color w:val="auto"/>
        </w:rPr>
        <w:t>Pursuant to the requirements of the Securities Act, this Registration Statement has been signed by the following persons in the capacities and on the dates indicated.</w:t>
      </w:r>
    </w:p>
    <w:p>
      <w:pPr>
        <w:sectPr>
          <w:pgSz w:w="11900" w:h="16838" w:orient="portrait"/>
          <w:cols w:equalWidth="0" w:num="1">
            <w:col w:w="11240"/>
          </w:cols>
          <w:pgMar w:left="320" w:top="792" w:right="339" w:bottom="1440" w:gutter="0" w:footer="0" w:header="0"/>
        </w:sectPr>
      </w:pPr>
    </w:p>
    <w:bookmarkStart w:id="4" w:name="page5"/>
    <w:bookmarkEnd w:id="4"/>
    <w:p>
      <w:pPr>
        <w:ind w:left="134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45720</wp:posOffset>
            </wp:positionV>
            <wp:extent cx="223710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/s/Dev Ittycheria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43180</wp:posOffset>
            </wp:positionV>
            <wp:extent cx="223710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5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b w:val="1"/>
          <w:bCs w:val="1"/>
          <w:color w:val="auto"/>
        </w:rPr>
        <w:t>Dev Ittycheria</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/s/Srdjan Tanjga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17145</wp:posOffset>
            </wp:positionV>
            <wp:extent cx="22371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3">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1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b w:val="1"/>
          <w:bCs w:val="1"/>
          <w:color w:val="auto"/>
        </w:rPr>
        <w:t>Srdjan Tanjga</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/s/Thomas Bull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17145</wp:posOffset>
            </wp:positionV>
            <wp:extent cx="22371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4">
                      <a:extLst>
                        <a:ext uri="{28A0092B-C50C-407E-A947-70E740481C1C}"/>
                      </a:extLst>
                    </a:blip>
                    <a:srcRect/>
                    <a:stretch>
                      <a:fillRect/>
                    </a:stretch>
                  </pic:blipFill>
                  <pic:spPr bwMode="auto">
                    <a:xfrm>
                      <a:off x="0" y="0"/>
                      <a:ext cx="2237105" cy="8890"/>
                    </a:xfrm>
                    <a:prstGeom prst="rect">
                      <a:avLst/>
                    </a:prstGeom>
                    <a:noFill/>
                  </pic:spPr>
                </pic:pic>
              </a:graphicData>
            </a:graphic>
          </wp:anchor>
        </w:drawing>
      </w:r>
    </w:p>
    <w:p>
      <w:pPr>
        <w:spacing w:after="0" w:line="12"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b w:val="1"/>
          <w:bCs w:val="1"/>
          <w:color w:val="auto"/>
        </w:rPr>
        <w:t>Thomas Bull</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/s/Tom Killalea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17145</wp:posOffset>
            </wp:positionV>
            <wp:extent cx="22371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5">
                      <a:extLst>
                        <a:ext uri="{28A0092B-C50C-407E-A947-70E740481C1C}"/>
                      </a:extLst>
                    </a:blip>
                    <a:srcRect/>
                    <a:stretch>
                      <a:fillRect/>
                    </a:stretch>
                  </pic:blipFill>
                  <pic:spPr bwMode="auto">
                    <a:xfrm>
                      <a:off x="0" y="0"/>
                      <a:ext cx="2237105" cy="8890"/>
                    </a:xfrm>
                    <a:prstGeom prst="rect">
                      <a:avLst/>
                    </a:prstGeom>
                    <a:noFill/>
                  </pic:spPr>
                </pic:pic>
              </a:graphicData>
            </a:graphic>
          </wp:anchor>
        </w:drawing>
      </w:r>
    </w:p>
    <w:p>
      <w:pPr>
        <w:spacing w:after="0" w:line="12"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b w:val="1"/>
          <w:bCs w:val="1"/>
          <w:color w:val="auto"/>
        </w:rPr>
        <w:t>Tom Killalea</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/s/Archana Agrawal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17145</wp:posOffset>
            </wp:positionV>
            <wp:extent cx="22371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6">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12" w:lineRule="exact"/>
        <w:rPr>
          <w:sz w:val="20"/>
          <w:szCs w:val="20"/>
          <w:color w:val="auto"/>
        </w:rPr>
      </w:pPr>
    </w:p>
    <w:p>
      <w:pPr>
        <w:ind w:right="980" w:firstLine="1018"/>
        <w:spacing w:after="0" w:line="320" w:lineRule="auto"/>
        <w:rPr>
          <w:sz w:val="20"/>
          <w:szCs w:val="20"/>
          <w:color w:val="auto"/>
        </w:rPr>
      </w:pPr>
      <w:r>
        <w:rPr>
          <w:rFonts w:ascii="Times New Roman" w:cs="Times New Roman" w:eastAsia="Times New Roman" w:hAnsi="Times New Roman"/>
          <w:sz w:val="18"/>
          <w:szCs w:val="18"/>
          <w:b w:val="1"/>
          <w:bCs w:val="1"/>
          <w:color w:val="auto"/>
        </w:rPr>
        <w:t xml:space="preserve">Archana Agrawal </w:t>
      </w:r>
      <w:r>
        <w:rPr>
          <w:rFonts w:ascii="Times New Roman" w:cs="Times New Roman" w:eastAsia="Times New Roman" w:hAnsi="Times New Roman"/>
          <w:sz w:val="18"/>
          <w:szCs w:val="18"/>
          <w:color w:val="auto"/>
        </w:rPr>
        <w:t>/s/Roelof Botha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-1270</wp:posOffset>
            </wp:positionV>
            <wp:extent cx="22371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7">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ind w:left="1200"/>
        <w:spacing w:after="0"/>
        <w:rPr>
          <w:sz w:val="20"/>
          <w:szCs w:val="20"/>
          <w:color w:val="auto"/>
        </w:rPr>
      </w:pPr>
      <w:r>
        <w:rPr>
          <w:rFonts w:ascii="Times New Roman" w:cs="Times New Roman" w:eastAsia="Times New Roman" w:hAnsi="Times New Roman"/>
          <w:sz w:val="18"/>
          <w:szCs w:val="18"/>
          <w:b w:val="1"/>
          <w:bCs w:val="1"/>
          <w:color w:val="auto"/>
        </w:rPr>
        <w:t>Roelof Botha</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/s/Hope Cochran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26035</wp:posOffset>
            </wp:positionV>
            <wp:extent cx="22371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8">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2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b w:val="1"/>
          <w:bCs w:val="1"/>
          <w:color w:val="auto"/>
        </w:rPr>
        <w:t>Hope Cochran</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/s/Francisco D'Souza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17145</wp:posOffset>
            </wp:positionV>
            <wp:extent cx="223710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9">
                      <a:extLst>
                        <a:ext uri="{28A0092B-C50C-407E-A947-70E740481C1C}"/>
                      </a:extLst>
                    </a:blip>
                    <a:srcRect/>
                    <a:stretch>
                      <a:fillRect/>
                    </a:stretch>
                  </pic:blipFill>
                  <pic:spPr bwMode="auto">
                    <a:xfrm>
                      <a:off x="0" y="0"/>
                      <a:ext cx="2237105" cy="8890"/>
                    </a:xfrm>
                    <a:prstGeom prst="rect">
                      <a:avLst/>
                    </a:prstGeom>
                    <a:noFill/>
                  </pic:spPr>
                </pic:pic>
              </a:graphicData>
            </a:graphic>
          </wp:anchor>
        </w:drawing>
      </w:r>
    </w:p>
    <w:p>
      <w:pPr>
        <w:spacing w:after="0" w:line="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Francisco D’Souza</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/s/Charles M. Hazard,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17145</wp:posOffset>
            </wp:positionV>
            <wp:extent cx="223710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0">
                      <a:extLst>
                        <a:ext uri="{28A0092B-C50C-407E-A947-70E740481C1C}"/>
                      </a:extLst>
                    </a:blip>
                    <a:srcRect/>
                    <a:stretch>
                      <a:fillRect/>
                    </a:stretch>
                  </pic:blipFill>
                  <pic:spPr bwMode="auto">
                    <a:xfrm>
                      <a:off x="0" y="0"/>
                      <a:ext cx="2237105" cy="8890"/>
                    </a:xfrm>
                    <a:prstGeom prst="rect">
                      <a:avLst/>
                    </a:prstGeom>
                    <a:noFill/>
                  </pic:spPr>
                </pic:pic>
              </a:graphicData>
            </a:graphic>
          </wp:anchor>
        </w:drawing>
      </w:r>
    </w:p>
    <w:p>
      <w:pPr>
        <w:spacing w:after="0" w:line="1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b w:val="1"/>
          <w:bCs w:val="1"/>
          <w:color w:val="auto"/>
        </w:rPr>
        <w:t>Charles M. Hazard, Jr.</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/s/Ann Lewnes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17145</wp:posOffset>
            </wp:positionV>
            <wp:extent cx="223710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1">
                      <a:extLst>
                        <a:ext uri="{28A0092B-C50C-407E-A947-70E740481C1C}"/>
                      </a:extLst>
                    </a:blip>
                    <a:srcRect/>
                    <a:stretch>
                      <a:fillRect/>
                    </a:stretch>
                  </pic:blipFill>
                  <pic:spPr bwMode="auto">
                    <a:xfrm>
                      <a:off x="0" y="0"/>
                      <a:ext cx="2237105" cy="8890"/>
                    </a:xfrm>
                    <a:prstGeom prst="rect">
                      <a:avLst/>
                    </a:prstGeom>
                    <a:noFill/>
                  </pic:spPr>
                </pic:pic>
              </a:graphicData>
            </a:graphic>
          </wp:anchor>
        </w:drawing>
      </w:r>
    </w:p>
    <w:p>
      <w:pPr>
        <w:spacing w:after="0" w:line="12"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color w:val="auto"/>
        </w:rPr>
        <w:t>Ann Lewnes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/s/Dwight Merriman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26035</wp:posOffset>
            </wp:positionV>
            <wp:extent cx="223710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2">
                      <a:extLst>
                        <a:ext uri="{28A0092B-C50C-407E-A947-70E740481C1C}"/>
                      </a:extLst>
                    </a:blip>
                    <a:srcRect/>
                    <a:stretch>
                      <a:fillRect/>
                    </a:stretch>
                  </pic:blipFill>
                  <pic:spPr bwMode="auto">
                    <a:xfrm>
                      <a:off x="0" y="0"/>
                      <a:ext cx="2237105" cy="8890"/>
                    </a:xfrm>
                    <a:prstGeom prst="rect">
                      <a:avLst/>
                    </a:prstGeom>
                    <a:noFill/>
                  </pic:spPr>
                </pic:pic>
              </a:graphicData>
            </a:graphic>
          </wp:anchor>
        </w:drawing>
      </w:r>
    </w:p>
    <w:p>
      <w:pPr>
        <w:spacing w:after="0" w:line="2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b w:val="1"/>
          <w:bCs w:val="1"/>
          <w:color w:val="auto"/>
        </w:rPr>
        <w:t>Dwight Merriman</w:t>
      </w:r>
    </w:p>
    <w:p>
      <w:pPr>
        <w:spacing w:after="0" w:line="20" w:lineRule="exact"/>
        <w:rPr>
          <w:sz w:val="20"/>
          <w:szCs w:val="20"/>
          <w:color w:val="auto"/>
        </w:rPr>
      </w:pPr>
      <w:r>
        <w:rPr>
          <w:sz w:val="20"/>
          <w:szCs w:val="20"/>
          <w:color w:val="auto"/>
        </w:rPr>
        <w:br w:type="column"/>
      </w:r>
    </w:p>
    <w:p>
      <w:pPr>
        <w:ind w:left="1540"/>
        <w:spacing w:after="0"/>
        <w:rPr>
          <w:sz w:val="20"/>
          <w:szCs w:val="20"/>
          <w:color w:val="auto"/>
        </w:rPr>
      </w:pPr>
      <w:r>
        <w:rPr>
          <w:rFonts w:ascii="Times New Roman" w:cs="Times New Roman" w:eastAsia="Times New Roman" w:hAnsi="Times New Roman"/>
          <w:sz w:val="18"/>
          <w:szCs w:val="18"/>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-230505</wp:posOffset>
            </wp:positionH>
            <wp:positionV relativeFrom="paragraph">
              <wp:posOffset>45720</wp:posOffset>
            </wp:positionV>
            <wp:extent cx="264033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3">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33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7"/>
          <w:szCs w:val="17"/>
          <w:color w:val="auto"/>
        </w:rPr>
        <w:t>President, Chief Executive Officer and Director</w:t>
      </w:r>
    </w:p>
    <w:p>
      <w:pPr>
        <w:spacing w:after="0" w:line="1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35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Interim Chief Financial Officer</w:t>
      </w:r>
    </w:p>
    <w:p>
      <w:pPr>
        <w:spacing w:after="0" w:line="2"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35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Chief Accounting Officer</w:t>
      </w:r>
    </w:p>
    <w:p>
      <w:pPr>
        <w:spacing w:after="0" w:line="2"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i w:val="1"/>
          <w:iCs w:val="1"/>
          <w:color w:val="auto"/>
        </w:rPr>
        <w:t>(Principal Accounting Officer)</w:t>
      </w:r>
    </w:p>
    <w:p>
      <w:pPr>
        <w:spacing w:after="0" w:line="32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color w:val="auto"/>
        </w:rPr>
        <w:t>Director</w:t>
      </w:r>
    </w:p>
    <w:p>
      <w:pPr>
        <w:spacing w:after="0" w:line="34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color w:val="auto"/>
        </w:rPr>
        <w:t>Director</w:t>
      </w:r>
    </w:p>
    <w:p>
      <w:pPr>
        <w:spacing w:after="0" w:line="34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color w:val="auto"/>
        </w:rPr>
        <w:t>Director</w:t>
      </w:r>
    </w:p>
    <w:p>
      <w:pPr>
        <w:spacing w:after="0" w:line="34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color w:val="auto"/>
        </w:rPr>
        <w:t>Director</w:t>
      </w:r>
    </w:p>
    <w:p>
      <w:pPr>
        <w:spacing w:after="0" w:line="30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color w:val="auto"/>
        </w:rPr>
        <w:t>Director</w:t>
      </w:r>
    </w:p>
    <w:p>
      <w:pPr>
        <w:spacing w:after="0" w:line="34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color w:val="auto"/>
        </w:rPr>
        <w:t>Director</w:t>
      </w:r>
    </w:p>
    <w:p>
      <w:pPr>
        <w:spacing w:after="0" w:line="34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color w:val="auto"/>
        </w:rPr>
        <w:t>Director</w:t>
      </w:r>
    </w:p>
    <w:p>
      <w:pPr>
        <w:spacing w:after="0" w:line="26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color w:val="auto"/>
        </w:rPr>
        <w:t>Director</w:t>
      </w:r>
    </w:p>
    <w:p>
      <w:pPr>
        <w:spacing w:after="0" w:line="20" w:lineRule="exact"/>
        <w:rPr>
          <w:sz w:val="20"/>
          <w:szCs w:val="20"/>
          <w:color w:val="auto"/>
        </w:rPr>
      </w:pPr>
      <w:r>
        <w:rPr>
          <w:sz w:val="20"/>
          <w:szCs w:val="20"/>
          <w:color w:val="auto"/>
        </w:rPr>
        <w:br w:type="column"/>
      </w:r>
    </w:p>
    <w:p>
      <w:pPr>
        <w:ind w:left="400"/>
        <w:spacing w:after="0"/>
        <w:rPr>
          <w:sz w:val="20"/>
          <w:szCs w:val="20"/>
          <w:color w:val="auto"/>
        </w:rPr>
      </w:pPr>
      <w:r>
        <w:rPr>
          <w:rFonts w:ascii="Times New Roman" w:cs="Times New Roman" w:eastAsia="Times New Roman" w:hAnsi="Times New Roman"/>
          <w:sz w:val="18"/>
          <w:szCs w:val="18"/>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-183515</wp:posOffset>
            </wp:positionH>
            <wp:positionV relativeFrom="paragraph">
              <wp:posOffset>45720</wp:posOffset>
            </wp:positionV>
            <wp:extent cx="11144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4">
                      <a:extLst>
                        <a:ext uri="{28A0092B-C50C-407E-A947-70E740481C1C}"/>
                      </a:extLst>
                    </a:blip>
                    <a:srcRect/>
                    <a:stretch>
                      <a:fillRect/>
                    </a:stretch>
                  </pic:blipFill>
                  <pic:spPr bwMode="auto">
                    <a:xfrm>
                      <a:off x="0" y="0"/>
                      <a:ext cx="1114425" cy="825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20, 2025</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20, 2025</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20, 2025</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20, 2025</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20, 2025</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20, 2025</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20, 2025</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20, 2025</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20, 2025</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20, 2025</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20, 2025</w:t>
      </w:r>
    </w:p>
    <w:p>
      <w:pPr>
        <w:sectPr>
          <w:pgSz w:w="11900" w:h="16838" w:orient="portrait"/>
          <w:cols w:equalWidth="0" w:num="3">
            <w:col w:w="3380" w:space="720"/>
            <w:col w:w="3620" w:space="720"/>
            <w:col w:w="1160"/>
          </w:cols>
          <w:pgMar w:left="1020" w:top="900" w:right="127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262"/>
        </w:trPr>
        <w:tc>
          <w:tcPr>
            <w:tcW w:w="9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600" w:type="dxa"/>
            <w:vAlign w:val="bottom"/>
          </w:tcPr>
          <w:p>
            <w:pPr>
              <w:ind w:left="600"/>
              <w:spacing w:after="0"/>
              <w:rPr>
                <w:sz w:val="20"/>
                <w:szCs w:val="20"/>
                <w:color w:val="auto"/>
              </w:rPr>
            </w:pPr>
            <w:r>
              <w:rPr>
                <w:rFonts w:ascii="Times New Roman" w:cs="Times New Roman" w:eastAsia="Times New Roman" w:hAnsi="Times New Roman"/>
                <w:sz w:val="20"/>
                <w:szCs w:val="20"/>
                <w:b w:val="1"/>
                <w:bCs w:val="1"/>
                <w:color w:val="auto"/>
                <w:w w:val="97"/>
              </w:rPr>
              <w:t>Exhibit 107</w:t>
            </w:r>
          </w:p>
        </w:tc>
        <w:tc>
          <w:tcPr>
            <w:tcW w:w="0" w:type="dxa"/>
            <w:vAlign w:val="bottom"/>
          </w:tcPr>
          <w:p>
            <w:pPr>
              <w:spacing w:after="0"/>
              <w:rPr>
                <w:sz w:val="1"/>
                <w:szCs w:val="1"/>
                <w:color w:val="auto"/>
              </w:rPr>
            </w:pPr>
          </w:p>
        </w:tc>
      </w:tr>
      <w:tr>
        <w:trPr>
          <w:trHeight w:val="494"/>
        </w:trPr>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60" w:type="dxa"/>
            <w:vAlign w:val="bottom"/>
            <w:gridSpan w:val="4"/>
          </w:tcPr>
          <w:p>
            <w:pPr>
              <w:jc w:val="center"/>
              <w:ind w:left="215"/>
              <w:spacing w:after="0"/>
              <w:rPr>
                <w:sz w:val="20"/>
                <w:szCs w:val="20"/>
                <w:color w:val="auto"/>
              </w:rPr>
            </w:pPr>
            <w:r>
              <w:rPr>
                <w:rFonts w:ascii="Times New Roman" w:cs="Times New Roman" w:eastAsia="Times New Roman" w:hAnsi="Times New Roman"/>
                <w:sz w:val="20"/>
                <w:szCs w:val="20"/>
                <w:b w:val="1"/>
                <w:bCs w:val="1"/>
                <w:color w:val="auto"/>
                <w:w w:val="98"/>
              </w:rPr>
              <w:t>Calculation of Filing Fee Tables</w:t>
            </w:r>
          </w:p>
        </w:tc>
        <w:tc>
          <w:tcPr>
            <w:tcW w:w="1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920" w:type="dxa"/>
            <w:vAlign w:val="bottom"/>
            <w:gridSpan w:val="3"/>
          </w:tcPr>
          <w:p>
            <w:pPr>
              <w:jc w:val="center"/>
              <w:ind w:right="1040"/>
              <w:spacing w:after="0"/>
              <w:rPr>
                <w:sz w:val="20"/>
                <w:szCs w:val="20"/>
                <w:color w:val="auto"/>
              </w:rPr>
            </w:pPr>
            <w:r>
              <w:rPr>
                <w:rFonts w:ascii="Times New Roman" w:cs="Times New Roman" w:eastAsia="Times New Roman" w:hAnsi="Times New Roman"/>
                <w:sz w:val="20"/>
                <w:szCs w:val="20"/>
                <w:b w:val="1"/>
                <w:bCs w:val="1"/>
                <w:color w:val="auto"/>
                <w:w w:val="99"/>
              </w:rPr>
              <w:t>Form S-8</w:t>
            </w:r>
          </w:p>
        </w:tc>
        <w:tc>
          <w:tcPr>
            <w:tcW w:w="15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60" w:type="dxa"/>
            <w:vAlign w:val="bottom"/>
            <w:gridSpan w:val="4"/>
          </w:tcPr>
          <w:p>
            <w:pPr>
              <w:jc w:val="center"/>
              <w:ind w:left="235"/>
              <w:spacing w:after="0"/>
              <w:rPr>
                <w:sz w:val="20"/>
                <w:szCs w:val="20"/>
                <w:color w:val="auto"/>
              </w:rPr>
            </w:pPr>
            <w:r>
              <w:rPr>
                <w:rFonts w:ascii="Times New Roman" w:cs="Times New Roman" w:eastAsia="Times New Roman" w:hAnsi="Times New Roman"/>
                <w:sz w:val="20"/>
                <w:szCs w:val="20"/>
                <w:b w:val="1"/>
                <w:bCs w:val="1"/>
                <w:color w:val="auto"/>
                <w:w w:val="99"/>
              </w:rPr>
              <w:t>MONGODB, INC.</w:t>
            </w:r>
          </w:p>
        </w:tc>
        <w:tc>
          <w:tcPr>
            <w:tcW w:w="15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000" w:type="dxa"/>
            <w:vAlign w:val="bottom"/>
            <w:gridSpan w:val="6"/>
          </w:tcPr>
          <w:p>
            <w:pPr>
              <w:jc w:val="center"/>
              <w:ind w:right="999"/>
              <w:spacing w:after="0"/>
              <w:rPr>
                <w:sz w:val="20"/>
                <w:szCs w:val="20"/>
                <w:color w:val="auto"/>
              </w:rPr>
            </w:pPr>
            <w:r>
              <w:rPr>
                <w:rFonts w:ascii="Times New Roman" w:cs="Times New Roman" w:eastAsia="Times New Roman" w:hAnsi="Times New Roman"/>
                <w:sz w:val="18"/>
                <w:szCs w:val="18"/>
                <w:color w:val="auto"/>
                <w:w w:val="99"/>
              </w:rPr>
              <w:t>(Exact Name of Registrant as Specified in its Charter)</w:t>
            </w:r>
          </w:p>
        </w:tc>
        <w:tc>
          <w:tcPr>
            <w:tcW w:w="10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9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980" w:type="dxa"/>
            <w:vAlign w:val="bottom"/>
            <w:tcBorders>
              <w:left w:val="single" w:sz="8" w:color="auto"/>
            </w:tcBorders>
          </w:tcPr>
          <w:p>
            <w:pPr>
              <w:jc w:val="center"/>
              <w:ind w:left="79"/>
              <w:spacing w:after="0" w:line="155" w:lineRule="exact"/>
              <w:rPr>
                <w:sz w:val="20"/>
                <w:szCs w:val="20"/>
                <w:color w:val="auto"/>
              </w:rPr>
            </w:pPr>
            <w:r>
              <w:rPr>
                <w:rFonts w:ascii="Times New Roman" w:cs="Times New Roman" w:eastAsia="Times New Roman" w:hAnsi="Times New Roman"/>
                <w:sz w:val="16"/>
                <w:szCs w:val="16"/>
                <w:b w:val="1"/>
                <w:bCs w:val="1"/>
                <w:color w:val="auto"/>
              </w:rPr>
              <w:t>Security</w:t>
            </w:r>
          </w:p>
        </w:tc>
        <w:tc>
          <w:tcPr>
            <w:tcW w:w="160" w:type="dxa"/>
            <w:vAlign w:val="bottom"/>
            <w:tcBorders>
              <w:right w:val="single" w:sz="8" w:color="auto"/>
            </w:tcBorders>
          </w:tcPr>
          <w:p>
            <w:pPr>
              <w:spacing w:after="0"/>
              <w:rPr>
                <w:sz w:val="13"/>
                <w:szCs w:val="13"/>
                <w:color w:val="auto"/>
              </w:rPr>
            </w:pPr>
          </w:p>
        </w:tc>
        <w:tc>
          <w:tcPr>
            <w:tcW w:w="1220" w:type="dxa"/>
            <w:vAlign w:val="bottom"/>
            <w:tcBorders>
              <w:right w:val="single" w:sz="8" w:color="auto"/>
            </w:tcBorders>
          </w:tcPr>
          <w:p>
            <w:pPr>
              <w:ind w:left="300"/>
              <w:spacing w:after="0" w:line="155" w:lineRule="exact"/>
              <w:rPr>
                <w:sz w:val="20"/>
                <w:szCs w:val="20"/>
                <w:color w:val="auto"/>
              </w:rPr>
            </w:pPr>
            <w:r>
              <w:rPr>
                <w:rFonts w:ascii="Times New Roman" w:cs="Times New Roman" w:eastAsia="Times New Roman" w:hAnsi="Times New Roman"/>
                <w:sz w:val="16"/>
                <w:szCs w:val="16"/>
                <w:b w:val="1"/>
                <w:bCs w:val="1"/>
                <w:color w:val="auto"/>
              </w:rPr>
              <w:t>Security</w:t>
            </w:r>
          </w:p>
        </w:tc>
        <w:tc>
          <w:tcPr>
            <w:tcW w:w="140" w:type="dxa"/>
            <w:vAlign w:val="bottom"/>
          </w:tcPr>
          <w:p>
            <w:pPr>
              <w:spacing w:after="0"/>
              <w:rPr>
                <w:sz w:val="13"/>
                <w:szCs w:val="13"/>
                <w:color w:val="auto"/>
              </w:rPr>
            </w:pPr>
          </w:p>
        </w:tc>
        <w:tc>
          <w:tcPr>
            <w:tcW w:w="116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rPr>
              <w:t>Fee Calculation</w:t>
            </w:r>
          </w:p>
        </w:tc>
        <w:tc>
          <w:tcPr>
            <w:tcW w:w="180" w:type="dxa"/>
            <w:vAlign w:val="bottom"/>
            <w:tcBorders>
              <w:right w:val="single" w:sz="8" w:color="auto"/>
            </w:tcBorders>
          </w:tcPr>
          <w:p>
            <w:pPr>
              <w:spacing w:after="0"/>
              <w:rPr>
                <w:sz w:val="13"/>
                <w:szCs w:val="13"/>
                <w:color w:val="auto"/>
              </w:rPr>
            </w:pPr>
          </w:p>
        </w:tc>
        <w:tc>
          <w:tcPr>
            <w:tcW w:w="1340" w:type="dxa"/>
            <w:vAlign w:val="bottom"/>
          </w:tcPr>
          <w:p>
            <w:pPr>
              <w:jc w:val="right"/>
              <w:ind w:right="255"/>
              <w:spacing w:after="0" w:line="155" w:lineRule="exact"/>
              <w:rPr>
                <w:sz w:val="20"/>
                <w:szCs w:val="20"/>
                <w:color w:val="auto"/>
              </w:rPr>
            </w:pPr>
            <w:r>
              <w:rPr>
                <w:rFonts w:ascii="Times New Roman" w:cs="Times New Roman" w:eastAsia="Times New Roman" w:hAnsi="Times New Roman"/>
                <w:sz w:val="16"/>
                <w:szCs w:val="16"/>
                <w:b w:val="1"/>
                <w:bCs w:val="1"/>
                <w:color w:val="auto"/>
              </w:rPr>
              <w:t>Amount</w:t>
            </w:r>
          </w:p>
        </w:tc>
        <w:tc>
          <w:tcPr>
            <w:tcW w:w="140" w:type="dxa"/>
            <w:vAlign w:val="bottom"/>
            <w:tcBorders>
              <w:right w:val="single" w:sz="8" w:color="auto"/>
            </w:tcBorders>
          </w:tcPr>
          <w:p>
            <w:pPr>
              <w:spacing w:after="0"/>
              <w:rPr>
                <w:sz w:val="13"/>
                <w:szCs w:val="13"/>
                <w:color w:val="auto"/>
              </w:rPr>
            </w:pPr>
          </w:p>
        </w:tc>
        <w:tc>
          <w:tcPr>
            <w:tcW w:w="1600" w:type="dxa"/>
            <w:vAlign w:val="bottom"/>
            <w:tcBorders>
              <w:right w:val="single" w:sz="8" w:color="auto"/>
            </w:tcBorders>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rPr>
              <w:t>Proposed Maximum</w:t>
            </w:r>
          </w:p>
        </w:tc>
        <w:tc>
          <w:tcPr>
            <w:tcW w:w="180" w:type="dxa"/>
            <w:vAlign w:val="bottom"/>
          </w:tcPr>
          <w:p>
            <w:pPr>
              <w:spacing w:after="0"/>
              <w:rPr>
                <w:sz w:val="13"/>
                <w:szCs w:val="13"/>
                <w:color w:val="auto"/>
              </w:rPr>
            </w:pPr>
          </w:p>
        </w:tc>
        <w:tc>
          <w:tcPr>
            <w:tcW w:w="1560" w:type="dxa"/>
            <w:vAlign w:val="bottom"/>
            <w:tcBorders>
              <w:right w:val="single" w:sz="8" w:color="auto"/>
            </w:tcBorders>
          </w:tcPr>
          <w:p>
            <w:pPr>
              <w:jc w:val="center"/>
              <w:ind w:right="119"/>
              <w:spacing w:after="0" w:line="155" w:lineRule="exact"/>
              <w:rPr>
                <w:sz w:val="20"/>
                <w:szCs w:val="20"/>
                <w:color w:val="auto"/>
              </w:rPr>
            </w:pPr>
            <w:r>
              <w:rPr>
                <w:rFonts w:ascii="Times New Roman" w:cs="Times New Roman" w:eastAsia="Times New Roman" w:hAnsi="Times New Roman"/>
                <w:sz w:val="16"/>
                <w:szCs w:val="16"/>
                <w:b w:val="1"/>
                <w:bCs w:val="1"/>
                <w:color w:val="auto"/>
              </w:rPr>
              <w:t>Maximum</w:t>
            </w:r>
          </w:p>
        </w:tc>
        <w:tc>
          <w:tcPr>
            <w:tcW w:w="1000" w:type="dxa"/>
            <w:vAlign w:val="bottom"/>
            <w:tcBorders>
              <w:right w:val="single" w:sz="8" w:color="auto"/>
            </w:tcBorders>
          </w:tcPr>
          <w:p>
            <w:pPr>
              <w:jc w:val="right"/>
              <w:ind w:right="119"/>
              <w:spacing w:after="0" w:line="155" w:lineRule="exact"/>
              <w:rPr>
                <w:sz w:val="20"/>
                <w:szCs w:val="20"/>
                <w:color w:val="auto"/>
              </w:rPr>
            </w:pPr>
            <w:r>
              <w:rPr>
                <w:rFonts w:ascii="Times New Roman" w:cs="Times New Roman" w:eastAsia="Times New Roman" w:hAnsi="Times New Roman"/>
                <w:sz w:val="16"/>
                <w:szCs w:val="16"/>
                <w:b w:val="1"/>
                <w:bCs w:val="1"/>
                <w:color w:val="auto"/>
              </w:rPr>
              <w:t>Fee Rate</w:t>
            </w:r>
          </w:p>
        </w:tc>
        <w:tc>
          <w:tcPr>
            <w:tcW w:w="1600" w:type="dxa"/>
            <w:vAlign w:val="bottom"/>
            <w:tcBorders>
              <w:right w:val="single" w:sz="8" w:color="auto"/>
            </w:tcBorders>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rPr>
              <w:t>Amount of</w:t>
            </w:r>
          </w:p>
        </w:tc>
        <w:tc>
          <w:tcPr>
            <w:tcW w:w="0" w:type="dxa"/>
            <w:vAlign w:val="bottom"/>
          </w:tcPr>
          <w:p>
            <w:pPr>
              <w:spacing w:after="0"/>
              <w:rPr>
                <w:sz w:val="1"/>
                <w:szCs w:val="1"/>
                <w:color w:val="auto"/>
              </w:rPr>
            </w:pPr>
          </w:p>
        </w:tc>
      </w:tr>
      <w:tr>
        <w:trPr>
          <w:trHeight w:val="162"/>
        </w:trPr>
        <w:tc>
          <w:tcPr>
            <w:tcW w:w="980" w:type="dxa"/>
            <w:vAlign w:val="bottom"/>
            <w:tcBorders>
              <w:left w:val="single" w:sz="8" w:color="auto"/>
            </w:tcBorders>
          </w:tcPr>
          <w:p>
            <w:pPr>
              <w:jc w:val="center"/>
              <w:ind w:left="79"/>
              <w:spacing w:after="0" w:line="162" w:lineRule="exact"/>
              <w:rPr>
                <w:sz w:val="20"/>
                <w:szCs w:val="20"/>
                <w:color w:val="auto"/>
              </w:rPr>
            </w:pPr>
            <w:r>
              <w:rPr>
                <w:rFonts w:ascii="Times New Roman" w:cs="Times New Roman" w:eastAsia="Times New Roman" w:hAnsi="Times New Roman"/>
                <w:sz w:val="16"/>
                <w:szCs w:val="16"/>
                <w:b w:val="1"/>
                <w:bCs w:val="1"/>
                <w:color w:val="auto"/>
                <w:w w:val="97"/>
              </w:rPr>
              <w:t>Type</w:t>
            </w:r>
          </w:p>
        </w:tc>
        <w:tc>
          <w:tcPr>
            <w:tcW w:w="160" w:type="dxa"/>
            <w:vAlign w:val="bottom"/>
            <w:tcBorders>
              <w:right w:val="single" w:sz="8" w:color="auto"/>
            </w:tcBorders>
          </w:tcPr>
          <w:p>
            <w:pPr>
              <w:spacing w:after="0"/>
              <w:rPr>
                <w:sz w:val="14"/>
                <w:szCs w:val="14"/>
                <w:color w:val="auto"/>
              </w:rPr>
            </w:pPr>
          </w:p>
        </w:tc>
        <w:tc>
          <w:tcPr>
            <w:tcW w:w="1220" w:type="dxa"/>
            <w:vAlign w:val="bottom"/>
            <w:tcBorders>
              <w:right w:val="single" w:sz="8" w:color="auto"/>
            </w:tcBorders>
          </w:tcPr>
          <w:p>
            <w:pPr>
              <w:ind w:left="180"/>
              <w:spacing w:after="0" w:line="162" w:lineRule="exact"/>
              <w:rPr>
                <w:sz w:val="20"/>
                <w:szCs w:val="20"/>
                <w:color w:val="auto"/>
              </w:rPr>
            </w:pPr>
            <w:r>
              <w:rPr>
                <w:rFonts w:ascii="Times New Roman" w:cs="Times New Roman" w:eastAsia="Times New Roman" w:hAnsi="Times New Roman"/>
                <w:sz w:val="16"/>
                <w:szCs w:val="16"/>
                <w:b w:val="1"/>
                <w:bCs w:val="1"/>
                <w:color w:val="auto"/>
              </w:rPr>
              <w:t>Class Title</w:t>
            </w:r>
          </w:p>
        </w:tc>
        <w:tc>
          <w:tcPr>
            <w:tcW w:w="140" w:type="dxa"/>
            <w:vAlign w:val="bottom"/>
          </w:tcPr>
          <w:p>
            <w:pPr>
              <w:spacing w:after="0"/>
              <w:rPr>
                <w:sz w:val="14"/>
                <w:szCs w:val="14"/>
                <w:color w:val="auto"/>
              </w:rPr>
            </w:pPr>
          </w:p>
        </w:tc>
        <w:tc>
          <w:tcPr>
            <w:tcW w:w="11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9"/>
              </w:rPr>
              <w:t>Rule</w:t>
            </w:r>
          </w:p>
        </w:tc>
        <w:tc>
          <w:tcPr>
            <w:tcW w:w="180" w:type="dxa"/>
            <w:vAlign w:val="bottom"/>
            <w:tcBorders>
              <w:right w:val="single" w:sz="8" w:color="auto"/>
            </w:tcBorders>
          </w:tcPr>
          <w:p>
            <w:pPr>
              <w:spacing w:after="0"/>
              <w:rPr>
                <w:sz w:val="14"/>
                <w:szCs w:val="14"/>
                <w:color w:val="auto"/>
              </w:rPr>
            </w:pPr>
          </w:p>
        </w:tc>
        <w:tc>
          <w:tcPr>
            <w:tcW w:w="1340" w:type="dxa"/>
            <w:vAlign w:val="bottom"/>
          </w:tcPr>
          <w:p>
            <w:pPr>
              <w:jc w:val="right"/>
              <w:ind w:right="95"/>
              <w:spacing w:after="0" w:line="162" w:lineRule="exact"/>
              <w:rPr>
                <w:sz w:val="20"/>
                <w:szCs w:val="20"/>
                <w:color w:val="auto"/>
              </w:rPr>
            </w:pPr>
            <w:r>
              <w:rPr>
                <w:rFonts w:ascii="Times New Roman" w:cs="Times New Roman" w:eastAsia="Times New Roman" w:hAnsi="Times New Roman"/>
                <w:sz w:val="14"/>
                <w:szCs w:val="14"/>
                <w:b w:val="1"/>
                <w:bCs w:val="1"/>
                <w:color w:val="auto"/>
              </w:rPr>
              <w:t>Registered</w:t>
            </w:r>
            <w:r>
              <w:rPr>
                <w:rFonts w:ascii="Times New Roman" w:cs="Times New Roman" w:eastAsia="Times New Roman" w:hAnsi="Times New Roman"/>
                <w:sz w:val="18"/>
                <w:szCs w:val="18"/>
                <w:b w:val="1"/>
                <w:bCs w:val="1"/>
                <w:color w:val="auto"/>
                <w:vertAlign w:val="superscript"/>
              </w:rPr>
              <w:t>(1)</w:t>
            </w:r>
          </w:p>
        </w:tc>
        <w:tc>
          <w:tcPr>
            <w:tcW w:w="140" w:type="dxa"/>
            <w:vAlign w:val="bottom"/>
            <w:tcBorders>
              <w:right w:val="single" w:sz="8" w:color="auto"/>
            </w:tcBorders>
          </w:tcPr>
          <w:p>
            <w:pPr>
              <w:spacing w:after="0"/>
              <w:rPr>
                <w:sz w:val="14"/>
                <w:szCs w:val="14"/>
                <w:color w:val="auto"/>
              </w:rPr>
            </w:pPr>
          </w:p>
        </w:tc>
        <w:tc>
          <w:tcPr>
            <w:tcW w:w="160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Offering Price Per</w:t>
            </w:r>
          </w:p>
        </w:tc>
        <w:tc>
          <w:tcPr>
            <w:tcW w:w="180" w:type="dxa"/>
            <w:vAlign w:val="bottom"/>
          </w:tcPr>
          <w:p>
            <w:pPr>
              <w:spacing w:after="0"/>
              <w:rPr>
                <w:sz w:val="14"/>
                <w:szCs w:val="14"/>
                <w:color w:val="auto"/>
              </w:rPr>
            </w:pPr>
          </w:p>
        </w:tc>
        <w:tc>
          <w:tcPr>
            <w:tcW w:w="1560" w:type="dxa"/>
            <w:vAlign w:val="bottom"/>
            <w:tcBorders>
              <w:right w:val="single" w:sz="8" w:color="auto"/>
            </w:tcBorders>
          </w:tcPr>
          <w:p>
            <w:pPr>
              <w:jc w:val="center"/>
              <w:ind w:right="139"/>
              <w:spacing w:after="0" w:line="162" w:lineRule="exact"/>
              <w:rPr>
                <w:sz w:val="20"/>
                <w:szCs w:val="20"/>
                <w:color w:val="auto"/>
              </w:rPr>
            </w:pPr>
            <w:r>
              <w:rPr>
                <w:rFonts w:ascii="Times New Roman" w:cs="Times New Roman" w:eastAsia="Times New Roman" w:hAnsi="Times New Roman"/>
                <w:sz w:val="16"/>
                <w:szCs w:val="16"/>
                <w:b w:val="1"/>
                <w:bCs w:val="1"/>
                <w:color w:val="auto"/>
                <w:w w:val="99"/>
              </w:rPr>
              <w:t>Aggregate</w:t>
            </w:r>
          </w:p>
        </w:tc>
        <w:tc>
          <w:tcPr>
            <w:tcW w:w="1000" w:type="dxa"/>
            <w:vAlign w:val="bottom"/>
            <w:tcBorders>
              <w:right w:val="single" w:sz="8" w:color="auto"/>
            </w:tcBorders>
          </w:tcPr>
          <w:p>
            <w:pPr>
              <w:spacing w:after="0"/>
              <w:rPr>
                <w:sz w:val="14"/>
                <w:szCs w:val="14"/>
                <w:color w:val="auto"/>
              </w:rPr>
            </w:pPr>
          </w:p>
        </w:tc>
        <w:tc>
          <w:tcPr>
            <w:tcW w:w="160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Registration</w:t>
            </w:r>
          </w:p>
        </w:tc>
        <w:tc>
          <w:tcPr>
            <w:tcW w:w="0" w:type="dxa"/>
            <w:vAlign w:val="bottom"/>
          </w:tcPr>
          <w:p>
            <w:pPr>
              <w:spacing w:after="0"/>
              <w:rPr>
                <w:sz w:val="1"/>
                <w:szCs w:val="1"/>
                <w:color w:val="auto"/>
              </w:rPr>
            </w:pPr>
          </w:p>
        </w:tc>
      </w:tr>
      <w:tr>
        <w:trPr>
          <w:trHeight w:val="216"/>
        </w:trPr>
        <w:tc>
          <w:tcPr>
            <w:tcW w:w="980" w:type="dxa"/>
            <w:vAlign w:val="bottom"/>
            <w:tcBorders>
              <w:left w:val="single" w:sz="8" w:color="auto"/>
              <w:bottom w:val="single" w:sz="8" w:color="auto"/>
            </w:tcBorders>
          </w:tcPr>
          <w:p>
            <w:pPr>
              <w:spacing w:after="0"/>
              <w:rPr>
                <w:sz w:val="18"/>
                <w:szCs w:val="18"/>
                <w:color w:val="auto"/>
              </w:rPr>
            </w:pPr>
          </w:p>
        </w:tc>
        <w:tc>
          <w:tcPr>
            <w:tcW w:w="160" w:type="dxa"/>
            <w:vAlign w:val="bottom"/>
            <w:tcBorders>
              <w:bottom w:val="single" w:sz="8" w:color="auto"/>
              <w:right w:val="single" w:sz="8" w:color="auto"/>
            </w:tcBorders>
          </w:tcPr>
          <w:p>
            <w:pPr>
              <w:spacing w:after="0"/>
              <w:rPr>
                <w:sz w:val="18"/>
                <w:szCs w:val="18"/>
                <w:color w:val="auto"/>
              </w:rPr>
            </w:pPr>
          </w:p>
        </w:tc>
        <w:tc>
          <w:tcPr>
            <w:tcW w:w="1220" w:type="dxa"/>
            <w:vAlign w:val="bottom"/>
            <w:tcBorders>
              <w:bottom w:val="single" w:sz="8" w:color="auto"/>
              <w:right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Share</w:t>
            </w: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w w:val="99"/>
              </w:rPr>
              <w:t>Offering Price</w:t>
            </w:r>
          </w:p>
        </w:tc>
        <w:tc>
          <w:tcPr>
            <w:tcW w:w="100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5"/>
                <w:szCs w:val="25"/>
                <w:b w:val="1"/>
                <w:bCs w:val="1"/>
                <w:color w:val="auto"/>
                <w:vertAlign w:val="subscript"/>
              </w:rPr>
              <w:t>Fee</w:t>
            </w:r>
            <w:r>
              <w:rPr>
                <w:rFonts w:ascii="Times New Roman" w:cs="Times New Roman" w:eastAsia="Times New Roman" w:hAnsi="Times New Roman"/>
                <w:sz w:val="9"/>
                <w:szCs w:val="9"/>
                <w:b w:val="1"/>
                <w:bCs w:val="1"/>
                <w:color w:val="auto"/>
              </w:rPr>
              <w:t>(2)(3)</w:t>
            </w:r>
          </w:p>
        </w:tc>
        <w:tc>
          <w:tcPr>
            <w:tcW w:w="0" w:type="dxa"/>
            <w:vAlign w:val="bottom"/>
          </w:tcPr>
          <w:p>
            <w:pPr>
              <w:spacing w:after="0"/>
              <w:rPr>
                <w:sz w:val="1"/>
                <w:szCs w:val="1"/>
                <w:color w:val="auto"/>
              </w:rPr>
            </w:pPr>
          </w:p>
        </w:tc>
      </w:tr>
      <w:tr>
        <w:trPr>
          <w:trHeight w:val="210"/>
        </w:trPr>
        <w:tc>
          <w:tcPr>
            <w:tcW w:w="98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Equity</w:t>
            </w:r>
          </w:p>
        </w:tc>
        <w:tc>
          <w:tcPr>
            <w:tcW w:w="16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Class A</w:t>
            </w:r>
          </w:p>
        </w:tc>
        <w:tc>
          <w:tcPr>
            <w:tcW w:w="140" w:type="dxa"/>
            <w:vAlign w:val="bottom"/>
          </w:tcPr>
          <w:p>
            <w:pPr>
              <w:spacing w:after="0"/>
              <w:rPr>
                <w:sz w:val="18"/>
                <w:szCs w:val="18"/>
                <w:color w:val="auto"/>
              </w:rPr>
            </w:pPr>
          </w:p>
        </w:tc>
        <w:tc>
          <w:tcPr>
            <w:tcW w:w="1160" w:type="dxa"/>
            <w:vAlign w:val="bottom"/>
          </w:tcPr>
          <w:p>
            <w:pPr>
              <w:ind w:left="520"/>
              <w:spacing w:after="0" w:line="210" w:lineRule="exact"/>
              <w:rPr>
                <w:sz w:val="20"/>
                <w:szCs w:val="20"/>
                <w:color w:val="auto"/>
              </w:rPr>
            </w:pPr>
            <w:r>
              <w:rPr>
                <w:rFonts w:ascii="Times New Roman" w:cs="Times New Roman" w:eastAsia="Times New Roman" w:hAnsi="Times New Roman"/>
                <w:sz w:val="13"/>
                <w:szCs w:val="13"/>
                <w:color w:val="auto"/>
              </w:rPr>
              <w:t xml:space="preserve">457 </w:t>
            </w:r>
            <w:r>
              <w:rPr>
                <w:rFonts w:ascii="Times New Roman" w:cs="Times New Roman" w:eastAsia="Times New Roman" w:hAnsi="Times New Roman"/>
                <w:sz w:val="24"/>
                <w:szCs w:val="24"/>
                <w:color w:val="auto"/>
                <w:vertAlign w:val="superscript"/>
              </w:rPr>
              <w:t>(h)</w:t>
            </w:r>
          </w:p>
        </w:tc>
        <w:tc>
          <w:tcPr>
            <w:tcW w:w="180" w:type="dxa"/>
            <w:vAlign w:val="bottom"/>
            <w:tcBorders>
              <w:right w:val="single" w:sz="8" w:color="auto"/>
            </w:tcBorders>
          </w:tcPr>
          <w:p>
            <w:pPr>
              <w:spacing w:after="0"/>
              <w:rPr>
                <w:sz w:val="18"/>
                <w:szCs w:val="18"/>
                <w:color w:val="auto"/>
              </w:rPr>
            </w:pPr>
          </w:p>
        </w:tc>
        <w:tc>
          <w:tcPr>
            <w:tcW w:w="1340" w:type="dxa"/>
            <w:vAlign w:val="bottom"/>
          </w:tcPr>
          <w:p>
            <w:pPr>
              <w:jc w:val="right"/>
              <w:spacing w:after="0" w:line="210" w:lineRule="exact"/>
              <w:rPr>
                <w:sz w:val="20"/>
                <w:szCs w:val="20"/>
                <w:color w:val="auto"/>
              </w:rPr>
            </w:pPr>
            <w:r>
              <w:rPr>
                <w:rFonts w:ascii="Times New Roman" w:cs="Times New Roman" w:eastAsia="Times New Roman" w:hAnsi="Times New Roman"/>
                <w:sz w:val="16"/>
                <w:szCs w:val="16"/>
                <w:color w:val="auto"/>
              </w:rPr>
              <w:t xml:space="preserve">4,023,391 </w:t>
            </w:r>
            <w:r>
              <w:rPr>
                <w:rFonts w:ascii="Times New Roman" w:cs="Times New Roman" w:eastAsia="Times New Roman" w:hAnsi="Times New Roman"/>
                <w:sz w:val="21"/>
                <w:szCs w:val="21"/>
                <w:color w:val="auto"/>
                <w:vertAlign w:val="superscript"/>
              </w:rPr>
              <w:t>(4)</w:t>
            </w:r>
          </w:p>
        </w:tc>
        <w:tc>
          <w:tcPr>
            <w:tcW w:w="14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jc w:val="right"/>
              <w:ind w:right="159"/>
              <w:spacing w:after="0" w:line="210" w:lineRule="exact"/>
              <w:rPr>
                <w:sz w:val="20"/>
                <w:szCs w:val="20"/>
                <w:color w:val="auto"/>
              </w:rPr>
            </w:pPr>
            <w:r>
              <w:rPr>
                <w:rFonts w:ascii="Times New Roman" w:cs="Times New Roman" w:eastAsia="Times New Roman" w:hAnsi="Times New Roman"/>
                <w:sz w:val="16"/>
                <w:szCs w:val="16"/>
                <w:color w:val="auto"/>
              </w:rPr>
              <w:t xml:space="preserve">$188.20 </w:t>
            </w:r>
            <w:r>
              <w:rPr>
                <w:rFonts w:ascii="Times New Roman" w:cs="Times New Roman" w:eastAsia="Times New Roman" w:hAnsi="Times New Roman"/>
                <w:sz w:val="21"/>
                <w:szCs w:val="21"/>
                <w:color w:val="auto"/>
                <w:vertAlign w:val="superscript"/>
              </w:rPr>
              <w:t>(5)</w:t>
            </w:r>
          </w:p>
        </w:tc>
        <w:tc>
          <w:tcPr>
            <w:tcW w:w="180" w:type="dxa"/>
            <w:vAlign w:val="bottom"/>
          </w:tcPr>
          <w:p>
            <w:pPr>
              <w:spacing w:after="0"/>
              <w:rPr>
                <w:sz w:val="18"/>
                <w:szCs w:val="18"/>
                <w:color w:val="auto"/>
              </w:rPr>
            </w:pPr>
          </w:p>
        </w:tc>
        <w:tc>
          <w:tcPr>
            <w:tcW w:w="1560" w:type="dxa"/>
            <w:vAlign w:val="bottom"/>
            <w:tcBorders>
              <w:right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color w:val="auto"/>
              </w:rPr>
              <w:t>$757,202,186.20</w:t>
            </w:r>
          </w:p>
        </w:tc>
        <w:tc>
          <w:tcPr>
            <w:tcW w:w="1000" w:type="dxa"/>
            <w:vAlign w:val="bottom"/>
            <w:tcBorders>
              <w:right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0.0001531</w:t>
            </w: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$115,927.66</w:t>
            </w:r>
          </w:p>
        </w:tc>
        <w:tc>
          <w:tcPr>
            <w:tcW w:w="0" w:type="dxa"/>
            <w:vAlign w:val="bottom"/>
          </w:tcPr>
          <w:p>
            <w:pPr>
              <w:spacing w:after="0"/>
              <w:rPr>
                <w:sz w:val="1"/>
                <w:szCs w:val="1"/>
                <w:color w:val="auto"/>
              </w:rPr>
            </w:pPr>
          </w:p>
        </w:tc>
      </w:tr>
      <w:tr>
        <w:trPr>
          <w:trHeight w:val="162"/>
        </w:trPr>
        <w:tc>
          <w:tcPr>
            <w:tcW w:w="980" w:type="dxa"/>
            <w:vAlign w:val="bottom"/>
            <w:tcBorders>
              <w:left w:val="single" w:sz="8" w:color="auto"/>
            </w:tcBorders>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1220" w:type="dxa"/>
            <w:vAlign w:val="bottom"/>
            <w:tcBorders>
              <w:right w:val="single" w:sz="8" w:color="auto"/>
            </w:tcBorders>
          </w:tcPr>
          <w:p>
            <w:pPr>
              <w:ind w:left="20"/>
              <w:spacing w:after="0" w:line="162" w:lineRule="exact"/>
              <w:rPr>
                <w:sz w:val="20"/>
                <w:szCs w:val="20"/>
                <w:color w:val="auto"/>
              </w:rPr>
            </w:pPr>
            <w:r>
              <w:rPr>
                <w:rFonts w:ascii="Times New Roman" w:cs="Times New Roman" w:eastAsia="Times New Roman" w:hAnsi="Times New Roman"/>
                <w:sz w:val="16"/>
                <w:szCs w:val="16"/>
                <w:color w:val="auto"/>
              </w:rPr>
              <w:t>common stock,</w:t>
            </w: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134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160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tcBorders>
              <w:right w:val="single" w:sz="8" w:color="auto"/>
            </w:tcBorders>
          </w:tcPr>
          <w:p>
            <w:pPr>
              <w:spacing w:after="0"/>
              <w:rPr>
                <w:sz w:val="14"/>
                <w:szCs w:val="14"/>
                <w:color w:val="auto"/>
              </w:rPr>
            </w:pPr>
          </w:p>
        </w:tc>
        <w:tc>
          <w:tcPr>
            <w:tcW w:w="1000" w:type="dxa"/>
            <w:vAlign w:val="bottom"/>
            <w:tcBorders>
              <w:right w:val="single" w:sz="8" w:color="auto"/>
            </w:tcBorders>
          </w:tcPr>
          <w:p>
            <w:pPr>
              <w:spacing w:after="0"/>
              <w:rPr>
                <w:sz w:val="14"/>
                <w:szCs w:val="14"/>
                <w:color w:val="auto"/>
              </w:rPr>
            </w:pPr>
          </w:p>
        </w:tc>
        <w:tc>
          <w:tcPr>
            <w:tcW w:w="16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80" w:type="dxa"/>
            <w:vAlign w:val="bottom"/>
            <w:tcBorders>
              <w:left w:val="single" w:sz="8" w:color="auto"/>
            </w:tcBorders>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1220" w:type="dxa"/>
            <w:vAlign w:val="bottom"/>
            <w:tcBorders>
              <w:right w:val="single" w:sz="8" w:color="auto"/>
            </w:tcBorders>
          </w:tcPr>
          <w:p>
            <w:pPr>
              <w:ind w:left="20"/>
              <w:spacing w:after="0" w:line="162" w:lineRule="exact"/>
              <w:rPr>
                <w:sz w:val="20"/>
                <w:szCs w:val="20"/>
                <w:color w:val="auto"/>
              </w:rPr>
            </w:pPr>
            <w:r>
              <w:rPr>
                <w:rFonts w:ascii="Times New Roman" w:cs="Times New Roman" w:eastAsia="Times New Roman" w:hAnsi="Times New Roman"/>
                <w:sz w:val="16"/>
                <w:szCs w:val="16"/>
                <w:color w:val="auto"/>
              </w:rPr>
              <w:t>par value</w:t>
            </w: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134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160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tcBorders>
              <w:right w:val="single" w:sz="8" w:color="auto"/>
            </w:tcBorders>
          </w:tcPr>
          <w:p>
            <w:pPr>
              <w:spacing w:after="0"/>
              <w:rPr>
                <w:sz w:val="14"/>
                <w:szCs w:val="14"/>
                <w:color w:val="auto"/>
              </w:rPr>
            </w:pPr>
          </w:p>
        </w:tc>
        <w:tc>
          <w:tcPr>
            <w:tcW w:w="1000" w:type="dxa"/>
            <w:vAlign w:val="bottom"/>
            <w:tcBorders>
              <w:right w:val="single" w:sz="8" w:color="auto"/>
            </w:tcBorders>
          </w:tcPr>
          <w:p>
            <w:pPr>
              <w:spacing w:after="0"/>
              <w:rPr>
                <w:sz w:val="14"/>
                <w:szCs w:val="14"/>
                <w:color w:val="auto"/>
              </w:rPr>
            </w:pPr>
          </w:p>
        </w:tc>
        <w:tc>
          <w:tcPr>
            <w:tcW w:w="16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80" w:type="dxa"/>
            <w:vAlign w:val="bottom"/>
            <w:tcBorders>
              <w:left w:val="single" w:sz="8" w:color="auto"/>
            </w:tcBorders>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1220" w:type="dxa"/>
            <w:vAlign w:val="bottom"/>
            <w:tcBorders>
              <w:right w:val="single" w:sz="8" w:color="auto"/>
            </w:tcBorders>
          </w:tcPr>
          <w:p>
            <w:pPr>
              <w:ind w:left="20"/>
              <w:spacing w:after="0" w:line="162" w:lineRule="exact"/>
              <w:rPr>
                <w:sz w:val="20"/>
                <w:szCs w:val="20"/>
                <w:color w:val="auto"/>
              </w:rPr>
            </w:pPr>
            <w:r>
              <w:rPr>
                <w:rFonts w:ascii="Times New Roman" w:cs="Times New Roman" w:eastAsia="Times New Roman" w:hAnsi="Times New Roman"/>
                <w:sz w:val="16"/>
                <w:szCs w:val="16"/>
                <w:color w:val="auto"/>
              </w:rPr>
              <w:t>$0.001 per</w:t>
            </w: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134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160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tcBorders>
              <w:right w:val="single" w:sz="8" w:color="auto"/>
            </w:tcBorders>
          </w:tcPr>
          <w:p>
            <w:pPr>
              <w:spacing w:after="0"/>
              <w:rPr>
                <w:sz w:val="14"/>
                <w:szCs w:val="14"/>
                <w:color w:val="auto"/>
              </w:rPr>
            </w:pPr>
          </w:p>
        </w:tc>
        <w:tc>
          <w:tcPr>
            <w:tcW w:w="1000" w:type="dxa"/>
            <w:vAlign w:val="bottom"/>
            <w:tcBorders>
              <w:right w:val="single" w:sz="8" w:color="auto"/>
            </w:tcBorders>
          </w:tcPr>
          <w:p>
            <w:pPr>
              <w:spacing w:after="0"/>
              <w:rPr>
                <w:sz w:val="14"/>
                <w:szCs w:val="14"/>
                <w:color w:val="auto"/>
              </w:rPr>
            </w:pPr>
          </w:p>
        </w:tc>
        <w:tc>
          <w:tcPr>
            <w:tcW w:w="16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980" w:type="dxa"/>
            <w:vAlign w:val="bottom"/>
            <w:tcBorders>
              <w:left w:val="single" w:sz="8" w:color="auto"/>
              <w:bottom w:val="single" w:sz="8" w:color="auto"/>
            </w:tcBorders>
          </w:tcPr>
          <w:p>
            <w:pPr>
              <w:spacing w:after="0"/>
              <w:rPr>
                <w:sz w:val="18"/>
                <w:szCs w:val="18"/>
                <w:color w:val="auto"/>
              </w:rPr>
            </w:pPr>
          </w:p>
        </w:tc>
        <w:tc>
          <w:tcPr>
            <w:tcW w:w="160" w:type="dxa"/>
            <w:vAlign w:val="bottom"/>
            <w:tcBorders>
              <w:bottom w:val="single" w:sz="8" w:color="auto"/>
              <w:right w:val="single" w:sz="8" w:color="auto"/>
            </w:tcBorders>
          </w:tcPr>
          <w:p>
            <w:pPr>
              <w:spacing w:after="0"/>
              <w:rPr>
                <w:sz w:val="18"/>
                <w:szCs w:val="18"/>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share</w:t>
            </w: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98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Equity</w:t>
            </w:r>
          </w:p>
        </w:tc>
        <w:tc>
          <w:tcPr>
            <w:tcW w:w="16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Class A</w:t>
            </w:r>
          </w:p>
        </w:tc>
        <w:tc>
          <w:tcPr>
            <w:tcW w:w="140" w:type="dxa"/>
            <w:vAlign w:val="bottom"/>
          </w:tcPr>
          <w:p>
            <w:pPr>
              <w:spacing w:after="0"/>
              <w:rPr>
                <w:sz w:val="18"/>
                <w:szCs w:val="18"/>
                <w:color w:val="auto"/>
              </w:rPr>
            </w:pPr>
          </w:p>
        </w:tc>
        <w:tc>
          <w:tcPr>
            <w:tcW w:w="1160" w:type="dxa"/>
            <w:vAlign w:val="bottom"/>
          </w:tcPr>
          <w:p>
            <w:pPr>
              <w:ind w:left="520"/>
              <w:spacing w:after="0" w:line="212" w:lineRule="exact"/>
              <w:rPr>
                <w:sz w:val="20"/>
                <w:szCs w:val="20"/>
                <w:color w:val="auto"/>
              </w:rPr>
            </w:pPr>
            <w:r>
              <w:rPr>
                <w:rFonts w:ascii="Times New Roman" w:cs="Times New Roman" w:eastAsia="Times New Roman" w:hAnsi="Times New Roman"/>
                <w:sz w:val="13"/>
                <w:szCs w:val="13"/>
                <w:color w:val="auto"/>
              </w:rPr>
              <w:t xml:space="preserve">457 </w:t>
            </w:r>
            <w:r>
              <w:rPr>
                <w:rFonts w:ascii="Times New Roman" w:cs="Times New Roman" w:eastAsia="Times New Roman" w:hAnsi="Times New Roman"/>
                <w:sz w:val="24"/>
                <w:szCs w:val="24"/>
                <w:color w:val="auto"/>
                <w:vertAlign w:val="superscript"/>
              </w:rPr>
              <w:t>(h)</w:t>
            </w:r>
          </w:p>
        </w:tc>
        <w:tc>
          <w:tcPr>
            <w:tcW w:w="180" w:type="dxa"/>
            <w:vAlign w:val="bottom"/>
            <w:tcBorders>
              <w:right w:val="single" w:sz="8" w:color="auto"/>
            </w:tcBorders>
          </w:tcPr>
          <w:p>
            <w:pPr>
              <w:spacing w:after="0"/>
              <w:rPr>
                <w:sz w:val="18"/>
                <w:szCs w:val="18"/>
                <w:color w:val="auto"/>
              </w:rPr>
            </w:pPr>
          </w:p>
        </w:tc>
        <w:tc>
          <w:tcPr>
            <w:tcW w:w="1340" w:type="dxa"/>
            <w:vAlign w:val="bottom"/>
          </w:tcPr>
          <w:p>
            <w:pPr>
              <w:jc w:val="right"/>
              <w:spacing w:after="0" w:line="213" w:lineRule="exact"/>
              <w:rPr>
                <w:sz w:val="20"/>
                <w:szCs w:val="20"/>
                <w:color w:val="auto"/>
              </w:rPr>
            </w:pPr>
            <w:r>
              <w:rPr>
                <w:rFonts w:ascii="Times New Roman" w:cs="Times New Roman" w:eastAsia="Times New Roman" w:hAnsi="Times New Roman"/>
                <w:sz w:val="16"/>
                <w:szCs w:val="16"/>
                <w:color w:val="auto"/>
              </w:rPr>
              <w:t xml:space="preserve">804,678 </w:t>
            </w:r>
            <w:r>
              <w:rPr>
                <w:rFonts w:ascii="Times New Roman" w:cs="Times New Roman" w:eastAsia="Times New Roman" w:hAnsi="Times New Roman"/>
                <w:sz w:val="21"/>
                <w:szCs w:val="21"/>
                <w:color w:val="auto"/>
                <w:vertAlign w:val="superscript"/>
              </w:rPr>
              <w:t>(6)</w:t>
            </w:r>
          </w:p>
        </w:tc>
        <w:tc>
          <w:tcPr>
            <w:tcW w:w="14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jc w:val="right"/>
              <w:ind w:right="159"/>
              <w:spacing w:after="0" w:line="213" w:lineRule="exact"/>
              <w:rPr>
                <w:sz w:val="20"/>
                <w:szCs w:val="20"/>
                <w:color w:val="auto"/>
              </w:rPr>
            </w:pPr>
            <w:r>
              <w:rPr>
                <w:rFonts w:ascii="Times New Roman" w:cs="Times New Roman" w:eastAsia="Times New Roman" w:hAnsi="Times New Roman"/>
                <w:sz w:val="16"/>
                <w:szCs w:val="16"/>
                <w:color w:val="auto"/>
              </w:rPr>
              <w:t xml:space="preserve">$159.97 </w:t>
            </w:r>
            <w:r>
              <w:rPr>
                <w:rFonts w:ascii="Times New Roman" w:cs="Times New Roman" w:eastAsia="Times New Roman" w:hAnsi="Times New Roman"/>
                <w:sz w:val="21"/>
                <w:szCs w:val="21"/>
                <w:color w:val="auto"/>
                <w:vertAlign w:val="superscript"/>
              </w:rPr>
              <w:t>(7)</w:t>
            </w:r>
          </w:p>
        </w:tc>
        <w:tc>
          <w:tcPr>
            <w:tcW w:w="180" w:type="dxa"/>
            <w:vAlign w:val="bottom"/>
          </w:tcPr>
          <w:p>
            <w:pPr>
              <w:spacing w:after="0"/>
              <w:rPr>
                <w:sz w:val="18"/>
                <w:szCs w:val="18"/>
                <w:color w:val="auto"/>
              </w:rPr>
            </w:pPr>
          </w:p>
        </w:tc>
        <w:tc>
          <w:tcPr>
            <w:tcW w:w="1560" w:type="dxa"/>
            <w:vAlign w:val="bottom"/>
            <w:tcBorders>
              <w:right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color w:val="auto"/>
              </w:rPr>
              <w:t>$128,724,339.66</w:t>
            </w:r>
          </w:p>
        </w:tc>
        <w:tc>
          <w:tcPr>
            <w:tcW w:w="1000" w:type="dxa"/>
            <w:vAlign w:val="bottom"/>
            <w:tcBorders>
              <w:right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0.0001531</w:t>
            </w: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$19,707.70</w:t>
            </w:r>
          </w:p>
        </w:tc>
        <w:tc>
          <w:tcPr>
            <w:tcW w:w="0" w:type="dxa"/>
            <w:vAlign w:val="bottom"/>
          </w:tcPr>
          <w:p>
            <w:pPr>
              <w:spacing w:after="0"/>
              <w:rPr>
                <w:sz w:val="1"/>
                <w:szCs w:val="1"/>
                <w:color w:val="auto"/>
              </w:rPr>
            </w:pPr>
          </w:p>
        </w:tc>
      </w:tr>
      <w:tr>
        <w:trPr>
          <w:trHeight w:val="162"/>
        </w:trPr>
        <w:tc>
          <w:tcPr>
            <w:tcW w:w="980" w:type="dxa"/>
            <w:vAlign w:val="bottom"/>
            <w:tcBorders>
              <w:left w:val="single" w:sz="8" w:color="auto"/>
            </w:tcBorders>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1220" w:type="dxa"/>
            <w:vAlign w:val="bottom"/>
            <w:tcBorders>
              <w:right w:val="single" w:sz="8" w:color="auto"/>
            </w:tcBorders>
          </w:tcPr>
          <w:p>
            <w:pPr>
              <w:ind w:left="20"/>
              <w:spacing w:after="0" w:line="162" w:lineRule="exact"/>
              <w:rPr>
                <w:sz w:val="20"/>
                <w:szCs w:val="20"/>
                <w:color w:val="auto"/>
              </w:rPr>
            </w:pPr>
            <w:r>
              <w:rPr>
                <w:rFonts w:ascii="Times New Roman" w:cs="Times New Roman" w:eastAsia="Times New Roman" w:hAnsi="Times New Roman"/>
                <w:sz w:val="16"/>
                <w:szCs w:val="16"/>
                <w:color w:val="auto"/>
              </w:rPr>
              <w:t>common stock,</w:t>
            </w: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134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160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tcBorders>
              <w:right w:val="single" w:sz="8" w:color="auto"/>
            </w:tcBorders>
          </w:tcPr>
          <w:p>
            <w:pPr>
              <w:spacing w:after="0"/>
              <w:rPr>
                <w:sz w:val="14"/>
                <w:szCs w:val="14"/>
                <w:color w:val="auto"/>
              </w:rPr>
            </w:pPr>
          </w:p>
        </w:tc>
        <w:tc>
          <w:tcPr>
            <w:tcW w:w="1000" w:type="dxa"/>
            <w:vAlign w:val="bottom"/>
            <w:tcBorders>
              <w:right w:val="single" w:sz="8" w:color="auto"/>
            </w:tcBorders>
          </w:tcPr>
          <w:p>
            <w:pPr>
              <w:spacing w:after="0"/>
              <w:rPr>
                <w:sz w:val="14"/>
                <w:szCs w:val="14"/>
                <w:color w:val="auto"/>
              </w:rPr>
            </w:pPr>
          </w:p>
        </w:tc>
        <w:tc>
          <w:tcPr>
            <w:tcW w:w="16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80" w:type="dxa"/>
            <w:vAlign w:val="bottom"/>
            <w:tcBorders>
              <w:left w:val="single" w:sz="8" w:color="auto"/>
            </w:tcBorders>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1220" w:type="dxa"/>
            <w:vAlign w:val="bottom"/>
            <w:tcBorders>
              <w:right w:val="single" w:sz="8" w:color="auto"/>
            </w:tcBorders>
          </w:tcPr>
          <w:p>
            <w:pPr>
              <w:ind w:left="20"/>
              <w:spacing w:after="0" w:line="162" w:lineRule="exact"/>
              <w:rPr>
                <w:sz w:val="20"/>
                <w:szCs w:val="20"/>
                <w:color w:val="auto"/>
              </w:rPr>
            </w:pPr>
            <w:r>
              <w:rPr>
                <w:rFonts w:ascii="Times New Roman" w:cs="Times New Roman" w:eastAsia="Times New Roman" w:hAnsi="Times New Roman"/>
                <w:sz w:val="16"/>
                <w:szCs w:val="16"/>
                <w:color w:val="auto"/>
              </w:rPr>
              <w:t>par value</w:t>
            </w: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134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160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tcBorders>
              <w:right w:val="single" w:sz="8" w:color="auto"/>
            </w:tcBorders>
          </w:tcPr>
          <w:p>
            <w:pPr>
              <w:spacing w:after="0"/>
              <w:rPr>
                <w:sz w:val="14"/>
                <w:szCs w:val="14"/>
                <w:color w:val="auto"/>
              </w:rPr>
            </w:pPr>
          </w:p>
        </w:tc>
        <w:tc>
          <w:tcPr>
            <w:tcW w:w="1000" w:type="dxa"/>
            <w:vAlign w:val="bottom"/>
            <w:tcBorders>
              <w:right w:val="single" w:sz="8" w:color="auto"/>
            </w:tcBorders>
          </w:tcPr>
          <w:p>
            <w:pPr>
              <w:spacing w:after="0"/>
              <w:rPr>
                <w:sz w:val="14"/>
                <w:szCs w:val="14"/>
                <w:color w:val="auto"/>
              </w:rPr>
            </w:pPr>
          </w:p>
        </w:tc>
        <w:tc>
          <w:tcPr>
            <w:tcW w:w="16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80" w:type="dxa"/>
            <w:vAlign w:val="bottom"/>
            <w:tcBorders>
              <w:left w:val="single" w:sz="8" w:color="auto"/>
            </w:tcBorders>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1220" w:type="dxa"/>
            <w:vAlign w:val="bottom"/>
            <w:tcBorders>
              <w:right w:val="single" w:sz="8" w:color="auto"/>
            </w:tcBorders>
          </w:tcPr>
          <w:p>
            <w:pPr>
              <w:ind w:left="20"/>
              <w:spacing w:after="0" w:line="162" w:lineRule="exact"/>
              <w:rPr>
                <w:sz w:val="20"/>
                <w:szCs w:val="20"/>
                <w:color w:val="auto"/>
              </w:rPr>
            </w:pPr>
            <w:r>
              <w:rPr>
                <w:rFonts w:ascii="Times New Roman" w:cs="Times New Roman" w:eastAsia="Times New Roman" w:hAnsi="Times New Roman"/>
                <w:sz w:val="16"/>
                <w:szCs w:val="16"/>
                <w:color w:val="auto"/>
              </w:rPr>
              <w:t>$0.001 per</w:t>
            </w: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134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160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tcBorders>
              <w:right w:val="single" w:sz="8" w:color="auto"/>
            </w:tcBorders>
          </w:tcPr>
          <w:p>
            <w:pPr>
              <w:spacing w:after="0"/>
              <w:rPr>
                <w:sz w:val="14"/>
                <w:szCs w:val="14"/>
                <w:color w:val="auto"/>
              </w:rPr>
            </w:pPr>
          </w:p>
        </w:tc>
        <w:tc>
          <w:tcPr>
            <w:tcW w:w="1000" w:type="dxa"/>
            <w:vAlign w:val="bottom"/>
            <w:tcBorders>
              <w:right w:val="single" w:sz="8" w:color="auto"/>
            </w:tcBorders>
          </w:tcPr>
          <w:p>
            <w:pPr>
              <w:spacing w:after="0"/>
              <w:rPr>
                <w:sz w:val="14"/>
                <w:szCs w:val="14"/>
                <w:color w:val="auto"/>
              </w:rPr>
            </w:pPr>
          </w:p>
        </w:tc>
        <w:tc>
          <w:tcPr>
            <w:tcW w:w="16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980" w:type="dxa"/>
            <w:vAlign w:val="bottom"/>
            <w:tcBorders>
              <w:left w:val="single" w:sz="8" w:color="auto"/>
              <w:bottom w:val="single" w:sz="8" w:color="auto"/>
            </w:tcBorders>
          </w:tcPr>
          <w:p>
            <w:pPr>
              <w:spacing w:after="0"/>
              <w:rPr>
                <w:sz w:val="18"/>
                <w:szCs w:val="18"/>
                <w:color w:val="auto"/>
              </w:rPr>
            </w:pPr>
          </w:p>
        </w:tc>
        <w:tc>
          <w:tcPr>
            <w:tcW w:w="160" w:type="dxa"/>
            <w:vAlign w:val="bottom"/>
            <w:tcBorders>
              <w:bottom w:val="single" w:sz="8" w:color="auto"/>
              <w:right w:val="single" w:sz="8" w:color="auto"/>
            </w:tcBorders>
          </w:tcPr>
          <w:p>
            <w:pPr>
              <w:spacing w:after="0"/>
              <w:rPr>
                <w:sz w:val="18"/>
                <w:szCs w:val="18"/>
                <w:color w:val="auto"/>
              </w:rPr>
            </w:pPr>
          </w:p>
        </w:tc>
        <w:tc>
          <w:tcPr>
            <w:tcW w:w="12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share</w:t>
            </w: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500" w:type="dxa"/>
            <w:vAlign w:val="bottom"/>
            <w:tcBorders>
              <w:left w:val="single" w:sz="8" w:color="auto"/>
            </w:tcBorders>
            <w:gridSpan w:val="4"/>
            <w:vMerge w:val="restart"/>
          </w:tcPr>
          <w:p>
            <w:pPr>
              <w:ind w:left="800"/>
              <w:spacing w:after="0"/>
              <w:rPr>
                <w:sz w:val="20"/>
                <w:szCs w:val="20"/>
                <w:color w:val="auto"/>
              </w:rPr>
            </w:pPr>
            <w:r>
              <w:rPr>
                <w:rFonts w:ascii="Times New Roman" w:cs="Times New Roman" w:eastAsia="Times New Roman" w:hAnsi="Times New Roman"/>
                <w:sz w:val="16"/>
                <w:szCs w:val="16"/>
                <w:b w:val="1"/>
                <w:bCs w:val="1"/>
                <w:color w:val="auto"/>
              </w:rPr>
              <w:t>Total Offering Amounts</w:t>
            </w: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Borders>
              <w:right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color w:val="auto"/>
              </w:rPr>
              <w:t>$885,926,525.86</w:t>
            </w:r>
          </w:p>
        </w:tc>
        <w:tc>
          <w:tcPr>
            <w:tcW w:w="100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$135,635.36</w:t>
            </w:r>
          </w:p>
        </w:tc>
        <w:tc>
          <w:tcPr>
            <w:tcW w:w="0" w:type="dxa"/>
            <w:vAlign w:val="bottom"/>
          </w:tcPr>
          <w:p>
            <w:pPr>
              <w:spacing w:after="0"/>
              <w:rPr>
                <w:sz w:val="1"/>
                <w:szCs w:val="1"/>
                <w:color w:val="auto"/>
              </w:rPr>
            </w:pPr>
          </w:p>
        </w:tc>
      </w:tr>
      <w:tr>
        <w:trPr>
          <w:trHeight w:val="80"/>
        </w:trPr>
        <w:tc>
          <w:tcPr>
            <w:tcW w:w="2500" w:type="dxa"/>
            <w:vAlign w:val="bottom"/>
            <w:tcBorders>
              <w:left w:val="single" w:sz="8" w:color="auto"/>
              <w:bottom w:val="single" w:sz="8" w:color="auto"/>
            </w:tcBorders>
            <w:gridSpan w:val="4"/>
            <w:vMerge w:val="continue"/>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140" w:type="dxa"/>
            <w:vAlign w:val="bottom"/>
            <w:tcBorders>
              <w:bottom w:val="single" w:sz="8" w:color="auto"/>
              <w:right w:val="single" w:sz="8" w:color="auto"/>
            </w:tcBorders>
          </w:tcPr>
          <w:p>
            <w:pPr>
              <w:spacing w:after="0"/>
              <w:rPr>
                <w:sz w:val="6"/>
                <w:szCs w:val="6"/>
                <w:color w:val="auto"/>
              </w:rPr>
            </w:pPr>
          </w:p>
        </w:tc>
        <w:tc>
          <w:tcPr>
            <w:tcW w:w="1600" w:type="dxa"/>
            <w:vAlign w:val="bottom"/>
            <w:tcBorders>
              <w:bottom w:val="single" w:sz="8" w:color="auto"/>
              <w:right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560" w:type="dxa"/>
            <w:vAlign w:val="bottom"/>
            <w:tcBorders>
              <w:bottom w:val="single" w:sz="8" w:color="auto"/>
              <w:right w:val="single" w:sz="8" w:color="auto"/>
            </w:tcBorders>
          </w:tcPr>
          <w:p>
            <w:pPr>
              <w:spacing w:after="0"/>
              <w:rPr>
                <w:sz w:val="6"/>
                <w:szCs w:val="6"/>
                <w:color w:val="auto"/>
              </w:rPr>
            </w:pPr>
          </w:p>
        </w:tc>
        <w:tc>
          <w:tcPr>
            <w:tcW w:w="1000" w:type="dxa"/>
            <w:vAlign w:val="bottom"/>
            <w:tcBorders>
              <w:bottom w:val="single" w:sz="8" w:color="auto"/>
              <w:right w:val="single" w:sz="8" w:color="auto"/>
            </w:tcBorders>
          </w:tcPr>
          <w:p>
            <w:pPr>
              <w:spacing w:after="0"/>
              <w:rPr>
                <w:sz w:val="6"/>
                <w:szCs w:val="6"/>
                <w:color w:val="auto"/>
              </w:rPr>
            </w:pPr>
          </w:p>
        </w:tc>
        <w:tc>
          <w:tcPr>
            <w:tcW w:w="16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980" w:type="dxa"/>
            <w:vAlign w:val="bottom"/>
            <w:tcBorders>
              <w:left w:val="single" w:sz="8" w:color="auto"/>
            </w:tcBorders>
          </w:tcPr>
          <w:p>
            <w:pPr>
              <w:spacing w:after="0"/>
              <w:rPr>
                <w:sz w:val="18"/>
                <w:szCs w:val="18"/>
                <w:color w:val="auto"/>
              </w:rPr>
            </w:pPr>
          </w:p>
        </w:tc>
        <w:tc>
          <w:tcPr>
            <w:tcW w:w="1520" w:type="dxa"/>
            <w:vAlign w:val="bottom"/>
            <w:gridSpan w:val="3"/>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Total Fee Offsets</w:t>
            </w: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84"/>
        </w:trPr>
        <w:tc>
          <w:tcPr>
            <w:tcW w:w="980" w:type="dxa"/>
            <w:vAlign w:val="bottom"/>
            <w:tcBorders>
              <w:left w:val="single" w:sz="8" w:color="auto"/>
              <w:bottom w:val="single" w:sz="8" w:color="auto"/>
            </w:tcBorders>
          </w:tcPr>
          <w:p>
            <w:pPr>
              <w:spacing w:after="0"/>
              <w:rPr>
                <w:sz w:val="7"/>
                <w:szCs w:val="7"/>
                <w:color w:val="auto"/>
              </w:rPr>
            </w:pPr>
          </w:p>
        </w:tc>
        <w:tc>
          <w:tcPr>
            <w:tcW w:w="1520" w:type="dxa"/>
            <w:vAlign w:val="bottom"/>
            <w:tcBorders>
              <w:bottom w:val="single" w:sz="8" w:color="auto"/>
            </w:tcBorders>
            <w:gridSpan w:val="3"/>
            <w:vMerge w:val="continue"/>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340" w:type="dxa"/>
            <w:vAlign w:val="bottom"/>
            <w:tcBorders>
              <w:bottom w:val="single" w:sz="8" w:color="auto"/>
            </w:tcBorders>
          </w:tcPr>
          <w:p>
            <w:pPr>
              <w:spacing w:after="0"/>
              <w:rPr>
                <w:sz w:val="7"/>
                <w:szCs w:val="7"/>
                <w:color w:val="auto"/>
              </w:rPr>
            </w:pPr>
          </w:p>
        </w:tc>
        <w:tc>
          <w:tcPr>
            <w:tcW w:w="140" w:type="dxa"/>
            <w:vAlign w:val="bottom"/>
            <w:tcBorders>
              <w:bottom w:val="single" w:sz="8" w:color="auto"/>
              <w:right w:val="single" w:sz="8" w:color="auto"/>
            </w:tcBorders>
          </w:tcPr>
          <w:p>
            <w:pPr>
              <w:spacing w:after="0"/>
              <w:rPr>
                <w:sz w:val="7"/>
                <w:szCs w:val="7"/>
                <w:color w:val="auto"/>
              </w:rPr>
            </w:pPr>
          </w:p>
        </w:tc>
        <w:tc>
          <w:tcPr>
            <w:tcW w:w="1600" w:type="dxa"/>
            <w:vAlign w:val="bottom"/>
            <w:tcBorders>
              <w:bottom w:val="single" w:sz="8" w:color="auto"/>
              <w:right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560" w:type="dxa"/>
            <w:vAlign w:val="bottom"/>
            <w:tcBorders>
              <w:bottom w:val="single" w:sz="8" w:color="auto"/>
              <w:right w:val="single" w:sz="8" w:color="auto"/>
            </w:tcBorders>
          </w:tcPr>
          <w:p>
            <w:pPr>
              <w:spacing w:after="0"/>
              <w:rPr>
                <w:sz w:val="7"/>
                <w:szCs w:val="7"/>
                <w:color w:val="auto"/>
              </w:rPr>
            </w:pPr>
          </w:p>
        </w:tc>
        <w:tc>
          <w:tcPr>
            <w:tcW w:w="1000" w:type="dxa"/>
            <w:vAlign w:val="bottom"/>
            <w:tcBorders>
              <w:bottom w:val="single" w:sz="8" w:color="auto"/>
              <w:right w:val="single" w:sz="8" w:color="auto"/>
            </w:tcBorders>
          </w:tcPr>
          <w:p>
            <w:pPr>
              <w:spacing w:after="0"/>
              <w:rPr>
                <w:sz w:val="7"/>
                <w:szCs w:val="7"/>
                <w:color w:val="auto"/>
              </w:rPr>
            </w:pPr>
          </w:p>
        </w:tc>
        <w:tc>
          <w:tcPr>
            <w:tcW w:w="16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7"/>
        </w:trPr>
        <w:tc>
          <w:tcPr>
            <w:tcW w:w="980" w:type="dxa"/>
            <w:vAlign w:val="bottom"/>
            <w:tcBorders>
              <w:lef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Net Fee Due</w:t>
            </w: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$135,635.36</w:t>
            </w:r>
          </w:p>
        </w:tc>
        <w:tc>
          <w:tcPr>
            <w:tcW w:w="0" w:type="dxa"/>
            <w:vAlign w:val="bottom"/>
          </w:tcPr>
          <w:p>
            <w:pPr>
              <w:spacing w:after="0"/>
              <w:rPr>
                <w:sz w:val="1"/>
                <w:szCs w:val="1"/>
                <w:color w:val="auto"/>
              </w:rPr>
            </w:pPr>
          </w:p>
        </w:tc>
      </w:tr>
      <w:tr>
        <w:trPr>
          <w:trHeight w:val="80"/>
        </w:trPr>
        <w:tc>
          <w:tcPr>
            <w:tcW w:w="980" w:type="dxa"/>
            <w:vAlign w:val="bottom"/>
            <w:tcBorders>
              <w:left w:val="single" w:sz="8" w:color="auto"/>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gridSpan w:val="2"/>
            <w:vMerge w:val="continue"/>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140" w:type="dxa"/>
            <w:vAlign w:val="bottom"/>
            <w:tcBorders>
              <w:bottom w:val="single" w:sz="8" w:color="auto"/>
              <w:right w:val="single" w:sz="8" w:color="auto"/>
            </w:tcBorders>
          </w:tcPr>
          <w:p>
            <w:pPr>
              <w:spacing w:after="0"/>
              <w:rPr>
                <w:sz w:val="6"/>
                <w:szCs w:val="6"/>
                <w:color w:val="auto"/>
              </w:rPr>
            </w:pPr>
          </w:p>
        </w:tc>
        <w:tc>
          <w:tcPr>
            <w:tcW w:w="1600" w:type="dxa"/>
            <w:vAlign w:val="bottom"/>
            <w:tcBorders>
              <w:bottom w:val="single" w:sz="8" w:color="auto"/>
              <w:right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560" w:type="dxa"/>
            <w:vAlign w:val="bottom"/>
            <w:tcBorders>
              <w:bottom w:val="single" w:sz="8" w:color="auto"/>
              <w:right w:val="single" w:sz="8" w:color="auto"/>
            </w:tcBorders>
          </w:tcPr>
          <w:p>
            <w:pPr>
              <w:spacing w:after="0"/>
              <w:rPr>
                <w:sz w:val="6"/>
                <w:szCs w:val="6"/>
                <w:color w:val="auto"/>
              </w:rPr>
            </w:pPr>
          </w:p>
        </w:tc>
        <w:tc>
          <w:tcPr>
            <w:tcW w:w="1000" w:type="dxa"/>
            <w:vAlign w:val="bottom"/>
            <w:tcBorders>
              <w:bottom w:val="single" w:sz="8" w:color="auto"/>
              <w:right w:val="single" w:sz="8" w:color="auto"/>
            </w:tcBorders>
          </w:tcPr>
          <w:p>
            <w:pPr>
              <w:spacing w:after="0"/>
              <w:rPr>
                <w:sz w:val="6"/>
                <w:szCs w:val="6"/>
                <w:color w:val="auto"/>
              </w:rPr>
            </w:pPr>
          </w:p>
        </w:tc>
        <w:tc>
          <w:tcPr>
            <w:tcW w:w="16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5" w:lineRule="exact"/>
        <w:rPr>
          <w:sz w:val="20"/>
          <w:szCs w:val="20"/>
          <w:color w:val="auto"/>
        </w:rPr>
      </w:pPr>
    </w:p>
    <w:p>
      <w:pPr>
        <w:ind w:left="660" w:right="260" w:hanging="652"/>
        <w:spacing w:after="0" w:line="225" w:lineRule="auto"/>
        <w:tabs>
          <w:tab w:leader="none" w:pos="65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416(a) promulgated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this Registration Statement shall also cover any additional shares of Registrant’s Class A common stock that become issuable under the plans set forth herein by reason of any stock dividend, stock split, recapitalization, or other similar transaction effected that results in an increase to the number of outstanding shares of Registrant’s Class A common stock.</w:t>
      </w:r>
    </w:p>
    <w:p>
      <w:pPr>
        <w:spacing w:after="0" w:line="159"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Rounded up to the nearest cent.</w:t>
      </w:r>
    </w:p>
    <w:p>
      <w:pPr>
        <w:spacing w:after="0" w:line="184"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 does not have any fee offsets.</w:t>
      </w:r>
    </w:p>
    <w:p>
      <w:pPr>
        <w:spacing w:after="0" w:line="198" w:lineRule="exact"/>
        <w:rPr>
          <w:rFonts w:ascii="Times New Roman" w:cs="Times New Roman" w:eastAsia="Times New Roman" w:hAnsi="Times New Roman"/>
          <w:sz w:val="18"/>
          <w:szCs w:val="18"/>
          <w:color w:val="auto"/>
        </w:rPr>
      </w:pPr>
    </w:p>
    <w:p>
      <w:pPr>
        <w:ind w:left="660" w:right="240" w:hanging="652"/>
        <w:spacing w:after="0" w:line="220" w:lineRule="auto"/>
        <w:tabs>
          <w:tab w:leader="none" w:pos="65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 automatic annual increase equal to 4,023,391 shares of Registrant’s Class A common stock, which is 5% of the total number of shares of the Registrant’s capital stock outstanding on the last day of the immediately preceding fiscal year to the aggregate number of shares of the Registrant’s Class A common stock reserved for issuance under, and which annual increase is provided by, the Registrant’s 2016 Equity Incentive Plan (as amended, the “</w:t>
      </w:r>
      <w:r>
        <w:rPr>
          <w:rFonts w:ascii="Times New Roman" w:cs="Times New Roman" w:eastAsia="Times New Roman" w:hAnsi="Times New Roman"/>
          <w:sz w:val="18"/>
          <w:szCs w:val="18"/>
          <w:b w:val="1"/>
          <w:bCs w:val="1"/>
          <w:i w:val="1"/>
          <w:iCs w:val="1"/>
          <w:color w:val="auto"/>
        </w:rPr>
        <w:t>2016 Plan</w:t>
      </w:r>
      <w:r>
        <w:rPr>
          <w:rFonts w:ascii="Times New Roman" w:cs="Times New Roman" w:eastAsia="Times New Roman" w:hAnsi="Times New Roman"/>
          <w:sz w:val="18"/>
          <w:szCs w:val="18"/>
          <w:color w:val="auto"/>
        </w:rPr>
        <w:t>”).</w:t>
      </w:r>
    </w:p>
    <w:p>
      <w:pPr>
        <w:spacing w:after="0" w:line="172" w:lineRule="exact"/>
        <w:rPr>
          <w:rFonts w:ascii="Times New Roman" w:cs="Times New Roman" w:eastAsia="Times New Roman" w:hAnsi="Times New Roman"/>
          <w:sz w:val="18"/>
          <w:szCs w:val="18"/>
          <w:color w:val="auto"/>
        </w:rPr>
      </w:pPr>
    </w:p>
    <w:p>
      <w:pPr>
        <w:ind w:left="660" w:right="100" w:hanging="652"/>
        <w:spacing w:after="0" w:line="237" w:lineRule="auto"/>
        <w:tabs>
          <w:tab w:leader="none" w:pos="65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in accordance with Rule 457(c) and (h) solely for purposes of calculating the registration fee on the basis of $188.20, the average of the high and low prices of the Registrant’s Class A common stock as reported on the Nasdaq Global Select Market on March 18, 2025.</w:t>
      </w:r>
    </w:p>
    <w:p>
      <w:pPr>
        <w:spacing w:after="0" w:line="158" w:lineRule="exact"/>
        <w:rPr>
          <w:rFonts w:ascii="Times New Roman" w:cs="Times New Roman" w:eastAsia="Times New Roman" w:hAnsi="Times New Roman"/>
          <w:sz w:val="18"/>
          <w:szCs w:val="18"/>
          <w:color w:val="auto"/>
        </w:rPr>
      </w:pPr>
    </w:p>
    <w:p>
      <w:pPr>
        <w:ind w:left="660" w:right="240" w:hanging="652"/>
        <w:spacing w:after="0" w:line="231" w:lineRule="auto"/>
        <w:tabs>
          <w:tab w:leader="none" w:pos="65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 automatic increase equal to 1% of the total number of shares of the Registrant’s capital stock outstanding on the last day of the immediately preceding fiscal year to the aggregate number of shares of the Registrant’s Class A common stock reserved for issuance under, and which annual increase is provided by, the Registrant’s 2017 Employee Stock Purchase Plan (the “</w:t>
      </w:r>
      <w:r>
        <w:rPr>
          <w:rFonts w:ascii="Times New Roman" w:cs="Times New Roman" w:eastAsia="Times New Roman" w:hAnsi="Times New Roman"/>
          <w:sz w:val="18"/>
          <w:szCs w:val="18"/>
          <w:b w:val="1"/>
          <w:bCs w:val="1"/>
          <w:i w:val="1"/>
          <w:iCs w:val="1"/>
          <w:color w:val="auto"/>
        </w:rPr>
        <w:t>2017 ESPP</w:t>
      </w:r>
      <w:r>
        <w:rPr>
          <w:rFonts w:ascii="Times New Roman" w:cs="Times New Roman" w:eastAsia="Times New Roman" w:hAnsi="Times New Roman"/>
          <w:sz w:val="18"/>
          <w:szCs w:val="18"/>
          <w:color w:val="auto"/>
        </w:rPr>
        <w:t>”).</w:t>
      </w:r>
    </w:p>
    <w:p>
      <w:pPr>
        <w:spacing w:after="0" w:line="158" w:lineRule="exact"/>
        <w:rPr>
          <w:rFonts w:ascii="Times New Roman" w:cs="Times New Roman" w:eastAsia="Times New Roman" w:hAnsi="Times New Roman"/>
          <w:sz w:val="18"/>
          <w:szCs w:val="18"/>
          <w:color w:val="auto"/>
        </w:rPr>
      </w:pPr>
    </w:p>
    <w:p>
      <w:pPr>
        <w:jc w:val="both"/>
        <w:ind w:left="660" w:right="120" w:hanging="652"/>
        <w:spacing w:after="0" w:line="231" w:lineRule="auto"/>
        <w:tabs>
          <w:tab w:leader="none" w:pos="65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in accordance with Rule 457(c) and (h) solely for the purpose of calculating the registration fee on the basis of $159.97, the average of the high and low prices of the Registrant’s Class A common stock as reported on the Nasdaq Global Select Market on March 18, 2025, multiplied by 85%, which is the percentage of the price per share applicable to purchases under the 2017 ESPP.</w:t>
      </w:r>
    </w:p>
    <w:p>
      <w:pPr>
        <w:sectPr>
          <w:pgSz w:w="11900" w:h="16838" w:orient="portrait"/>
          <w:cols w:equalWidth="0" w:num="1">
            <w:col w:w="11260"/>
          </w:cols>
          <w:pgMar w:left="320" w:top="1395" w:right="319" w:bottom="1440" w:gutter="0" w:footer="0" w:header="0"/>
        </w:sectPr>
      </w:pPr>
    </w:p>
    <w:bookmarkStart w:id="6" w:name="page7"/>
    <w:bookmarkEnd w:id="6"/>
    <w:p>
      <w:pPr>
        <w:ind w:left="2200"/>
        <w:spacing w:after="0"/>
        <w:rPr>
          <w:sz w:val="20"/>
          <w:szCs w:val="20"/>
          <w:color w:val="auto"/>
        </w:rPr>
      </w:pPr>
      <w:r>
        <w:rPr>
          <w:rFonts w:ascii="Arial" w:cs="Arial" w:eastAsia="Arial" w:hAnsi="Arial"/>
          <w:sz w:val="13"/>
          <w:szCs w:val="13"/>
          <w:color w:val="140BE3"/>
        </w:rPr>
        <w:t>Davis Polk &amp; Wardwell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1354455" cy="2571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5">
                      <a:extLst>
                        <a:ext uri="{28A0092B-C50C-407E-A947-70E740481C1C}"/>
                      </a:extLst>
                    </a:blip>
                    <a:srcRect/>
                    <a:stretch>
                      <a:fillRect/>
                    </a:stretch>
                  </pic:blipFill>
                  <pic:spPr bwMode="auto">
                    <a:xfrm>
                      <a:off x="0" y="0"/>
                      <a:ext cx="1354455" cy="257175"/>
                    </a:xfrm>
                    <a:prstGeom prst="rect">
                      <a:avLst/>
                    </a:prstGeom>
                    <a:noFill/>
                  </pic:spPr>
                </pic:pic>
              </a:graphicData>
            </a:graphic>
          </wp:anchor>
        </w:drawing>
      </w:r>
    </w:p>
    <w:p>
      <w:pPr>
        <w:ind w:left="2200"/>
        <w:spacing w:after="0" w:line="195" w:lineRule="auto"/>
        <w:rPr>
          <w:sz w:val="20"/>
          <w:szCs w:val="20"/>
          <w:color w:val="auto"/>
        </w:rPr>
      </w:pPr>
      <w:r>
        <w:rPr>
          <w:rFonts w:ascii="Arial" w:cs="Arial" w:eastAsia="Arial" w:hAnsi="Arial"/>
          <w:sz w:val="13"/>
          <w:szCs w:val="13"/>
          <w:color w:val="140BE3"/>
        </w:rPr>
        <w:t>450 Lexington Avenue New York, NY 10017</w:t>
      </w:r>
    </w:p>
    <w:p>
      <w:pPr>
        <w:ind w:left="2200"/>
        <w:spacing w:after="0"/>
        <w:rPr>
          <w:sz w:val="20"/>
          <w:szCs w:val="20"/>
          <w:color w:val="auto"/>
        </w:rPr>
      </w:pPr>
      <w:r>
        <w:rPr>
          <w:rFonts w:ascii="Arial" w:cs="Arial" w:eastAsia="Arial" w:hAnsi="Arial"/>
          <w:sz w:val="13"/>
          <w:szCs w:val="13"/>
          <w:color w:val="140BE3"/>
        </w:rPr>
        <w:t>davispolk.com</w:t>
      </w:r>
    </w:p>
    <w:p>
      <w:pPr>
        <w:spacing w:after="0" w:line="200" w:lineRule="exact"/>
        <w:rPr>
          <w:sz w:val="20"/>
          <w:szCs w:val="20"/>
          <w:color w:val="auto"/>
        </w:rPr>
      </w:pPr>
    </w:p>
    <w:p>
      <w:pPr>
        <w:spacing w:after="0" w:line="375"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Exhibit 5.1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7"/>
          <w:szCs w:val="17"/>
          <w:color w:val="auto"/>
        </w:rPr>
        <w:t>March 20, 2025</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Re: Opinion of Davis Polk &amp; Wardwell LLP</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MongoDB, Inc.</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1633 Broadway, 38th Floor</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New York, NY 10019</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Ladies and Gentlemen:</w:t>
      </w:r>
    </w:p>
    <w:p>
      <w:pPr>
        <w:spacing w:after="0" w:line="250" w:lineRule="exact"/>
        <w:rPr>
          <w:sz w:val="20"/>
          <w:szCs w:val="20"/>
          <w:color w:val="auto"/>
        </w:rPr>
      </w:pPr>
    </w:p>
    <w:p>
      <w:pPr>
        <w:ind w:right="20"/>
        <w:spacing w:after="0" w:line="258" w:lineRule="auto"/>
        <w:rPr>
          <w:sz w:val="20"/>
          <w:szCs w:val="20"/>
          <w:color w:val="auto"/>
        </w:rPr>
      </w:pPr>
      <w:r>
        <w:rPr>
          <w:rFonts w:ascii="Arial" w:cs="Arial" w:eastAsia="Arial" w:hAnsi="Arial"/>
          <w:sz w:val="17"/>
          <w:szCs w:val="17"/>
          <w:color w:val="auto"/>
        </w:rPr>
        <w:t>We have acted as special counsel to MongoDB, Inc., a Delaware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and are delivering this opinion in connection with the Company’s Registration Statement on Form S-8 (the “</w:t>
      </w:r>
      <w:r>
        <w:rPr>
          <w:rFonts w:ascii="Arial" w:cs="Arial" w:eastAsia="Arial" w:hAnsi="Arial"/>
          <w:sz w:val="17"/>
          <w:szCs w:val="17"/>
          <w:b w:val="1"/>
          <w:bCs w:val="1"/>
          <w:i w:val="1"/>
          <w:iCs w:val="1"/>
          <w:color w:val="auto"/>
        </w:rPr>
        <w:t>Registration Statement</w:t>
      </w:r>
      <w:r>
        <w:rPr>
          <w:rFonts w:ascii="Arial" w:cs="Arial" w:eastAsia="Arial" w:hAnsi="Arial"/>
          <w:sz w:val="17"/>
          <w:szCs w:val="17"/>
          <w:color w:val="auto"/>
        </w:rPr>
        <w:t>”) filed with the Securities and Exchange Commission pursuant to the Securities Act of 1933, as amended (the “</w:t>
      </w:r>
      <w:r>
        <w:rPr>
          <w:rFonts w:ascii="Arial" w:cs="Arial" w:eastAsia="Arial" w:hAnsi="Arial"/>
          <w:sz w:val="17"/>
          <w:szCs w:val="17"/>
          <w:b w:val="1"/>
          <w:bCs w:val="1"/>
          <w:i w:val="1"/>
          <w:iCs w:val="1"/>
          <w:color w:val="auto"/>
        </w:rPr>
        <w:t>Securities Act</w:t>
      </w:r>
      <w:r>
        <w:rPr>
          <w:rFonts w:ascii="Arial" w:cs="Arial" w:eastAsia="Arial" w:hAnsi="Arial"/>
          <w:sz w:val="17"/>
          <w:szCs w:val="17"/>
          <w:color w:val="auto"/>
        </w:rPr>
        <w:t>”), for the registration of (1) 4,023,391 shares of the Company’s Class A common stock, par value $0.001 per share (the “</w:t>
      </w:r>
      <w:r>
        <w:rPr>
          <w:rFonts w:ascii="Arial" w:cs="Arial" w:eastAsia="Arial" w:hAnsi="Arial"/>
          <w:sz w:val="17"/>
          <w:szCs w:val="17"/>
          <w:b w:val="1"/>
          <w:bCs w:val="1"/>
          <w:i w:val="1"/>
          <w:iCs w:val="1"/>
          <w:color w:val="auto"/>
        </w:rPr>
        <w:t>Common Stock</w:t>
      </w:r>
      <w:r>
        <w:rPr>
          <w:rFonts w:ascii="Arial" w:cs="Arial" w:eastAsia="Arial" w:hAnsi="Arial"/>
          <w:sz w:val="17"/>
          <w:szCs w:val="17"/>
          <w:color w:val="auto"/>
        </w:rPr>
        <w:t>”), under the MongoDB, Inc. 2016 Equity Incentive Plan (the “</w:t>
      </w:r>
      <w:r>
        <w:rPr>
          <w:rFonts w:ascii="Arial" w:cs="Arial" w:eastAsia="Arial" w:hAnsi="Arial"/>
          <w:sz w:val="17"/>
          <w:szCs w:val="17"/>
          <w:b w:val="1"/>
          <w:bCs w:val="1"/>
          <w:i w:val="1"/>
          <w:iCs w:val="1"/>
          <w:color w:val="auto"/>
        </w:rPr>
        <w:t>2016 Plan</w:t>
      </w:r>
      <w:r>
        <w:rPr>
          <w:rFonts w:ascii="Arial" w:cs="Arial" w:eastAsia="Arial" w:hAnsi="Arial"/>
          <w:sz w:val="17"/>
          <w:szCs w:val="17"/>
          <w:color w:val="auto"/>
        </w:rPr>
        <w:t>”), pursuant to the provisions of the 2016 Plan providing for an automatic increase in the number of shares of Common Stock reserved and available for issuance under the 2016 Plan on February 1, 2025 and (2) 804,678 shares of Common Stock under the MongoDB, Inc. 2017 Employee Stock Purchase Plan (the “</w:t>
      </w:r>
      <w:r>
        <w:rPr>
          <w:rFonts w:ascii="Arial" w:cs="Arial" w:eastAsia="Arial" w:hAnsi="Arial"/>
          <w:sz w:val="17"/>
          <w:szCs w:val="17"/>
          <w:b w:val="1"/>
          <w:bCs w:val="1"/>
          <w:i w:val="1"/>
          <w:iCs w:val="1"/>
          <w:color w:val="auto"/>
        </w:rPr>
        <w:t>2017</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ESPP</w:t>
      </w:r>
      <w:r>
        <w:rPr>
          <w:rFonts w:ascii="Arial" w:cs="Arial" w:eastAsia="Arial" w:hAnsi="Arial"/>
          <w:sz w:val="17"/>
          <w:szCs w:val="17"/>
          <w:color w:val="auto"/>
        </w:rPr>
        <w:t>,” and, together with the 2016 Plan, the “</w:t>
      </w:r>
      <w:r>
        <w:rPr>
          <w:rFonts w:ascii="Arial" w:cs="Arial" w:eastAsia="Arial" w:hAnsi="Arial"/>
          <w:sz w:val="17"/>
          <w:szCs w:val="17"/>
          <w:b w:val="1"/>
          <w:bCs w:val="1"/>
          <w:i w:val="1"/>
          <w:iCs w:val="1"/>
          <w:color w:val="auto"/>
        </w:rPr>
        <w:t>Plans</w:t>
      </w:r>
      <w:r>
        <w:rPr>
          <w:rFonts w:ascii="Arial" w:cs="Arial" w:eastAsia="Arial" w:hAnsi="Arial"/>
          <w:sz w:val="17"/>
          <w:szCs w:val="17"/>
          <w:color w:val="auto"/>
        </w:rPr>
        <w:t>”), pursuant to the provisions of the 2017 ESPP providing for an automatic increase in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number of shares of Common Stock reserved and available for issuance under the 2017 ESPP on February 1, 2025.</w:t>
      </w:r>
    </w:p>
    <w:p>
      <w:pPr>
        <w:spacing w:after="0" w:line="209" w:lineRule="exact"/>
        <w:rPr>
          <w:sz w:val="20"/>
          <w:szCs w:val="20"/>
          <w:color w:val="auto"/>
        </w:rPr>
      </w:pPr>
    </w:p>
    <w:p>
      <w:pPr>
        <w:ind w:right="180"/>
        <w:spacing w:after="0" w:line="284" w:lineRule="auto"/>
        <w:rPr>
          <w:sz w:val="20"/>
          <w:szCs w:val="20"/>
          <w:color w:val="auto"/>
        </w:rPr>
      </w:pPr>
      <w:r>
        <w:rPr>
          <w:rFonts w:ascii="Arial" w:cs="Arial" w:eastAsia="Arial" w:hAnsi="Arial"/>
          <w:sz w:val="17"/>
          <w:szCs w:val="17"/>
          <w:color w:val="auto"/>
        </w:rPr>
        <w:t>We, as your counsel, have examined originals or copies of such documents, corporate records, certificates of public officials and other instruments as we have deemed necessary or advisable for the purpose of rendering this opinion.</w:t>
      </w:r>
    </w:p>
    <w:p>
      <w:pPr>
        <w:spacing w:after="0" w:line="185" w:lineRule="exact"/>
        <w:rPr>
          <w:sz w:val="20"/>
          <w:szCs w:val="20"/>
          <w:color w:val="auto"/>
        </w:rPr>
      </w:pPr>
    </w:p>
    <w:p>
      <w:pPr>
        <w:ind w:right="120"/>
        <w:spacing w:after="0" w:line="261" w:lineRule="auto"/>
        <w:rPr>
          <w:sz w:val="20"/>
          <w:szCs w:val="20"/>
          <w:color w:val="auto"/>
        </w:rPr>
      </w:pPr>
      <w:r>
        <w:rPr>
          <w:rFonts w:ascii="Arial" w:cs="Arial" w:eastAsia="Arial" w:hAnsi="Arial"/>
          <w:sz w:val="17"/>
          <w:szCs w:val="17"/>
          <w:color w:val="auto"/>
        </w:rPr>
        <w:t>In rendering the opinion expressed herein, we have, without independent inquiry or investigation, assumed that (i) all documents submitted to us as originals are authentic and complete, (ii) all documents submitted to us as copies conform to authentic, complete originals, (iii) all signatures on all documents that we reviewed are genuine, (iv) all natural persons executing documents had and have the legal capacity to do so, (v) all statements in certificates of public officials and officers of the Company that we reviewed were and are accurate and (vi) all representations made by the Company as to matters of fact in the documents that we reviewed were and are accurate.</w:t>
      </w:r>
    </w:p>
    <w:p>
      <w:pPr>
        <w:spacing w:after="0" w:line="206" w:lineRule="exact"/>
        <w:rPr>
          <w:sz w:val="20"/>
          <w:szCs w:val="20"/>
          <w:color w:val="auto"/>
        </w:rPr>
      </w:pPr>
    </w:p>
    <w:p>
      <w:pPr>
        <w:ind w:right="20"/>
        <w:spacing w:after="0" w:line="274" w:lineRule="auto"/>
        <w:rPr>
          <w:sz w:val="20"/>
          <w:szCs w:val="20"/>
          <w:color w:val="auto"/>
        </w:rPr>
      </w:pPr>
      <w:r>
        <w:rPr>
          <w:rFonts w:ascii="Arial" w:cs="Arial" w:eastAsia="Arial" w:hAnsi="Arial"/>
          <w:sz w:val="17"/>
          <w:szCs w:val="17"/>
          <w:color w:val="auto"/>
        </w:rPr>
        <w:t>On the basis of the foregoing, we are of the opinion that the shares of Common Stock have been duly authorized and, when and to the extent issued pursuant to the Plans upon receipt by the Company of the consideration for the shares of Common Stock specified therein, if and as applicable, will be validly issued, fully paid and non-assessable.</w:t>
      </w:r>
    </w:p>
    <w:p>
      <w:pPr>
        <w:spacing w:after="0" w:line="195" w:lineRule="exact"/>
        <w:rPr>
          <w:sz w:val="20"/>
          <w:szCs w:val="20"/>
          <w:color w:val="auto"/>
        </w:rPr>
      </w:pPr>
    </w:p>
    <w:p>
      <w:pPr>
        <w:ind w:right="540"/>
        <w:spacing w:after="0" w:line="284" w:lineRule="auto"/>
        <w:rPr>
          <w:sz w:val="20"/>
          <w:szCs w:val="20"/>
          <w:color w:val="auto"/>
        </w:rPr>
      </w:pPr>
      <w:r>
        <w:rPr>
          <w:rFonts w:ascii="Arial" w:cs="Arial" w:eastAsia="Arial" w:hAnsi="Arial"/>
          <w:sz w:val="17"/>
          <w:szCs w:val="17"/>
          <w:color w:val="auto"/>
        </w:rPr>
        <w:t>We are members of the Bar of the State of New York and the foregoing opinion is limited to the laws of the State of New York and the General Corporation Law of the State of Delaware.</w:t>
      </w:r>
    </w:p>
    <w:p>
      <w:pPr>
        <w:spacing w:after="0" w:line="185" w:lineRule="exact"/>
        <w:rPr>
          <w:sz w:val="20"/>
          <w:szCs w:val="20"/>
          <w:color w:val="auto"/>
        </w:rPr>
      </w:pPr>
    </w:p>
    <w:p>
      <w:pPr>
        <w:ind w:right="180"/>
        <w:spacing w:after="0" w:line="284" w:lineRule="auto"/>
        <w:rPr>
          <w:sz w:val="20"/>
          <w:szCs w:val="20"/>
          <w:color w:val="auto"/>
        </w:rPr>
      </w:pPr>
      <w:r>
        <w:rPr>
          <w:rFonts w:ascii="Arial" w:cs="Arial" w:eastAsia="Arial" w:hAnsi="Arial"/>
          <w:sz w:val="17"/>
          <w:szCs w:val="17"/>
          <w:color w:val="auto"/>
        </w:rPr>
        <w:t>We hereby consent to the filing of this opinion as an exhibit to the Registration Statement. In giving this consent, we do not admit that we are in the category of persons whose consent is required under Section 7 of the Securities Act.</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Very truly yours,</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color w:val="auto"/>
        </w:rPr>
        <w:t>/s/ Davis Polk &amp; Wardwell LLP</w:t>
      </w:r>
    </w:p>
    <w:p>
      <w:pPr>
        <w:sectPr>
          <w:pgSz w:w="11900" w:h="16838" w:orient="portrait"/>
          <w:cols w:equalWidth="0" w:num="1">
            <w:col w:w="11240"/>
          </w:cols>
          <w:pgMar w:left="320" w:top="160" w:right="3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00" w:lineRule="exact"/>
        <w:rPr>
          <w:sz w:val="20"/>
          <w:szCs w:val="20"/>
          <w:color w:val="auto"/>
        </w:rPr>
      </w:pPr>
    </w:p>
    <w:p>
      <w:pPr>
        <w:spacing w:after="0" w:line="255"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this Registration Statement on Form S-8 of MongoDB, Inc. of our report dated March 20, 2025 relating to the financial statements and the effectiveness of internal control over financial reporting, which appears in MongoDB, Inc.’s Annual Report on Form 10-K for the year ended January 31, 2025.</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California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20, 2025</w:t>
      </w:r>
    </w:p>
    <w:sectPr>
      <w:pgSz w:w="11900" w:h="16838" w:orient="portrait"/>
      <w:cols w:equalWidth="0" w:num="1">
        <w:col w:w="11240"/>
      </w:cols>
      <w:pgMar w:left="320" w:top="91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3" Type="http://schemas.openxmlformats.org/officeDocument/2006/relationships/image" Target="media/image1.png"/><Relationship Id="rId21" Type="http://schemas.openxmlformats.org/officeDocument/2006/relationships/image" Target="media/image2.png"/><Relationship Id="rId22" Type="http://schemas.openxmlformats.org/officeDocument/2006/relationships/image" Target="media/image3.png"/><Relationship Id="rId23" Type="http://schemas.openxmlformats.org/officeDocument/2006/relationships/image" Target="media/image4.png"/><Relationship Id="rId24" Type="http://schemas.openxmlformats.org/officeDocument/2006/relationships/image" Target="media/image5.png"/><Relationship Id="rId25" Type="http://schemas.openxmlformats.org/officeDocument/2006/relationships/image" Target="media/image6.png"/><Relationship Id="rId26" Type="http://schemas.openxmlformats.org/officeDocument/2006/relationships/image" Target="media/image7.png"/><Relationship Id="rId27" Type="http://schemas.openxmlformats.org/officeDocument/2006/relationships/image" Target="media/image8.png"/><Relationship Id="rId28" Type="http://schemas.openxmlformats.org/officeDocument/2006/relationships/image" Target="media/image9.png"/><Relationship Id="rId29" Type="http://schemas.openxmlformats.org/officeDocument/2006/relationships/image" Target="media/image10.png"/><Relationship Id="rId30" Type="http://schemas.openxmlformats.org/officeDocument/2006/relationships/image" Target="media/image11.png"/><Relationship Id="rId31" Type="http://schemas.openxmlformats.org/officeDocument/2006/relationships/image" Target="media/image12.png"/><Relationship Id="rId32" Type="http://schemas.openxmlformats.org/officeDocument/2006/relationships/image" Target="media/image13.png"/><Relationship Id="rId33" Type="http://schemas.openxmlformats.org/officeDocument/2006/relationships/image" Target="media/image14.png"/><Relationship Id="rId34" Type="http://schemas.openxmlformats.org/officeDocument/2006/relationships/image" Target="media/image15.png"/><Relationship Id="rId35" Type="http://schemas.openxmlformats.org/officeDocument/2006/relationships/image" Target="media/image16.jpeg"/><Relationship Id="rId8" Type="http://schemas.openxmlformats.org/officeDocument/2006/relationships/hyperlink" Target="https://www.sec.gov/Archives/edgar/data/1441816/000144181621000054/forms-8fy22evergreen.htm" TargetMode="External"/><Relationship Id="rId9" Type="http://schemas.openxmlformats.org/officeDocument/2006/relationships/hyperlink" Target="https://www.sec.gov/Archives/edgar/data/1441816/000144181622000062/forms-8fy23evergreen.htm" TargetMode="External"/><Relationship Id="rId10" Type="http://schemas.openxmlformats.org/officeDocument/2006/relationships/hyperlink" Target="https://www.sec.gov/Archives/edgar/data/1441816/000144181623000029/forms-8fy24evergreen.htm" TargetMode="External"/><Relationship Id="rId11" Type="http://schemas.openxmlformats.org/officeDocument/2006/relationships/hyperlink" Target="https://www.sec.gov/Archives/edgar/data/1441816/000144181624000051/forms-8fy25evergreen.htm" TargetMode="External"/><Relationship Id="rId12" Type="http://schemas.openxmlformats.org/officeDocument/2006/relationships/hyperlink" Target="https://www.sec.gov/Archives/edgar/data/1441816/000110465917061608/a17-23041_18a12b.htm" TargetMode="External"/><Relationship Id="rId14" Type="http://schemas.openxmlformats.org/officeDocument/2006/relationships/hyperlink" Target="https://www.sec.gov/Archives/edgar/data/1441816/000110465917063753/a17-24439_1ex3d1.htm" TargetMode="External"/><Relationship Id="rId15" Type="http://schemas.openxmlformats.org/officeDocument/2006/relationships/hyperlink" Target="https://www.sec.gov/Archives/edgar/data/1441816/000144181624000247/amendedandrestatedbylawsof.htm" TargetMode="External"/><Relationship Id="rId16" Type="http://schemas.openxmlformats.org/officeDocument/2006/relationships/hyperlink" Target="https://www.sec.gov/Archives/edgar/data/1441816/000104746917006246/a2233386zex-4_1.htm" TargetMode="External"/><Relationship Id="rId17" Type="http://schemas.openxmlformats.org/officeDocument/2006/relationships/hyperlink" Target="https://www.sec.gov/Archives/edgar/data/0001441816/000144181620000114/mdb-certificateofretir.htm" TargetMode="External"/><Relationship Id="rId18" Type="http://schemas.openxmlformats.org/officeDocument/2006/relationships/hyperlink" Target="https://www.sec.gov/Archives/edgar/data/1441816/000144181624000049/mdb-exx44descriptionofstock.htm" TargetMode="External"/><Relationship Id="rId19" Type="http://schemas.openxmlformats.org/officeDocument/2006/relationships/hyperlink" Target="https://www.sec.gov/Archives/edgar/data/1441816/000104746917006246/a2233386zex-10_2.htm" TargetMode="External"/><Relationship Id="rId20" Type="http://schemas.openxmlformats.org/officeDocument/2006/relationships/hyperlink" Target="https://www.sec.gov/Archives/edgar/data/1441816/000104746917006246/a2233386zex-10_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2025-03-21T05:46:06Z</dcterms:created>
  <dcterms:modified xsi:type="dcterms:W3CDTF">2025-03-21T05:46:06Z</dcterms:modified>
</cp:coreProperties>
</file>