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629285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78"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1"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8-K</w:t>
      </w:r>
    </w:p>
    <w:p>
      <w:pPr>
        <w:ind w:left="5040"/>
        <w:spacing w:after="0"/>
        <w:rPr>
          <w:sz w:val="20"/>
          <w:szCs w:val="20"/>
          <w:color w:val="auto"/>
        </w:rPr>
      </w:pPr>
      <w:r>
        <w:rPr>
          <w:rFonts w:ascii="Arial" w:cs="Arial" w:eastAsia="Arial" w:hAnsi="Arial"/>
          <w:sz w:val="14"/>
          <w:szCs w:val="14"/>
          <w:color w:val="auto"/>
        </w:rPr>
        <w:t>___________________</w:t>
      </w:r>
    </w:p>
    <w:p>
      <w:pPr>
        <w:spacing w:after="0" w:line="200" w:lineRule="exact"/>
        <w:rPr>
          <w:sz w:val="24"/>
          <w:szCs w:val="24"/>
          <w:color w:val="auto"/>
        </w:rPr>
      </w:pP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March 13, 2018</w:t>
      </w:r>
    </w:p>
    <w:p>
      <w:pPr>
        <w:spacing w:after="0" w:line="323"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MONGODB, INC.</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200" w:lineRule="exact"/>
        <w:rPr>
          <w:sz w:val="24"/>
          <w:szCs w:val="24"/>
          <w:color w:val="auto"/>
        </w:rPr>
      </w:pPr>
    </w:p>
    <w:p>
      <w:pPr>
        <w:spacing w:after="0" w:line="379" w:lineRule="exact"/>
        <w:rPr>
          <w:sz w:val="24"/>
          <w:szCs w:val="24"/>
          <w:color w:val="auto"/>
        </w:rPr>
      </w:pPr>
    </w:p>
    <w:tbl>
      <w:tblPr>
        <w:tblLayout w:type="fixed"/>
        <w:tblInd w:w="720" w:type="dxa"/>
        <w:tblCellMar>
          <w:top w:w="0" w:type="dxa"/>
          <w:left w:w="0" w:type="dxa"/>
          <w:bottom w:w="0" w:type="dxa"/>
          <w:right w:w="0" w:type="dxa"/>
        </w:tblCellMar>
      </w:tblPr>
      <w:tr>
        <w:trPr>
          <w:trHeight w:val="256"/>
        </w:trPr>
        <w:tc>
          <w:tcPr>
            <w:tcW w:w="2840" w:type="dxa"/>
            <w:vAlign w:val="bottom"/>
          </w:tcPr>
          <w:p>
            <w:pPr>
              <w:jc w:val="center"/>
              <w:ind w:right="279"/>
              <w:spacing w:after="0"/>
              <w:rPr>
                <w:sz w:val="20"/>
                <w:szCs w:val="20"/>
                <w:color w:val="auto"/>
              </w:rPr>
            </w:pPr>
            <w:r>
              <w:rPr>
                <w:rFonts w:ascii="Arial" w:cs="Arial" w:eastAsia="Arial" w:hAnsi="Arial"/>
                <w:sz w:val="20"/>
                <w:szCs w:val="20"/>
                <w:b w:val="1"/>
                <w:bCs w:val="1"/>
                <w:color w:val="auto"/>
                <w:w w:val="91"/>
              </w:rPr>
              <w:t>Delaware</w:t>
            </w:r>
          </w:p>
        </w:tc>
        <w:tc>
          <w:tcPr>
            <w:tcW w:w="4720" w:type="dxa"/>
            <w:vAlign w:val="bottom"/>
          </w:tcPr>
          <w:p>
            <w:pPr>
              <w:jc w:val="right"/>
              <w:ind w:right="1979"/>
              <w:spacing w:after="0"/>
              <w:rPr>
                <w:sz w:val="20"/>
                <w:szCs w:val="20"/>
                <w:color w:val="auto"/>
              </w:rPr>
            </w:pPr>
            <w:r>
              <w:rPr>
                <w:rFonts w:ascii="Arial" w:cs="Arial" w:eastAsia="Arial" w:hAnsi="Arial"/>
                <w:sz w:val="20"/>
                <w:szCs w:val="20"/>
                <w:b w:val="1"/>
                <w:bCs w:val="1"/>
                <w:color w:val="auto"/>
              </w:rPr>
              <w:t>001-38240</w:t>
            </w:r>
          </w:p>
        </w:tc>
        <w:tc>
          <w:tcPr>
            <w:tcW w:w="1760" w:type="dxa"/>
            <w:vAlign w:val="bottom"/>
          </w:tcPr>
          <w:p>
            <w:pPr>
              <w:jc w:val="right"/>
              <w:spacing w:after="0"/>
              <w:rPr>
                <w:sz w:val="20"/>
                <w:szCs w:val="20"/>
                <w:color w:val="auto"/>
              </w:rPr>
            </w:pPr>
            <w:r>
              <w:rPr>
                <w:rFonts w:ascii="Arial" w:cs="Arial" w:eastAsia="Arial" w:hAnsi="Arial"/>
                <w:sz w:val="20"/>
                <w:szCs w:val="20"/>
                <w:b w:val="1"/>
                <w:bCs w:val="1"/>
                <w:color w:val="auto"/>
              </w:rPr>
              <w:t>26-1463205</w:t>
            </w:r>
          </w:p>
        </w:tc>
      </w:tr>
      <w:tr>
        <w:trPr>
          <w:trHeight w:val="167"/>
        </w:trPr>
        <w:tc>
          <w:tcPr>
            <w:tcW w:w="2840" w:type="dxa"/>
            <w:vAlign w:val="bottom"/>
          </w:tcPr>
          <w:p>
            <w:pPr>
              <w:jc w:val="center"/>
              <w:ind w:right="299"/>
              <w:spacing w:after="0"/>
              <w:rPr>
                <w:sz w:val="20"/>
                <w:szCs w:val="20"/>
                <w:color w:val="auto"/>
              </w:rPr>
            </w:pPr>
            <w:r>
              <w:rPr>
                <w:rFonts w:ascii="Arial" w:cs="Arial" w:eastAsia="Arial" w:hAnsi="Arial"/>
                <w:sz w:val="13"/>
                <w:szCs w:val="13"/>
                <w:b w:val="1"/>
                <w:bCs w:val="1"/>
                <w:color w:val="auto"/>
                <w:w w:val="89"/>
              </w:rPr>
              <w:t>(State or Other Jurisdiction</w:t>
            </w:r>
          </w:p>
        </w:tc>
        <w:tc>
          <w:tcPr>
            <w:tcW w:w="4720" w:type="dxa"/>
            <w:vAlign w:val="bottom"/>
          </w:tcPr>
          <w:p>
            <w:pPr>
              <w:jc w:val="center"/>
              <w:ind w:right="179"/>
              <w:spacing w:after="0"/>
              <w:rPr>
                <w:sz w:val="20"/>
                <w:szCs w:val="20"/>
                <w:color w:val="auto"/>
              </w:rPr>
            </w:pPr>
            <w:r>
              <w:rPr>
                <w:rFonts w:ascii="Arial" w:cs="Arial" w:eastAsia="Arial" w:hAnsi="Arial"/>
                <w:sz w:val="13"/>
                <w:szCs w:val="13"/>
                <w:b w:val="1"/>
                <w:bCs w:val="1"/>
                <w:color w:val="auto"/>
                <w:w w:val="88"/>
              </w:rPr>
              <w:t>(Commission File Number)</w:t>
            </w:r>
          </w:p>
        </w:tc>
        <w:tc>
          <w:tcPr>
            <w:tcW w:w="1760" w:type="dxa"/>
            <w:vAlign w:val="bottom"/>
          </w:tcPr>
          <w:p>
            <w:pPr>
              <w:jc w:val="center"/>
              <w:ind w:left="703"/>
              <w:spacing w:after="0"/>
              <w:rPr>
                <w:sz w:val="20"/>
                <w:szCs w:val="20"/>
                <w:color w:val="auto"/>
              </w:rPr>
            </w:pPr>
            <w:r>
              <w:rPr>
                <w:rFonts w:ascii="Arial" w:cs="Arial" w:eastAsia="Arial" w:hAnsi="Arial"/>
                <w:sz w:val="13"/>
                <w:szCs w:val="13"/>
                <w:b w:val="1"/>
                <w:bCs w:val="1"/>
                <w:color w:val="auto"/>
                <w:w w:val="92"/>
              </w:rPr>
              <w:t>(IRS Employer</w:t>
            </w:r>
          </w:p>
        </w:tc>
      </w:tr>
      <w:tr>
        <w:trPr>
          <w:trHeight w:val="164"/>
        </w:trPr>
        <w:tc>
          <w:tcPr>
            <w:tcW w:w="2840" w:type="dxa"/>
            <w:vAlign w:val="bottom"/>
          </w:tcPr>
          <w:p>
            <w:pPr>
              <w:jc w:val="center"/>
              <w:ind w:right="299"/>
              <w:spacing w:after="0"/>
              <w:rPr>
                <w:sz w:val="20"/>
                <w:szCs w:val="20"/>
                <w:color w:val="auto"/>
              </w:rPr>
            </w:pPr>
            <w:r>
              <w:rPr>
                <w:rFonts w:ascii="Arial" w:cs="Arial" w:eastAsia="Arial" w:hAnsi="Arial"/>
                <w:sz w:val="13"/>
                <w:szCs w:val="13"/>
                <w:b w:val="1"/>
                <w:bCs w:val="1"/>
                <w:color w:val="auto"/>
                <w:w w:val="90"/>
              </w:rPr>
              <w:t>of Incorporation)</w:t>
            </w:r>
          </w:p>
        </w:tc>
        <w:tc>
          <w:tcPr>
            <w:tcW w:w="4720" w:type="dxa"/>
            <w:vAlign w:val="bottom"/>
          </w:tcPr>
          <w:p>
            <w:pPr>
              <w:spacing w:after="0"/>
              <w:rPr>
                <w:sz w:val="14"/>
                <w:szCs w:val="14"/>
                <w:color w:val="auto"/>
              </w:rPr>
            </w:pPr>
          </w:p>
        </w:tc>
        <w:tc>
          <w:tcPr>
            <w:tcW w:w="1760" w:type="dxa"/>
            <w:vAlign w:val="bottom"/>
          </w:tcPr>
          <w:p>
            <w:pPr>
              <w:jc w:val="center"/>
              <w:ind w:left="683"/>
              <w:spacing w:after="0"/>
              <w:rPr>
                <w:sz w:val="20"/>
                <w:szCs w:val="20"/>
                <w:color w:val="auto"/>
              </w:rPr>
            </w:pPr>
            <w:r>
              <w:rPr>
                <w:rFonts w:ascii="Arial" w:cs="Arial" w:eastAsia="Arial" w:hAnsi="Arial"/>
                <w:sz w:val="13"/>
                <w:szCs w:val="13"/>
                <w:b w:val="1"/>
                <w:bCs w:val="1"/>
                <w:color w:val="auto"/>
                <w:w w:val="91"/>
              </w:rPr>
              <w:t>Identification No.)</w:t>
            </w:r>
          </w:p>
        </w:tc>
      </w:tr>
      <w:tr>
        <w:trPr>
          <w:trHeight w:val="547"/>
        </w:trPr>
        <w:tc>
          <w:tcPr>
            <w:tcW w:w="2840" w:type="dxa"/>
            <w:vAlign w:val="bottom"/>
          </w:tcPr>
          <w:p>
            <w:pPr>
              <w:jc w:val="center"/>
              <w:ind w:right="299"/>
              <w:spacing w:after="0"/>
              <w:rPr>
                <w:sz w:val="20"/>
                <w:szCs w:val="20"/>
                <w:color w:val="auto"/>
              </w:rPr>
            </w:pPr>
            <w:r>
              <w:rPr>
                <w:rFonts w:ascii="Arial" w:cs="Arial" w:eastAsia="Arial" w:hAnsi="Arial"/>
                <w:sz w:val="20"/>
                <w:szCs w:val="20"/>
                <w:b w:val="1"/>
                <w:bCs w:val="1"/>
                <w:color w:val="auto"/>
                <w:w w:val="91"/>
              </w:rPr>
              <w:t>229 W. 43rd Street, 5th Floor</w:t>
            </w:r>
          </w:p>
        </w:tc>
        <w:tc>
          <w:tcPr>
            <w:tcW w:w="47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2840" w:type="dxa"/>
            <w:vAlign w:val="bottom"/>
          </w:tcPr>
          <w:p>
            <w:pPr>
              <w:jc w:val="center"/>
              <w:ind w:right="299"/>
              <w:spacing w:after="0"/>
              <w:rPr>
                <w:sz w:val="20"/>
                <w:szCs w:val="20"/>
                <w:color w:val="auto"/>
              </w:rPr>
            </w:pPr>
            <w:r>
              <w:rPr>
                <w:rFonts w:ascii="Arial" w:cs="Arial" w:eastAsia="Arial" w:hAnsi="Arial"/>
                <w:sz w:val="20"/>
                <w:szCs w:val="20"/>
                <w:b w:val="1"/>
                <w:bCs w:val="1"/>
                <w:color w:val="auto"/>
                <w:w w:val="93"/>
              </w:rPr>
              <w:t>New York, NY</w:t>
            </w:r>
          </w:p>
        </w:tc>
        <w:tc>
          <w:tcPr>
            <w:tcW w:w="4720" w:type="dxa"/>
            <w:vAlign w:val="bottom"/>
          </w:tcPr>
          <w:p>
            <w:pPr>
              <w:spacing w:after="0"/>
              <w:rPr>
                <w:sz w:val="23"/>
                <w:szCs w:val="23"/>
                <w:color w:val="auto"/>
              </w:rPr>
            </w:pPr>
          </w:p>
        </w:tc>
        <w:tc>
          <w:tcPr>
            <w:tcW w:w="1760" w:type="dxa"/>
            <w:vAlign w:val="bottom"/>
          </w:tcPr>
          <w:p>
            <w:pPr>
              <w:jc w:val="right"/>
              <w:ind w:right="163"/>
              <w:spacing w:after="0"/>
              <w:rPr>
                <w:sz w:val="20"/>
                <w:szCs w:val="20"/>
                <w:color w:val="auto"/>
              </w:rPr>
            </w:pPr>
            <w:r>
              <w:rPr>
                <w:rFonts w:ascii="Arial" w:cs="Arial" w:eastAsia="Arial" w:hAnsi="Arial"/>
                <w:sz w:val="20"/>
                <w:szCs w:val="20"/>
                <w:b w:val="1"/>
                <w:bCs w:val="1"/>
                <w:color w:val="auto"/>
              </w:rPr>
              <w:t>10036</w:t>
            </w:r>
          </w:p>
        </w:tc>
      </w:tr>
      <w:tr>
        <w:trPr>
          <w:trHeight w:val="196"/>
        </w:trPr>
        <w:tc>
          <w:tcPr>
            <w:tcW w:w="2840" w:type="dxa"/>
            <w:vAlign w:val="bottom"/>
          </w:tcPr>
          <w:p>
            <w:pPr>
              <w:jc w:val="center"/>
              <w:ind w:right="299"/>
              <w:spacing w:after="0"/>
              <w:rPr>
                <w:sz w:val="20"/>
                <w:szCs w:val="20"/>
                <w:color w:val="auto"/>
              </w:rPr>
            </w:pPr>
            <w:r>
              <w:rPr>
                <w:rFonts w:ascii="Arial" w:cs="Arial" w:eastAsia="Arial" w:hAnsi="Arial"/>
                <w:sz w:val="13"/>
                <w:szCs w:val="13"/>
                <w:b w:val="1"/>
                <w:bCs w:val="1"/>
                <w:color w:val="auto"/>
                <w:w w:val="86"/>
              </w:rPr>
              <w:t>(Address of Principal Executive Offices)</w:t>
            </w:r>
          </w:p>
        </w:tc>
        <w:tc>
          <w:tcPr>
            <w:tcW w:w="4720" w:type="dxa"/>
            <w:vAlign w:val="bottom"/>
          </w:tcPr>
          <w:p>
            <w:pPr>
              <w:spacing w:after="0"/>
              <w:rPr>
                <w:sz w:val="17"/>
                <w:szCs w:val="17"/>
                <w:color w:val="auto"/>
              </w:rPr>
            </w:pPr>
          </w:p>
        </w:tc>
        <w:tc>
          <w:tcPr>
            <w:tcW w:w="1760" w:type="dxa"/>
            <w:vAlign w:val="bottom"/>
          </w:tcPr>
          <w:p>
            <w:pPr>
              <w:jc w:val="center"/>
              <w:ind w:left="703"/>
              <w:spacing w:after="0"/>
              <w:rPr>
                <w:sz w:val="20"/>
                <w:szCs w:val="20"/>
                <w:color w:val="auto"/>
              </w:rPr>
            </w:pPr>
            <w:r>
              <w:rPr>
                <w:rFonts w:ascii="Arial" w:cs="Arial" w:eastAsia="Arial" w:hAnsi="Arial"/>
                <w:sz w:val="13"/>
                <w:szCs w:val="13"/>
                <w:b w:val="1"/>
                <w:bCs w:val="1"/>
                <w:color w:val="auto"/>
                <w:w w:val="90"/>
              </w:rPr>
              <w:t>(Zip Code)</w:t>
            </w:r>
          </w:p>
        </w:tc>
      </w:tr>
      <w:tr>
        <w:trPr>
          <w:trHeight w:val="389"/>
        </w:trPr>
        <w:tc>
          <w:tcPr>
            <w:tcW w:w="2840" w:type="dxa"/>
            <w:vAlign w:val="bottom"/>
          </w:tcPr>
          <w:p>
            <w:pPr>
              <w:spacing w:after="0"/>
              <w:rPr>
                <w:sz w:val="24"/>
                <w:szCs w:val="24"/>
                <w:color w:val="auto"/>
              </w:rPr>
            </w:pPr>
          </w:p>
        </w:tc>
        <w:tc>
          <w:tcPr>
            <w:tcW w:w="4720" w:type="dxa"/>
            <w:vAlign w:val="bottom"/>
          </w:tcPr>
          <w:p>
            <w:pPr>
              <w:jc w:val="center"/>
              <w:ind w:right="319"/>
              <w:spacing w:after="0"/>
              <w:rPr>
                <w:sz w:val="20"/>
                <w:szCs w:val="20"/>
                <w:color w:val="auto"/>
              </w:rPr>
            </w:pPr>
            <w:r>
              <w:rPr>
                <w:rFonts w:ascii="Arial" w:cs="Arial" w:eastAsia="Arial" w:hAnsi="Arial"/>
                <w:sz w:val="20"/>
                <w:szCs w:val="20"/>
                <w:b w:val="1"/>
                <w:bCs w:val="1"/>
                <w:color w:val="auto"/>
                <w:w w:val="89"/>
              </w:rPr>
              <w:t>646-727-4092</w:t>
            </w:r>
          </w:p>
        </w:tc>
        <w:tc>
          <w:tcPr>
            <w:tcW w:w="1760" w:type="dxa"/>
            <w:vAlign w:val="bottom"/>
          </w:tcPr>
          <w:p>
            <w:pPr>
              <w:spacing w:after="0"/>
              <w:rPr>
                <w:sz w:val="24"/>
                <w:szCs w:val="24"/>
                <w:color w:val="auto"/>
              </w:rPr>
            </w:pPr>
          </w:p>
        </w:tc>
      </w:tr>
      <w:tr>
        <w:trPr>
          <w:trHeight w:val="164"/>
        </w:trPr>
        <w:tc>
          <w:tcPr>
            <w:tcW w:w="2840" w:type="dxa"/>
            <w:vAlign w:val="bottom"/>
          </w:tcPr>
          <w:p>
            <w:pPr>
              <w:spacing w:after="0"/>
              <w:rPr>
                <w:sz w:val="14"/>
                <w:szCs w:val="14"/>
                <w:color w:val="auto"/>
              </w:rPr>
            </w:pPr>
          </w:p>
        </w:tc>
        <w:tc>
          <w:tcPr>
            <w:tcW w:w="4720" w:type="dxa"/>
            <w:vAlign w:val="bottom"/>
          </w:tcPr>
          <w:p>
            <w:pPr>
              <w:jc w:val="center"/>
              <w:ind w:right="339"/>
              <w:spacing w:after="0"/>
              <w:rPr>
                <w:sz w:val="20"/>
                <w:szCs w:val="20"/>
                <w:color w:val="auto"/>
              </w:rPr>
            </w:pPr>
            <w:r>
              <w:rPr>
                <w:rFonts w:ascii="Arial" w:cs="Arial" w:eastAsia="Arial" w:hAnsi="Arial"/>
                <w:sz w:val="13"/>
                <w:szCs w:val="13"/>
                <w:b w:val="1"/>
                <w:bCs w:val="1"/>
                <w:color w:val="auto"/>
                <w:w w:val="87"/>
              </w:rPr>
              <w:t>(Registrant’s Telephone Number, Including Area Code)</w:t>
            </w:r>
          </w:p>
        </w:tc>
        <w:tc>
          <w:tcPr>
            <w:tcW w:w="1760" w:type="dxa"/>
            <w:vAlign w:val="bottom"/>
          </w:tcPr>
          <w:p>
            <w:pPr>
              <w:spacing w:after="0"/>
              <w:rPr>
                <w:sz w:val="14"/>
                <w:szCs w:val="14"/>
                <w:color w:val="auto"/>
              </w:rPr>
            </w:pPr>
          </w:p>
        </w:tc>
      </w:tr>
      <w:tr>
        <w:trPr>
          <w:trHeight w:val="376"/>
        </w:trPr>
        <w:tc>
          <w:tcPr>
            <w:tcW w:w="2840" w:type="dxa"/>
            <w:vAlign w:val="bottom"/>
          </w:tcPr>
          <w:p>
            <w:pPr>
              <w:spacing w:after="0"/>
              <w:rPr>
                <w:sz w:val="24"/>
                <w:szCs w:val="24"/>
                <w:color w:val="auto"/>
              </w:rPr>
            </w:pPr>
          </w:p>
        </w:tc>
        <w:tc>
          <w:tcPr>
            <w:tcW w:w="4720" w:type="dxa"/>
            <w:vAlign w:val="bottom"/>
          </w:tcPr>
          <w:p>
            <w:pPr>
              <w:jc w:val="center"/>
              <w:ind w:right="339"/>
              <w:spacing w:after="0"/>
              <w:rPr>
                <w:sz w:val="20"/>
                <w:szCs w:val="20"/>
                <w:color w:val="auto"/>
              </w:rPr>
            </w:pPr>
            <w:r>
              <w:rPr>
                <w:rFonts w:ascii="Arial" w:cs="Arial" w:eastAsia="Arial" w:hAnsi="Arial"/>
                <w:sz w:val="20"/>
                <w:szCs w:val="20"/>
                <w:b w:val="1"/>
                <w:bCs w:val="1"/>
                <w:color w:val="auto"/>
                <w:w w:val="89"/>
              </w:rPr>
              <w:t>Not Applicable</w:t>
            </w:r>
          </w:p>
        </w:tc>
        <w:tc>
          <w:tcPr>
            <w:tcW w:w="1760" w:type="dxa"/>
            <w:vAlign w:val="bottom"/>
          </w:tcPr>
          <w:p>
            <w:pPr>
              <w:spacing w:after="0"/>
              <w:rPr>
                <w:sz w:val="24"/>
                <w:szCs w:val="24"/>
                <w:color w:val="auto"/>
              </w:rPr>
            </w:pPr>
          </w:p>
        </w:tc>
      </w:tr>
      <w:tr>
        <w:trPr>
          <w:trHeight w:val="164"/>
        </w:trPr>
        <w:tc>
          <w:tcPr>
            <w:tcW w:w="2840" w:type="dxa"/>
            <w:vAlign w:val="bottom"/>
          </w:tcPr>
          <w:p>
            <w:pPr>
              <w:spacing w:after="0"/>
              <w:rPr>
                <w:sz w:val="14"/>
                <w:szCs w:val="14"/>
                <w:color w:val="auto"/>
              </w:rPr>
            </w:pPr>
          </w:p>
        </w:tc>
        <w:tc>
          <w:tcPr>
            <w:tcW w:w="4720" w:type="dxa"/>
            <w:vAlign w:val="bottom"/>
          </w:tcPr>
          <w:p>
            <w:pPr>
              <w:jc w:val="center"/>
              <w:ind w:right="319"/>
              <w:spacing w:after="0"/>
              <w:rPr>
                <w:sz w:val="20"/>
                <w:szCs w:val="20"/>
                <w:color w:val="auto"/>
              </w:rPr>
            </w:pPr>
            <w:r>
              <w:rPr>
                <w:rFonts w:ascii="Arial" w:cs="Arial" w:eastAsia="Arial" w:hAnsi="Arial"/>
                <w:sz w:val="13"/>
                <w:szCs w:val="13"/>
                <w:b w:val="1"/>
                <w:bCs w:val="1"/>
                <w:color w:val="auto"/>
                <w:w w:val="88"/>
              </w:rPr>
              <w:t>(Former Name or Former Address, if Changed Since Last Report)</w:t>
            </w:r>
          </w:p>
        </w:tc>
        <w:tc>
          <w:tcPr>
            <w:tcW w:w="1760" w:type="dxa"/>
            <w:vAlign w:val="bottom"/>
          </w:tcPr>
          <w:p>
            <w:pPr>
              <w:spacing w:after="0"/>
              <w:rPr>
                <w:sz w:val="14"/>
                <w:szCs w:val="14"/>
                <w:color w:val="auto"/>
              </w:rPr>
            </w:pPr>
          </w:p>
        </w:tc>
      </w:tr>
    </w:tbl>
    <w:p>
      <w:pPr>
        <w:spacing w:after="0" w:line="146" w:lineRule="exact"/>
        <w:rPr>
          <w:sz w:val="24"/>
          <w:szCs w:val="24"/>
          <w:color w:val="auto"/>
        </w:rPr>
      </w:pPr>
    </w:p>
    <w:p>
      <w:pPr>
        <w:ind w:left="5040"/>
        <w:spacing w:after="0"/>
        <w:rPr>
          <w:sz w:val="20"/>
          <w:szCs w:val="20"/>
          <w:color w:val="auto"/>
        </w:rPr>
      </w:pPr>
      <w:r>
        <w:rPr>
          <w:rFonts w:ascii="Arial" w:cs="Arial" w:eastAsia="Arial" w:hAnsi="Arial"/>
          <w:sz w:val="14"/>
          <w:szCs w:val="14"/>
          <w:color w:val="auto"/>
        </w:rPr>
        <w:t>___________________</w:t>
      </w:r>
    </w:p>
    <w:p>
      <w:pPr>
        <w:spacing w:after="0" w:line="168"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16" w:lineRule="exact"/>
        <w:rPr>
          <w:sz w:val="24"/>
          <w:szCs w:val="24"/>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60" w:hanging="438"/>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04" w:lineRule="exact"/>
        <w:rPr>
          <w:sz w:val="24"/>
          <w:szCs w:val="24"/>
          <w:color w:val="auto"/>
        </w:rPr>
      </w:pPr>
    </w:p>
    <w:p>
      <w:pPr>
        <w:ind w:left="20"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253365</wp:posOffset>
            </wp:positionV>
            <wp:extent cx="72377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37730"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270510</wp:posOffset>
            </wp:positionV>
            <wp:extent cx="72377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ectPr>
          <w:pgSz w:w="11900" w:h="16838" w:orient="portrait"/>
          <w:cols w:equalWidth="0" w:num="1">
            <w:col w:w="11360"/>
          </w:cols>
          <w:pgMar w:left="240" w:top="1138" w:right="29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180" w:firstLine="486"/>
        <w:spacing w:after="0" w:line="224" w:lineRule="exact"/>
        <w:rPr>
          <w:sz w:val="20"/>
          <w:szCs w:val="20"/>
          <w:color w:val="auto"/>
        </w:rPr>
      </w:pPr>
      <w:r>
        <w:rPr>
          <w:rFonts w:ascii="Arial" w:cs="Arial" w:eastAsia="Arial" w:hAnsi="Arial"/>
          <w:sz w:val="16"/>
          <w:szCs w:val="16"/>
          <w:color w:val="auto"/>
        </w:rPr>
        <w:t>On March 13, 2018, MongoDB, Inc. (the “Company”) issued a press release announcing its financial results for the fourth quarter and full fiscal year ended January 31, 2018. A copy of the press release is furnished as Exhibit 99.1 to this Current Report on Form 8</w:t>
      </w:r>
      <w:r>
        <w:rPr>
          <w:rFonts w:ascii="MS PGothic" w:cs="MS PGothic" w:eastAsia="MS PGothic" w:hAnsi="MS PGothic"/>
          <w:sz w:val="16"/>
          <w:szCs w:val="16"/>
          <w:color w:val="auto"/>
        </w:rPr>
        <w:t>‑</w:t>
      </w:r>
      <w:r>
        <w:rPr>
          <w:rFonts w:ascii="Arial" w:cs="Arial" w:eastAsia="Arial" w:hAnsi="Arial"/>
          <w:sz w:val="16"/>
          <w:szCs w:val="16"/>
          <w:color w:val="auto"/>
        </w:rPr>
        <w:t>K and is incorporated by reference.</w:t>
      </w:r>
    </w:p>
    <w:p>
      <w:pPr>
        <w:spacing w:after="0" w:line="94" w:lineRule="exact"/>
        <w:rPr>
          <w:sz w:val="20"/>
          <w:szCs w:val="20"/>
          <w:color w:val="auto"/>
        </w:rPr>
      </w:pPr>
    </w:p>
    <w:p>
      <w:pPr>
        <w:ind w:right="160" w:firstLine="486"/>
        <w:spacing w:after="0" w:line="286" w:lineRule="auto"/>
        <w:rPr>
          <w:sz w:val="20"/>
          <w:szCs w:val="20"/>
          <w:color w:val="auto"/>
        </w:rPr>
      </w:pPr>
      <w:r>
        <w:rPr>
          <w:rFonts w:ascii="Arial" w:cs="Arial" w:eastAsia="Arial" w:hAnsi="Arial"/>
          <w:sz w:val="17"/>
          <w:szCs w:val="17"/>
          <w:color w:val="auto"/>
        </w:rPr>
        <w:t>The information furnished under this Item 2.02, including Exhibit 99.1, shall not be deemed “filed” for purposes of Section 18 of the Securities Exchange Act of 1934, as amended, or subject to the liabilities of that section. The information shall not be deemed incorporated by reference into any other filing with the Securities and Exchange Commission made by the Company, regardless of any general incorporation language in such filing.</w:t>
      </w:r>
    </w:p>
    <w:p>
      <w:pPr>
        <w:spacing w:after="0" w:line="378" w:lineRule="exact"/>
        <w:rPr>
          <w:sz w:val="20"/>
          <w:szCs w:val="20"/>
          <w:color w:val="auto"/>
        </w:rPr>
      </w:pPr>
    </w:p>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On March 9, 2018, Carlos Delatorre informed the Company of his intention to resign from his role as Chief Revenue Officer effective May 4, 2018, after the completion of the Company's first quarter of fiscal 2019. The amended and restated offer letter between the Company and Mr. Delatorre, dated September 29, 2017, will terminate as of the date of Mr. Delatorre’s termination.</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gridSpan w:val="2"/>
          </w:tcPr>
          <w:p>
            <w:pPr>
              <w:ind w:left="220"/>
              <w:spacing w:after="0"/>
              <w:rPr>
                <w:sz w:val="20"/>
                <w:szCs w:val="20"/>
                <w:color w:val="auto"/>
              </w:rPr>
            </w:pPr>
            <w:r>
              <w:rPr>
                <w:rFonts w:ascii="Arial" w:cs="Arial" w:eastAsia="Arial" w:hAnsi="Arial"/>
                <w:sz w:val="18"/>
                <w:szCs w:val="18"/>
                <w:color w:val="auto"/>
              </w:rPr>
              <w:t>Exhibit No.</w:t>
            </w:r>
          </w:p>
        </w:tc>
        <w:tc>
          <w:tcPr>
            <w:tcW w:w="2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7"/>
        </w:trPr>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7240" w:type="dxa"/>
            <w:vAlign w:val="bottom"/>
            <w:tcBorders>
              <w:bottom w:val="single" w:sz="8" w:color="auto"/>
            </w:tcBorders>
          </w:tcPr>
          <w:p>
            <w:pPr>
              <w:spacing w:after="0"/>
              <w:rPr>
                <w:sz w:val="2"/>
                <w:szCs w:val="2"/>
                <w:color w:val="auto"/>
              </w:rPr>
            </w:pPr>
          </w:p>
        </w:tc>
      </w:tr>
      <w:tr>
        <w:trPr>
          <w:trHeight w:val="196"/>
        </w:trPr>
        <w:tc>
          <w:tcPr>
            <w:tcW w:w="1260" w:type="dxa"/>
            <w:vAlign w:val="bottom"/>
          </w:tcPr>
          <w:p>
            <w:pPr>
              <w:jc w:val="right"/>
              <w:ind w:right="810"/>
              <w:spacing w:after="0" w:line="196" w:lineRule="exact"/>
              <w:rPr>
                <w:sz w:val="20"/>
                <w:szCs w:val="20"/>
                <w:color w:val="auto"/>
              </w:rPr>
            </w:pPr>
            <w:r>
              <w:rPr>
                <w:rFonts w:ascii="Arial" w:cs="Arial" w:eastAsia="Arial" w:hAnsi="Arial"/>
                <w:sz w:val="18"/>
                <w:szCs w:val="18"/>
                <w:color w:val="auto"/>
                <w:w w:val="96"/>
              </w:rPr>
              <w:t>99.1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60" w:type="dxa"/>
            <w:vAlign w:val="bottom"/>
            <w:tcBorders>
              <w:bottom w:val="single" w:sz="8" w:color="0000FF"/>
            </w:tcBorders>
          </w:tcPr>
          <w:p>
            <w:pPr>
              <w:spacing w:after="0" w:line="196" w:lineRule="exact"/>
              <w:rPr>
                <w:rFonts w:ascii="Arial" w:cs="Arial" w:eastAsia="Arial" w:hAnsi="Arial"/>
                <w:sz w:val="18"/>
                <w:szCs w:val="18"/>
                <w:color w:val="0000FF"/>
                <w:w w:val="87"/>
              </w:rPr>
            </w:pPr>
            <w:hyperlink w:anchor="page4">
              <w:r>
                <w:rPr>
                  <w:rFonts w:ascii="Arial" w:cs="Arial" w:eastAsia="Arial" w:hAnsi="Arial"/>
                  <w:sz w:val="18"/>
                  <w:szCs w:val="18"/>
                  <w:color w:val="0000FF"/>
                  <w:w w:val="87"/>
                </w:rPr>
                <w:t>Press Release dated March 13, 2018.</w:t>
              </w:r>
            </w:hyperlink>
          </w:p>
        </w:tc>
        <w:tc>
          <w:tcPr>
            <w:tcW w:w="7240" w:type="dxa"/>
            <w:vAlign w:val="bottom"/>
          </w:tcPr>
          <w:p>
            <w:pPr>
              <w:spacing w:after="0"/>
              <w:rPr>
                <w:sz w:val="17"/>
                <w:szCs w:val="17"/>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MONGODB,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0"/>
        <w:spacing w:after="0"/>
        <w:tabs>
          <w:tab w:leader="none" w:pos="5500" w:val="left"/>
          <w:tab w:leader="none" w:pos="6280" w:val="left"/>
        </w:tabs>
        <w:rPr>
          <w:sz w:val="20"/>
          <w:szCs w:val="20"/>
          <w:color w:val="auto"/>
        </w:rPr>
      </w:pPr>
      <w:r>
        <w:rPr>
          <w:rFonts w:ascii="Arial" w:cs="Arial" w:eastAsia="Arial" w:hAnsi="Arial"/>
          <w:sz w:val="18"/>
          <w:szCs w:val="18"/>
          <w:color w:val="auto"/>
        </w:rPr>
        <w:t>Dated: March 13,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Dev Ittycheria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190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53"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Dev Ittycheria</w:t>
      </w:r>
    </w:p>
    <w:p>
      <w:pPr>
        <w:spacing w:after="0" w:line="27"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 xml:space="preserve">Title: </w:t>
      </w:r>
      <w:r>
        <w:rPr>
          <w:rFonts w:ascii="Arial" w:cs="Arial" w:eastAsia="Arial" w:hAnsi="Arial"/>
          <w:sz w:val="18"/>
          <w:szCs w:val="18"/>
          <w:color w:val="auto"/>
        </w:rPr>
        <w:t>President and Chief Executive Officer</w:t>
      </w:r>
    </w:p>
    <w:p>
      <w:pPr>
        <w:sectPr>
          <w:pgSz w:w="11900" w:h="16838" w:orient="portrait"/>
          <w:cols w:equalWidth="0" w:num="1">
            <w:col w:w="11280"/>
          </w:cols>
          <w:pgMar w:left="240" w:top="58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MongoDB, Inc. Announces Fourth Quarter and Full Year Fiscal 2018 Financial Results</w:t>
      </w:r>
    </w:p>
    <w:p>
      <w:pPr>
        <w:spacing w:after="0" w:line="293" w:lineRule="exact"/>
        <w:rPr>
          <w:sz w:val="20"/>
          <w:szCs w:val="20"/>
          <w:color w:val="auto"/>
        </w:rPr>
      </w:pPr>
    </w:p>
    <w:p>
      <w:pPr>
        <w:jc w:val="center"/>
        <w:ind w:left="260" w:right="2460"/>
        <w:spacing w:after="0" w:line="442" w:lineRule="auto"/>
        <w:rPr>
          <w:sz w:val="20"/>
          <w:szCs w:val="20"/>
          <w:color w:val="auto"/>
        </w:rPr>
      </w:pPr>
      <w:r>
        <w:rPr>
          <w:rFonts w:ascii="Arial" w:cs="Arial" w:eastAsia="Arial" w:hAnsi="Arial"/>
          <w:sz w:val="16"/>
          <w:szCs w:val="16"/>
          <w:b w:val="1"/>
          <w:bCs w:val="1"/>
          <w:i w:val="1"/>
          <w:iCs w:val="1"/>
          <w:color w:val="auto"/>
        </w:rPr>
        <w:t>Fourth Quarter Fiscal 2018 Total Revenue of $45.0 million, up 50% Year-over-Year Full Year Fiscal 2018 Total Revenue of $154.5 million, up 52% Year-over-Year Over 5,700 Customers at End of Fiscal 2018, up 78% Year-over-Year MongoDB Atlas Revenue Over 10% of Total Q4 Revenue, up over 500% Year-over-Year</w:t>
      </w:r>
    </w:p>
    <w:p>
      <w:pPr>
        <w:spacing w:after="0" w:line="311" w:lineRule="exact"/>
        <w:rPr>
          <w:sz w:val="20"/>
          <w:szCs w:val="20"/>
          <w:color w:val="auto"/>
        </w:rPr>
      </w:pPr>
    </w:p>
    <w:p>
      <w:pPr>
        <w:ind w:right="280"/>
        <w:spacing w:after="0" w:line="267" w:lineRule="auto"/>
        <w:rPr>
          <w:sz w:val="20"/>
          <w:szCs w:val="20"/>
          <w:color w:val="auto"/>
        </w:rPr>
      </w:pPr>
      <w:r>
        <w:rPr>
          <w:rFonts w:ascii="Arial" w:cs="Arial" w:eastAsia="Arial" w:hAnsi="Arial"/>
          <w:sz w:val="20"/>
          <w:szCs w:val="20"/>
          <w:b w:val="1"/>
          <w:bCs w:val="1"/>
          <w:color w:val="auto"/>
        </w:rPr>
        <w:t xml:space="preserve">New York City, New York - March 13, 2018 - </w:t>
      </w:r>
      <w:r>
        <w:rPr>
          <w:rFonts w:ascii="Arial" w:cs="Arial" w:eastAsia="Arial" w:hAnsi="Arial"/>
          <w:sz w:val="20"/>
          <w:szCs w:val="20"/>
          <w:color w:val="auto"/>
        </w:rPr>
        <w:t>MongoDB, Inc. (NASDAQ: MDB), the leading modern, general purpose database platform,</w:t>
      </w:r>
      <w:r>
        <w:rPr>
          <w:rFonts w:ascii="Arial" w:cs="Arial" w:eastAsia="Arial" w:hAnsi="Arial"/>
          <w:sz w:val="20"/>
          <w:szCs w:val="20"/>
          <w:b w:val="1"/>
          <w:bCs w:val="1"/>
          <w:color w:val="auto"/>
        </w:rPr>
        <w:t xml:space="preserve"> </w:t>
      </w:r>
      <w:r>
        <w:rPr>
          <w:rFonts w:ascii="Arial" w:cs="Arial" w:eastAsia="Arial" w:hAnsi="Arial"/>
          <w:sz w:val="20"/>
          <w:szCs w:val="20"/>
          <w:color w:val="auto"/>
        </w:rPr>
        <w:t>today announced its financial results for the fourth quarter and fiscal year ended January 31, 2018.</w:t>
      </w:r>
    </w:p>
    <w:p>
      <w:pPr>
        <w:spacing w:after="0" w:line="224"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“MongoDB’s fourth quarter results capped a milestone year for the company and were highlighted by strong customer additions and 50% revenue growth,” said Dev Ittycheria, President and Chief Executive Officer of MongoDB. “A rapidly growing number of customers recognize that MongoDB offers a superior way to work with data, the ability to intelligently put data where it is needed and the freedom to run anywhere. Moreover, we are very pleased with the continued rapid growth of MongoDB Atlas, which reflects increasing demand for a flexible, high performance and cost-effective database-as-a-service offering.”</w:t>
      </w:r>
    </w:p>
    <w:p>
      <w:pPr>
        <w:spacing w:after="0" w:line="141"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Ittycheria added, “The recent announcement that MongoDB 4.0 will support multi-document ACID transactions is a major product breakthrough. With this new capability, we believe that our modern general purpose database platform can address any possible use case far better than a traditional database. In fiscal 2019, we intend to build on our market and product momentum and are well positioned to drive continued strong revenue growth.”</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Fiscal 2018 Financial Highlights</w:t>
      </w:r>
    </w:p>
    <w:p>
      <w:pPr>
        <w:spacing w:after="0" w:line="162" w:lineRule="exact"/>
        <w:rPr>
          <w:sz w:val="20"/>
          <w:szCs w:val="20"/>
          <w:color w:val="auto"/>
        </w:rPr>
      </w:pPr>
    </w:p>
    <w:p>
      <w:pPr>
        <w:ind w:left="660" w:right="220" w:hanging="328"/>
        <w:spacing w:after="0" w:line="393" w:lineRule="auto"/>
        <w:tabs>
          <w:tab w:leader="none" w:pos="660" w:val="left"/>
        </w:tabs>
        <w:numPr>
          <w:ilvl w:val="0"/>
          <w:numId w:val="2"/>
        </w:numPr>
        <w:rPr>
          <w:rFonts w:ascii="Arial" w:cs="Arial" w:eastAsia="Arial" w:hAnsi="Arial"/>
          <w:sz w:val="15"/>
          <w:szCs w:val="15"/>
          <w:color w:val="auto"/>
        </w:rPr>
      </w:pPr>
      <w:r>
        <w:rPr>
          <w:rFonts w:ascii="Arial" w:cs="Arial" w:eastAsia="Arial" w:hAnsi="Arial"/>
          <w:sz w:val="16"/>
          <w:szCs w:val="16"/>
          <w:b w:val="1"/>
          <w:bCs w:val="1"/>
          <w:color w:val="auto"/>
        </w:rPr>
        <w:t xml:space="preserve">Revenue: </w:t>
      </w:r>
      <w:r>
        <w:rPr>
          <w:rFonts w:ascii="Arial" w:cs="Arial" w:eastAsia="Arial" w:hAnsi="Arial"/>
          <w:sz w:val="16"/>
          <w:szCs w:val="16"/>
          <w:color w:val="auto"/>
        </w:rPr>
        <w:t>Total revenue was $45.0 million in the fourth quarter fiscal 2018, an increase of 50% year-over-year. Subscription revenue</w:t>
      </w:r>
      <w:r>
        <w:rPr>
          <w:rFonts w:ascii="Arial" w:cs="Arial" w:eastAsia="Arial" w:hAnsi="Arial"/>
          <w:sz w:val="16"/>
          <w:szCs w:val="16"/>
          <w:b w:val="1"/>
          <w:bCs w:val="1"/>
          <w:color w:val="auto"/>
        </w:rPr>
        <w:t xml:space="preserve"> </w:t>
      </w:r>
      <w:r>
        <w:rPr>
          <w:rFonts w:ascii="Arial" w:cs="Arial" w:eastAsia="Arial" w:hAnsi="Arial"/>
          <w:sz w:val="16"/>
          <w:szCs w:val="16"/>
          <w:color w:val="auto"/>
        </w:rPr>
        <w:t>was $41.9 million, an increase of 54% year-over-year, and services revenue was $3.2 million, an increase of 16% year-over-year.</w:t>
      </w:r>
    </w:p>
    <w:p>
      <w:pPr>
        <w:spacing w:after="0" w:line="18" w:lineRule="exact"/>
        <w:rPr>
          <w:rFonts w:ascii="Arial" w:cs="Arial" w:eastAsia="Arial" w:hAnsi="Arial"/>
          <w:sz w:val="15"/>
          <w:szCs w:val="15"/>
          <w:color w:val="auto"/>
        </w:rPr>
      </w:pPr>
    </w:p>
    <w:p>
      <w:pPr>
        <w:ind w:left="660" w:right="340" w:hanging="328"/>
        <w:spacing w:after="0" w:line="293"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 xml:space="preserve">Gross Profit: </w:t>
      </w:r>
      <w:r>
        <w:rPr>
          <w:rFonts w:ascii="Arial" w:cs="Arial" w:eastAsia="Arial" w:hAnsi="Arial"/>
          <w:sz w:val="19"/>
          <w:szCs w:val="19"/>
          <w:color w:val="auto"/>
        </w:rPr>
        <w:t>Gross profit was $32.6 million in the fourth quarter fiscal 2018, representing a 72% gross margin, consistent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year-ago period. Non-GAAP gross profit was $33.0 million, representing a 73% non-GAAP gross margin.</w:t>
      </w:r>
    </w:p>
    <w:p>
      <w:pPr>
        <w:spacing w:after="0" w:line="87" w:lineRule="exact"/>
        <w:rPr>
          <w:rFonts w:ascii="Arial" w:cs="Arial" w:eastAsia="Arial" w:hAnsi="Arial"/>
          <w:sz w:val="17"/>
          <w:szCs w:val="17"/>
          <w:color w:val="auto"/>
        </w:rPr>
      </w:pPr>
    </w:p>
    <w:p>
      <w:pPr>
        <w:ind w:left="660" w:right="400" w:hanging="328"/>
        <w:spacing w:after="0" w:line="323"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b w:val="1"/>
          <w:bCs w:val="1"/>
          <w:color w:val="auto"/>
        </w:rPr>
        <w:t xml:space="preserve">Loss from Operations: </w:t>
      </w:r>
      <w:r>
        <w:rPr>
          <w:rFonts w:ascii="Arial" w:cs="Arial" w:eastAsia="Arial" w:hAnsi="Arial"/>
          <w:sz w:val="18"/>
          <w:szCs w:val="18"/>
          <w:color w:val="auto"/>
        </w:rPr>
        <w:t>Loss from operations was $27.3 million in the fourth quarter fiscal 2018, compared to $21.3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year-ago period. Non-GAAP loss from operations was $21.1 million, compared to $16.8 million in the year-ago period.</w:t>
      </w:r>
    </w:p>
    <w:p>
      <w:pPr>
        <w:spacing w:after="0" w:line="64" w:lineRule="exact"/>
        <w:rPr>
          <w:rFonts w:ascii="Arial" w:cs="Arial" w:eastAsia="Arial" w:hAnsi="Arial"/>
          <w:sz w:val="16"/>
          <w:szCs w:val="16"/>
          <w:color w:val="auto"/>
        </w:rPr>
      </w:pPr>
    </w:p>
    <w:p>
      <w:pPr>
        <w:ind w:left="660" w:right="180" w:hanging="328"/>
        <w:spacing w:after="0" w:line="262"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9"/>
          <w:szCs w:val="19"/>
          <w:b w:val="1"/>
          <w:bCs w:val="1"/>
          <w:color w:val="auto"/>
        </w:rPr>
        <w:t xml:space="preserve">Net Loss: </w:t>
      </w:r>
      <w:r>
        <w:rPr>
          <w:rFonts w:ascii="Arial" w:cs="Arial" w:eastAsia="Arial" w:hAnsi="Arial"/>
          <w:sz w:val="19"/>
          <w:szCs w:val="19"/>
          <w:color w:val="auto"/>
        </w:rPr>
        <w:t>Net loss was $26.4 million, or $0.52 per share based on 50.3 million weighted-average shares outstanding, in the fourth</w:t>
      </w:r>
      <w:r>
        <w:rPr>
          <w:rFonts w:ascii="Arial" w:cs="Arial" w:eastAsia="Arial" w:hAnsi="Arial"/>
          <w:sz w:val="19"/>
          <w:szCs w:val="19"/>
          <w:b w:val="1"/>
          <w:bCs w:val="1"/>
          <w:color w:val="auto"/>
        </w:rPr>
        <w:t xml:space="preserve"> </w:t>
      </w:r>
      <w:r>
        <w:rPr>
          <w:rFonts w:ascii="Arial" w:cs="Arial" w:eastAsia="Arial" w:hAnsi="Arial"/>
          <w:sz w:val="19"/>
          <w:szCs w:val="19"/>
          <w:color w:val="auto"/>
        </w:rPr>
        <w:t>quarter fiscal 2018. This compares to $21.8 million, or $1.69 per share based on 12.9 million weighted-average shares outstanding, in the year-ago period. Non-GAAP net loss was $20.2 million, or $0.40 per share based on 50.3 million weighted-average shares outstanding, which we refer to as non-GAAP net loss per share. This compares to $17.2 million, or $0.44 per share based on 38.8 million non-GAAP weighted-average shares outstanding, in the year-ago period.</w:t>
      </w:r>
    </w:p>
    <w:p>
      <w:pPr>
        <w:spacing w:after="0" w:line="117" w:lineRule="exact"/>
        <w:rPr>
          <w:rFonts w:ascii="Arial" w:cs="Arial" w:eastAsia="Arial" w:hAnsi="Arial"/>
          <w:sz w:val="17"/>
          <w:szCs w:val="17"/>
          <w:color w:val="auto"/>
        </w:rPr>
      </w:pPr>
    </w:p>
    <w:p>
      <w:pPr>
        <w:ind w:left="660" w:right="200" w:hanging="328"/>
        <w:spacing w:after="0" w:line="248"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b w:val="1"/>
          <w:bCs w:val="1"/>
          <w:color w:val="auto"/>
        </w:rPr>
        <w:t xml:space="preserve">Cash Flow: </w:t>
      </w:r>
      <w:r>
        <w:rPr>
          <w:rFonts w:ascii="Arial" w:cs="Arial" w:eastAsia="Arial" w:hAnsi="Arial"/>
          <w:sz w:val="20"/>
          <w:szCs w:val="20"/>
          <w:color w:val="auto"/>
        </w:rPr>
        <w:t>As of January 31, 2018, MongoDB had $279.5 million in cash, cash equivalents, short-term investments and restricted</w:t>
      </w:r>
      <w:r>
        <w:rPr>
          <w:rFonts w:ascii="Arial" w:cs="Arial" w:eastAsia="Arial" w:hAnsi="Arial"/>
          <w:sz w:val="20"/>
          <w:szCs w:val="20"/>
          <w:b w:val="1"/>
          <w:bCs w:val="1"/>
          <w:color w:val="auto"/>
        </w:rPr>
        <w:t xml:space="preserve"> </w:t>
      </w:r>
      <w:r>
        <w:rPr>
          <w:rFonts w:ascii="Arial" w:cs="Arial" w:eastAsia="Arial" w:hAnsi="Arial"/>
          <w:sz w:val="20"/>
          <w:szCs w:val="20"/>
          <w:color w:val="auto"/>
        </w:rPr>
        <w:t>cash. During the three months ended January 31, 2018, MongoDB used $7.7 million of cash in operations and $0.4 million in capital expenditures, leading to negative free cash flow of $8.1 million, compared to negative free cash flow of $10.3 million in the year-ago period.</w:t>
      </w:r>
    </w:p>
    <w:p>
      <w:pPr>
        <w:spacing w:after="0" w:line="381"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6" w:right="2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Full Year Fiscal 2018 Financial Highlights</w:t>
      </w:r>
    </w:p>
    <w:p>
      <w:pPr>
        <w:spacing w:after="0" w:line="162" w:lineRule="exact"/>
        <w:rPr>
          <w:sz w:val="20"/>
          <w:szCs w:val="20"/>
          <w:color w:val="auto"/>
        </w:rPr>
      </w:pPr>
    </w:p>
    <w:p>
      <w:pPr>
        <w:ind w:left="660" w:right="100" w:hanging="328"/>
        <w:spacing w:after="0" w:line="32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Total revenue was $154.5 million for the full year fiscal 2018, an increase of 52% year-over-year. Subscription revenue was</w:t>
      </w:r>
      <w:r>
        <w:rPr>
          <w:rFonts w:ascii="Arial" w:cs="Arial" w:eastAsia="Arial" w:hAnsi="Arial"/>
          <w:sz w:val="18"/>
          <w:szCs w:val="18"/>
          <w:b w:val="1"/>
          <w:bCs w:val="1"/>
          <w:color w:val="auto"/>
        </w:rPr>
        <w:t xml:space="preserve"> </w:t>
      </w:r>
      <w:r>
        <w:rPr>
          <w:rFonts w:ascii="Arial" w:cs="Arial" w:eastAsia="Arial" w:hAnsi="Arial"/>
          <w:sz w:val="18"/>
          <w:szCs w:val="18"/>
          <w:color w:val="auto"/>
        </w:rPr>
        <w:t>$141.5 million, an increase of 55% year-over-year, and services revenue was $13.0 million, an increase of 29% year-over-year.</w:t>
      </w:r>
    </w:p>
    <w:p>
      <w:pPr>
        <w:spacing w:after="0" w:line="64" w:lineRule="exact"/>
        <w:rPr>
          <w:rFonts w:ascii="Arial" w:cs="Arial" w:eastAsia="Arial" w:hAnsi="Arial"/>
          <w:sz w:val="16"/>
          <w:szCs w:val="16"/>
          <w:color w:val="auto"/>
        </w:rPr>
      </w:pPr>
    </w:p>
    <w:p>
      <w:pPr>
        <w:jc w:val="both"/>
        <w:ind w:left="660" w:right="780" w:hanging="328"/>
        <w:spacing w:after="0" w:line="323"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Gross profit was $111.7 million for the full year fiscal 2018, representing a 72% gross margin, an improvement</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71% in the prior year. Non-GAAP gross profit was $112.9 million, representing a 73% non-GAAP gross margin.</w:t>
      </w:r>
    </w:p>
    <w:p>
      <w:pPr>
        <w:spacing w:after="0" w:line="64" w:lineRule="exact"/>
        <w:rPr>
          <w:rFonts w:ascii="Arial" w:cs="Arial" w:eastAsia="Arial" w:hAnsi="Arial"/>
          <w:sz w:val="16"/>
          <w:szCs w:val="16"/>
          <w:color w:val="auto"/>
        </w:rPr>
      </w:pPr>
    </w:p>
    <w:p>
      <w:pPr>
        <w:ind w:left="660" w:right="300" w:hanging="328"/>
        <w:spacing w:after="0" w:line="293"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9"/>
          <w:szCs w:val="19"/>
          <w:b w:val="1"/>
          <w:bCs w:val="1"/>
          <w:color w:val="auto"/>
        </w:rPr>
        <w:t xml:space="preserve">Loss from Operations: </w:t>
      </w:r>
      <w:r>
        <w:rPr>
          <w:rFonts w:ascii="Arial" w:cs="Arial" w:eastAsia="Arial" w:hAnsi="Arial"/>
          <w:sz w:val="19"/>
          <w:szCs w:val="19"/>
          <w:color w:val="auto"/>
        </w:rPr>
        <w:t>Loss from operations was $97.3 million for the full year fiscal 2018, compared to $85.9 million in the prior</w:t>
      </w:r>
      <w:r>
        <w:rPr>
          <w:rFonts w:ascii="Arial" w:cs="Arial" w:eastAsia="Arial" w:hAnsi="Arial"/>
          <w:sz w:val="19"/>
          <w:szCs w:val="19"/>
          <w:b w:val="1"/>
          <w:bCs w:val="1"/>
          <w:color w:val="auto"/>
        </w:rPr>
        <w:t xml:space="preserve"> </w:t>
      </w:r>
      <w:r>
        <w:rPr>
          <w:rFonts w:ascii="Arial" w:cs="Arial" w:eastAsia="Arial" w:hAnsi="Arial"/>
          <w:sz w:val="19"/>
          <w:szCs w:val="19"/>
          <w:color w:val="auto"/>
        </w:rPr>
        <w:t>year. Non-GAAP loss from operations was $76.0 million, compared to $64.9 million in the prior year.</w:t>
      </w:r>
    </w:p>
    <w:p>
      <w:pPr>
        <w:spacing w:after="0" w:line="87" w:lineRule="exact"/>
        <w:rPr>
          <w:rFonts w:ascii="Arial" w:cs="Arial" w:eastAsia="Arial" w:hAnsi="Arial"/>
          <w:sz w:val="17"/>
          <w:szCs w:val="17"/>
          <w:color w:val="auto"/>
        </w:rPr>
      </w:pPr>
    </w:p>
    <w:p>
      <w:pPr>
        <w:ind w:left="660" w:right="4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Net Loss: </w:t>
      </w:r>
      <w:r>
        <w:rPr>
          <w:rFonts w:ascii="Arial" w:cs="Arial" w:eastAsia="Arial" w:hAnsi="Arial"/>
          <w:sz w:val="20"/>
          <w:szCs w:val="20"/>
          <w:color w:val="auto"/>
        </w:rPr>
        <w:t>Net loss was $96.4 million, or $4.06 per share based on 23.7 million weighted-average shares outstanding, for the full year</w:t>
      </w:r>
      <w:r>
        <w:rPr>
          <w:rFonts w:ascii="Arial" w:cs="Arial" w:eastAsia="Arial" w:hAnsi="Arial"/>
          <w:sz w:val="20"/>
          <w:szCs w:val="20"/>
          <w:b w:val="1"/>
          <w:bCs w:val="1"/>
          <w:color w:val="auto"/>
        </w:rPr>
        <w:t xml:space="preserve"> </w:t>
      </w:r>
      <w:r>
        <w:rPr>
          <w:rFonts w:ascii="Arial" w:cs="Arial" w:eastAsia="Arial" w:hAnsi="Arial"/>
          <w:sz w:val="20"/>
          <w:szCs w:val="20"/>
          <w:color w:val="auto"/>
        </w:rPr>
        <w:t>fiscal 2018. This compares to $86.7 million, or $7.10 per share based on 12.2 million weighted-average shares outstanding, in the prior year. Non-GAAP net loss was $75.2 million, or $1.74 per share based on 43.2 million non-GAAP weighted-average shares outstanding. This compares to $65.7 million, or $1.73 per share based on 38.1 million non-GAAP weighted-average shares outstanding, in the prior year.</w:t>
      </w:r>
    </w:p>
    <w:p>
      <w:pPr>
        <w:spacing w:after="0" w:line="131" w:lineRule="exact"/>
        <w:rPr>
          <w:rFonts w:ascii="Arial" w:cs="Arial" w:eastAsia="Arial" w:hAnsi="Arial"/>
          <w:sz w:val="18"/>
          <w:szCs w:val="18"/>
          <w:color w:val="auto"/>
        </w:rPr>
      </w:pPr>
    </w:p>
    <w:p>
      <w:pPr>
        <w:ind w:left="660" w:right="20" w:hanging="328"/>
        <w:spacing w:after="0" w:line="253"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b w:val="1"/>
          <w:bCs w:val="1"/>
          <w:color w:val="auto"/>
        </w:rPr>
        <w:t xml:space="preserve">Cash Flow: </w:t>
      </w:r>
      <w:r>
        <w:rPr>
          <w:rFonts w:ascii="Arial" w:cs="Arial" w:eastAsia="Arial" w:hAnsi="Arial"/>
          <w:sz w:val="20"/>
          <w:szCs w:val="20"/>
          <w:color w:val="auto"/>
        </w:rPr>
        <w:t>During the twelve months ended January 31, 2018, MongoDB used $44.9 million of cash in operations and $2.1 million in</w:t>
      </w:r>
      <w:r>
        <w:rPr>
          <w:rFonts w:ascii="Arial" w:cs="Arial" w:eastAsia="Arial" w:hAnsi="Arial"/>
          <w:sz w:val="20"/>
          <w:szCs w:val="20"/>
          <w:b w:val="1"/>
          <w:bCs w:val="1"/>
          <w:color w:val="auto"/>
        </w:rPr>
        <w:t xml:space="preserve"> </w:t>
      </w:r>
      <w:r>
        <w:rPr>
          <w:rFonts w:ascii="Arial" w:cs="Arial" w:eastAsia="Arial" w:hAnsi="Arial"/>
          <w:sz w:val="20"/>
          <w:szCs w:val="20"/>
          <w:color w:val="auto"/>
        </w:rPr>
        <w:t>capital expenditures, leading to negative free cash flow of $47.0 million, compared to negative free cash flow of $39.8 million in the prior year.</w:t>
      </w:r>
    </w:p>
    <w:p>
      <w:pPr>
        <w:spacing w:after="0" w:line="130" w:lineRule="exact"/>
        <w:rPr>
          <w:sz w:val="20"/>
          <w:szCs w:val="20"/>
          <w:color w:val="auto"/>
        </w:rPr>
      </w:pPr>
    </w:p>
    <w:p>
      <w:pPr>
        <w:ind w:right="400"/>
        <w:spacing w:after="0" w:line="250" w:lineRule="auto"/>
        <w:rPr>
          <w:sz w:val="20"/>
          <w:szCs w:val="20"/>
          <w:color w:val="auto"/>
        </w:rPr>
      </w:pPr>
      <w:r>
        <w:rPr>
          <w:rFonts w:ascii="Arial" w:cs="Arial" w:eastAsia="Arial" w:hAnsi="Arial"/>
          <w:sz w:val="20"/>
          <w:szCs w:val="20"/>
          <w:color w:val="auto"/>
        </w:rPr>
        <w:t>A reconciliation of each Non-GAAP measure to the most directly comparable GAAP measure has been provided in the financial statement tables included at the end of this press release. An explanation of these measures is also included below under the heading “Non-GAAP Financial Measures.”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Fiscal 2018 and Recent Business Highlights</w:t>
      </w:r>
    </w:p>
    <w:p>
      <w:pPr>
        <w:spacing w:after="0" w:line="168" w:lineRule="exact"/>
        <w:rPr>
          <w:sz w:val="20"/>
          <w:szCs w:val="20"/>
          <w:color w:val="auto"/>
        </w:rPr>
      </w:pPr>
    </w:p>
    <w:p>
      <w:pPr>
        <w:ind w:left="660" w:right="80" w:hanging="328"/>
        <w:spacing w:after="0" w:line="259" w:lineRule="auto"/>
        <w:tabs>
          <w:tab w:leader="none" w:pos="660" w:val="left"/>
        </w:tabs>
        <w:numPr>
          <w:ilvl w:val="0"/>
          <w:numId w:val="4"/>
        </w:numPr>
        <w:rPr>
          <w:rFonts w:ascii="Arial" w:cs="Arial" w:eastAsia="Arial" w:hAnsi="Arial"/>
          <w:sz w:val="19"/>
          <w:szCs w:val="19"/>
          <w:color w:val="auto"/>
        </w:rPr>
      </w:pPr>
      <w:r>
        <w:rPr>
          <w:rFonts w:ascii="Arial" w:cs="Arial" w:eastAsia="Arial" w:hAnsi="Arial"/>
          <w:sz w:val="19"/>
          <w:szCs w:val="19"/>
          <w:color w:val="auto"/>
        </w:rPr>
        <w:t>Announced that MongoDB 4.0, scheduled for release in the summer of 2018, will extend ACID transaction support currently available in a single document to multiple documents. Transactions provide a set of guarantees for data integrity when making changes to the database. While single-document transactions are sufficient for most use cases, the addition of multi-document transactions gives companies the peace of mind to build any application on MongoDB. With the addition of transactions, we believe MongoDB will be the best choice for any use case, making it easier than ever for customers to choose MongoDB as their default database platform. The beta program for multi-document ACID transactions is currently underway with customers.</w:t>
      </w:r>
    </w:p>
    <w:p>
      <w:pPr>
        <w:spacing w:after="0" w:line="124" w:lineRule="exact"/>
        <w:rPr>
          <w:rFonts w:ascii="Arial" w:cs="Arial" w:eastAsia="Arial" w:hAnsi="Arial"/>
          <w:sz w:val="19"/>
          <w:szCs w:val="19"/>
          <w:color w:val="auto"/>
        </w:rPr>
      </w:pPr>
    </w:p>
    <w:p>
      <w:pPr>
        <w:ind w:left="660" w:hanging="328"/>
        <w:spacing w:after="0" w:line="246"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Saw significant momentum with MongoDB Atlas, our fully managed database-as-a-service offering. A year-and-a-half since its launch, Atlas now comprises 11% of total revenue for the fourth quarter fiscal 2018, representing over 500% year-over-year growth and over 40% quarter-over-quarter growth. Atlas has rapidly grown to more than 3,400 customers due to its strong product-market fit and customers’ embracing MongoDB’s “run anywhere” strategy.</w:t>
      </w:r>
    </w:p>
    <w:p>
      <w:pPr>
        <w:spacing w:after="0" w:line="137" w:lineRule="exact"/>
        <w:rPr>
          <w:rFonts w:ascii="Arial" w:cs="Arial" w:eastAsia="Arial" w:hAnsi="Arial"/>
          <w:sz w:val="20"/>
          <w:szCs w:val="20"/>
          <w:color w:val="auto"/>
        </w:rPr>
      </w:pPr>
    </w:p>
    <w:p>
      <w:pPr>
        <w:ind w:left="660" w:hanging="328"/>
        <w:spacing w:after="0" w:line="246"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Results from Stack Overflow’s Annual Developer Survey, which included more than 100,000 global respondents, were announced today. MongoDB was named the database developers most want to work with for the second year in a row. This report from the largest online community for developers is further demonstration of MongoDB’s clear leadership as the most popular next-generation database platform.</w:t>
      </w:r>
    </w:p>
    <w:p>
      <w:pPr>
        <w:spacing w:after="0" w:line="137" w:lineRule="exact"/>
        <w:rPr>
          <w:rFonts w:ascii="Arial" w:cs="Arial" w:eastAsia="Arial" w:hAnsi="Arial"/>
          <w:sz w:val="20"/>
          <w:szCs w:val="20"/>
          <w:color w:val="auto"/>
        </w:rPr>
      </w:pPr>
    </w:p>
    <w:p>
      <w:pPr>
        <w:ind w:left="660" w:right="80" w:hanging="328"/>
        <w:spacing w:after="0" w:line="28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Increased momentum in MongoDB’s partner ecosystem. In December 2017, MongoDB announced the availability of MongoDB Atlas on AWS Marketplace, making it easier for the more than 160,000 existing AWS customers to buy and consume MongoDB Atlas. MongoDB also joined the AWS </w:t>
      </w:r>
      <w:r>
        <w:rPr>
          <w:rFonts w:ascii="Arial" w:cs="Arial" w:eastAsia="Arial" w:hAnsi="Arial"/>
          <w:sz w:val="18"/>
          <w:szCs w:val="18"/>
          <w:color w:val="222222"/>
        </w:rPr>
        <w:t>SaaS Sales Alignment Program, enabling the AWS sales force to drive MongoDB Atlas revenue</w:t>
      </w:r>
      <w:r>
        <w:rPr>
          <w:rFonts w:ascii="Arial" w:cs="Arial" w:eastAsia="Arial" w:hAnsi="Arial"/>
          <w:sz w:val="18"/>
          <w:szCs w:val="18"/>
          <w:color w:val="auto"/>
        </w:rPr>
        <w:t xml:space="preserve"> </w:t>
      </w:r>
      <w:r>
        <w:rPr>
          <w:rFonts w:ascii="Arial" w:cs="Arial" w:eastAsia="Arial" w:hAnsi="Arial"/>
          <w:sz w:val="18"/>
          <w:szCs w:val="18"/>
          <w:color w:val="222222"/>
        </w:rPr>
        <w:t xml:space="preserve">through co-selling. </w:t>
      </w:r>
      <w:r>
        <w:rPr>
          <w:rFonts w:ascii="Arial" w:cs="Arial" w:eastAsia="Arial" w:hAnsi="Arial"/>
          <w:sz w:val="18"/>
          <w:szCs w:val="18"/>
          <w:color w:val="000000"/>
        </w:rPr>
        <w:t>MongoDB and Microsoft also launched a new co-sell program for MongoDB Atlas on Microsoft Azure.</w:t>
      </w:r>
    </w:p>
    <w:p>
      <w:pPr>
        <w:spacing w:after="0" w:line="353"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0" w:right="259" w:bottom="1440" w:gutter="0" w:footer="0" w:header="0"/>
        </w:sectPr>
      </w:pPr>
    </w:p>
    <w:bookmarkStart w:id="5" w:name="page6"/>
    <w:bookmarkEnd w:id="5"/>
    <w:p>
      <w:pPr>
        <w:ind w:left="660" w:right="80"/>
        <w:spacing w:after="0" w:line="289" w:lineRule="auto"/>
        <w:rPr>
          <w:sz w:val="20"/>
          <w:szCs w:val="20"/>
          <w:color w:val="auto"/>
        </w:rPr>
      </w:pPr>
      <w:r>
        <w:rPr>
          <w:rFonts w:ascii="Arial" w:cs="Arial" w:eastAsia="Arial" w:hAnsi="Arial"/>
          <w:sz w:val="20"/>
          <w:szCs w:val="20"/>
          <w:color w:val="auto"/>
        </w:rPr>
        <w:t>Furthermore, Tata Consulting Services developed a mainframe modernization practice built around MongoDB and elevated MongoDB as a Top 20 global strategic partner.</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Outlook</w:t>
      </w:r>
    </w:p>
    <w:p>
      <w:pPr>
        <w:spacing w:after="0" w:line="168"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Based on information as of today, March 13, 2018, MongoDB is issuing the following financial guidance for the first quarter and full year fiscal 2019:</w:t>
      </w:r>
    </w:p>
    <w:p>
      <w:pPr>
        <w:spacing w:after="0" w:line="284" w:lineRule="exact"/>
        <w:rPr>
          <w:sz w:val="20"/>
          <w:szCs w:val="20"/>
          <w:color w:val="auto"/>
        </w:rPr>
      </w:pPr>
    </w:p>
    <w:tbl>
      <w:tblPr>
        <w:tblLayout w:type="fixed"/>
        <w:tblInd w:w="47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92"/>
              </w:rPr>
              <w:t>First Quarter Fiscal 2019</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Full Year Fiscal 2019</w:t>
            </w:r>
          </w:p>
        </w:tc>
      </w:tr>
      <w:tr>
        <w:trPr>
          <w:trHeight w:val="27"/>
        </w:trPr>
        <w:tc>
          <w:tcPr>
            <w:tcW w:w="2980" w:type="dxa"/>
            <w:vAlign w:val="bottom"/>
            <w:tcBorders>
              <w:bottom w:val="single" w:sz="8" w:color="auto"/>
            </w:tcBorders>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r>
      <w:tr>
        <w:trPr>
          <w:trHeight w:val="32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Revenue</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$45.5 million to $46.5 million</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3"/>
              </w:rPr>
              <w:t>$211.0 million to $215.0 million</w:t>
            </w:r>
          </w:p>
        </w:tc>
      </w:tr>
      <w:tr>
        <w:trPr>
          <w:trHeight w:val="91"/>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3680" w:type="dxa"/>
            <w:vAlign w:val="bottom"/>
            <w:tcBorders>
              <w:bottom w:val="single" w:sz="8" w:color="auto"/>
              <w:right w:val="single" w:sz="8" w:color="auto"/>
            </w:tcBorders>
          </w:tcPr>
          <w:p>
            <w:pPr>
              <w:spacing w:after="0"/>
              <w:rPr>
                <w:sz w:val="7"/>
                <w:szCs w:val="7"/>
                <w:color w:val="auto"/>
              </w:rPr>
            </w:pPr>
          </w:p>
        </w:tc>
        <w:tc>
          <w:tcPr>
            <w:tcW w:w="3880" w:type="dxa"/>
            <w:vAlign w:val="bottom"/>
            <w:tcBorders>
              <w:bottom w:val="single" w:sz="8" w:color="auto"/>
              <w:right w:val="single" w:sz="8" w:color="auto"/>
            </w:tcBorders>
          </w:tcPr>
          <w:p>
            <w:pPr>
              <w:spacing w:after="0"/>
              <w:rPr>
                <w:sz w:val="7"/>
                <w:szCs w:val="7"/>
                <w:color w:val="auto"/>
              </w:rPr>
            </w:pPr>
          </w:p>
        </w:tc>
      </w:tr>
      <w:tr>
        <w:trPr>
          <w:trHeight w:val="32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w w:val="92"/>
              </w:rPr>
              <w:t>Non-GAAP Loss from Operations</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5"/>
              </w:rPr>
              <w:t>$(22.0) million to $(21.5) million</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$(84.0) million to $(82.0) million</w:t>
            </w:r>
          </w:p>
        </w:tc>
      </w:tr>
      <w:tr>
        <w:trPr>
          <w:trHeight w:val="91"/>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3680" w:type="dxa"/>
            <w:vAlign w:val="bottom"/>
            <w:tcBorders>
              <w:bottom w:val="single" w:sz="8" w:color="auto"/>
              <w:right w:val="single" w:sz="8" w:color="auto"/>
            </w:tcBorders>
          </w:tcPr>
          <w:p>
            <w:pPr>
              <w:spacing w:after="0"/>
              <w:rPr>
                <w:sz w:val="7"/>
                <w:szCs w:val="7"/>
                <w:color w:val="auto"/>
              </w:rPr>
            </w:pPr>
          </w:p>
        </w:tc>
        <w:tc>
          <w:tcPr>
            <w:tcW w:w="3880" w:type="dxa"/>
            <w:vAlign w:val="bottom"/>
            <w:tcBorders>
              <w:bottom w:val="single" w:sz="8" w:color="auto"/>
              <w:right w:val="single" w:sz="8" w:color="auto"/>
            </w:tcBorders>
          </w:tcPr>
          <w:p>
            <w:pPr>
              <w:spacing w:after="0"/>
              <w:rPr>
                <w:sz w:val="7"/>
                <w:szCs w:val="7"/>
                <w:color w:val="auto"/>
              </w:rPr>
            </w:pPr>
          </w:p>
        </w:tc>
      </w:tr>
      <w:tr>
        <w:trPr>
          <w:trHeight w:val="322"/>
        </w:trPr>
        <w:tc>
          <w:tcPr>
            <w:tcW w:w="29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20"/>
                <w:szCs w:val="20"/>
                <w:b w:val="1"/>
                <w:bCs w:val="1"/>
                <w:color w:val="auto"/>
              </w:rPr>
              <w:t>Non-GAAP Net Loss per Share</w:t>
            </w:r>
          </w:p>
        </w:tc>
        <w:tc>
          <w:tcPr>
            <w:tcW w:w="3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$(0.44) to $(0.43)</w:t>
            </w:r>
          </w:p>
        </w:tc>
        <w:tc>
          <w:tcPr>
            <w:tcW w:w="38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0"/>
              </w:rPr>
              <w:t>$(1.66) to $(1.62)</w:t>
            </w:r>
          </w:p>
        </w:tc>
      </w:tr>
      <w:tr>
        <w:trPr>
          <w:trHeight w:val="91"/>
        </w:trPr>
        <w:tc>
          <w:tcPr>
            <w:tcW w:w="2980" w:type="dxa"/>
            <w:vAlign w:val="bottom"/>
            <w:tcBorders>
              <w:left w:val="single" w:sz="8" w:color="auto"/>
              <w:bottom w:val="single" w:sz="8" w:color="auto"/>
              <w:right w:val="single" w:sz="8" w:color="auto"/>
            </w:tcBorders>
          </w:tcPr>
          <w:p>
            <w:pPr>
              <w:spacing w:after="0"/>
              <w:rPr>
                <w:sz w:val="7"/>
                <w:szCs w:val="7"/>
                <w:color w:val="auto"/>
              </w:rPr>
            </w:pPr>
          </w:p>
        </w:tc>
        <w:tc>
          <w:tcPr>
            <w:tcW w:w="3680" w:type="dxa"/>
            <w:vAlign w:val="bottom"/>
            <w:tcBorders>
              <w:bottom w:val="single" w:sz="8" w:color="auto"/>
              <w:right w:val="single" w:sz="8" w:color="auto"/>
            </w:tcBorders>
          </w:tcPr>
          <w:p>
            <w:pPr>
              <w:spacing w:after="0"/>
              <w:rPr>
                <w:sz w:val="7"/>
                <w:szCs w:val="7"/>
                <w:color w:val="auto"/>
              </w:rPr>
            </w:pPr>
          </w:p>
        </w:tc>
        <w:tc>
          <w:tcPr>
            <w:tcW w:w="3880" w:type="dxa"/>
            <w:vAlign w:val="bottom"/>
            <w:tcBorders>
              <w:bottom w:val="single" w:sz="8" w:color="auto"/>
              <w:right w:val="single" w:sz="8" w:color="auto"/>
            </w:tcBorders>
          </w:tcPr>
          <w:p>
            <w:pPr>
              <w:spacing w:after="0"/>
              <w:rPr>
                <w:sz w:val="7"/>
                <w:szCs w:val="7"/>
                <w:color w:val="auto"/>
              </w:rPr>
            </w:pPr>
          </w:p>
        </w:tc>
      </w:tr>
    </w:tbl>
    <w:p>
      <w:pPr>
        <w:spacing w:after="0" w:line="145"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Reconciliation of non-GAAP loss from operations and non-GAAP net loss per share guidance to the most directly comparable GAAP measures is not available without unreasonable efforts on a forward-looking basis due to the high variability, complexity and low visibility with respect to the charges excluded from these non-GAAP measures; in particular, the measures and effects of stock-based compensation expense specific to equity compensation awards that are directly impacted by unpredictable fluctuations in our stock price. We expect the variability of the above charges to have a significant, and potentially unpredictable, impact on our future GAAP financial results.</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Information</w:t>
      </w:r>
    </w:p>
    <w:p>
      <w:pPr>
        <w:spacing w:after="0" w:line="168"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MongoDB will host a conference call today, March 13, 2018, at 5:00 p.m. (Eastern Time) to discuss its financial results and business outlook. A live webcast of the call will be available on the “Investor Relations” page of MongoDB’s website at http://investors.mongodb.com. To access the call by phone, dial 800-239-9838 (domestic) or 323-794-2551 (international). A replay of this conference call will be available for a limited time at 844-512-2921 (domestic) or 412-317-6671 (international). The replay conference ID is 5850950. A replay of the webcast will also be available for a limited time at http://investors.mongodb.com.</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MongoDB</w:t>
      </w:r>
    </w:p>
    <w:p>
      <w:pPr>
        <w:spacing w:after="0" w:line="168" w:lineRule="exact"/>
        <w:rPr>
          <w:sz w:val="20"/>
          <w:szCs w:val="20"/>
          <w:color w:val="auto"/>
        </w:rPr>
      </w:pPr>
    </w:p>
    <w:p>
      <w:pPr>
        <w:ind w:right="20"/>
        <w:spacing w:after="0" w:line="291" w:lineRule="auto"/>
        <w:rPr>
          <w:sz w:val="20"/>
          <w:szCs w:val="20"/>
          <w:color w:val="auto"/>
        </w:rPr>
      </w:pPr>
      <w:r>
        <w:rPr>
          <w:rFonts w:ascii="Arial" w:cs="Arial" w:eastAsia="Arial" w:hAnsi="Arial"/>
          <w:sz w:val="18"/>
          <w:szCs w:val="18"/>
          <w:color w:val="auto"/>
        </w:rPr>
        <w:t>MongoDB is the leading modern, general purpose database platform, designed to unleash the power of software and data for developers and the applications they build. Headquartered in New York, MongoDB has more than 5,700 customers in over 90 countries. The MongoDB database platform has been downloaded over 35 million times and there have been more than 800,000 MongoDB University registrations.</w:t>
      </w:r>
    </w:p>
    <w:p>
      <w:pPr>
        <w:spacing w:after="0" w:line="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68"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This press release includes certain “forward-looking statements” within the meaning of Section 27A of the Securities Act of 1933, as amended, or the Securities Act, and Section 21E of the Securities Exchange Act of 1934, as amended, including statements concerning our financial guidance for the first quarter and full year fiscal 2019, our position to execute on our go-to-market strategy, our introduction of future product enhancements and the potential advantages of those enhancements, and our ability to expand our leadership position and drive revenue growth. These forward-looking statements include, but are not limited to, plans, objectives, expectations and intentions and other statements contained in this press release that are not historical facts and statements identified by words such as “anticipate,” “believe,” “continue,” “could,” “estimate,” “expect,” “intend,” “may,” “plan,” “project,” “will,” “would” or the negative or plural of these words or similar expressions or variations. These forward-looking statements reflect our current views about our plans, intentions, expectations, strategies and prospects, which are based on the information currently available to us and on assumptions we have made. Although we believe that our plans, intentions, expectations, strategies and prospects as reflected in or suggested by those forward-looking statements are reasonable, we can give no assurance that the plans, intentions, expectations or strategies will be attained or achieved. Furthermore, actual results may differ materially from those described in the forward-looking statements and are subject to a variety of assumptions, uncertainties, risks and factors that are</w:t>
      </w:r>
    </w:p>
    <w:p>
      <w:pPr>
        <w:spacing w:after="0" w:line="200" w:lineRule="exact"/>
        <w:rPr>
          <w:sz w:val="20"/>
          <w:szCs w:val="20"/>
          <w:color w:val="auto"/>
        </w:rPr>
      </w:pPr>
    </w:p>
    <w:p>
      <w:pPr>
        <w:spacing w:after="0" w:line="37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9" w:right="239" w:bottom="1440" w:gutter="0" w:footer="0" w:header="0"/>
        </w:sectPr>
      </w:pPr>
    </w:p>
    <w:bookmarkStart w:id="6" w:name="page7"/>
    <w:bookmarkEnd w:id="6"/>
    <w:p>
      <w:pPr>
        <w:spacing w:after="0" w:line="255" w:lineRule="auto"/>
        <w:rPr>
          <w:sz w:val="20"/>
          <w:szCs w:val="20"/>
          <w:color w:val="auto"/>
        </w:rPr>
      </w:pPr>
      <w:r>
        <w:rPr>
          <w:rFonts w:ascii="Arial" w:cs="Arial" w:eastAsia="Arial" w:hAnsi="Arial"/>
          <w:sz w:val="19"/>
          <w:szCs w:val="19"/>
          <w:color w:val="auto"/>
        </w:rPr>
        <w:t>beyond our control including, without limitation: our limited operating history; our history of losses; failure of our database platform to satisfy customer demands; our investments in new products and our ability to introduce new features, services or enhancements; the effects of increased competition; our ability to effectively expand our sales and marketing organization; our ability to continue to build and maintain credibility with the developer community; our ability to add new customers or increase sales to our existing customers; our ability to maintain, protect, enforce and enhance our intellectual property; the growth and expansion of the market for database products and our ability to penetrate that market; our ability to maintain the security of our software and adequately address privacy concerns; our ability to manage our growth effectively and successfully recruit additional highly-qualified personnel; the price volatility of our common stock; and those risks detailed from time-to-time under the caption “Risk Factors” and elsewhere in our Securities and Exchange Commission (“SEC”) filings and reports, including our Quarterly Report on Form 10-Q filed on December 15, 2017, as well as future filings and reports by us. Except as required by law, we undertake no duty or obligation to update any forward-looking statements contained in this release as a result of new information, future events, changes in expectations or otherwise.</w:t>
      </w:r>
    </w:p>
    <w:p>
      <w:pPr>
        <w:spacing w:after="0" w:line="134" w:lineRule="exact"/>
        <w:rPr>
          <w:sz w:val="20"/>
          <w:szCs w:val="20"/>
          <w:color w:val="auto"/>
        </w:rPr>
      </w:pPr>
    </w:p>
    <w:p>
      <w:pPr>
        <w:ind w:right="20"/>
        <w:spacing w:after="0" w:line="250" w:lineRule="auto"/>
        <w:rPr>
          <w:sz w:val="20"/>
          <w:szCs w:val="20"/>
          <w:color w:val="auto"/>
        </w:rPr>
      </w:pPr>
      <w:r>
        <w:rPr>
          <w:rFonts w:ascii="Arial" w:cs="Arial" w:eastAsia="Arial" w:hAnsi="Arial"/>
          <w:sz w:val="20"/>
          <w:szCs w:val="20"/>
          <w:color w:val="auto"/>
        </w:rPr>
        <w:t>The development, release, and timing of any features or functionality described for our products remains at our sole discretion. This information is merely intended to outline our general product direction and it should not be relied on in making a purchasing decision nor is this a commitment, promise or legal obligation to deliver any material, code, or functionality.</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pacing w:after="0" w:line="168" w:lineRule="exact"/>
        <w:rPr>
          <w:sz w:val="20"/>
          <w:szCs w:val="20"/>
          <w:color w:val="auto"/>
        </w:rPr>
      </w:pPr>
    </w:p>
    <w:p>
      <w:pPr>
        <w:spacing w:after="0" w:line="255" w:lineRule="auto"/>
        <w:rPr>
          <w:sz w:val="20"/>
          <w:szCs w:val="20"/>
          <w:color w:val="auto"/>
        </w:rPr>
      </w:pPr>
      <w:r>
        <w:rPr>
          <w:rFonts w:ascii="Arial" w:cs="Arial" w:eastAsia="Arial" w:hAnsi="Arial"/>
          <w:sz w:val="19"/>
          <w:szCs w:val="19"/>
          <w:color w:val="auto"/>
        </w:rPr>
        <w:t>This press release includes the following financial measures defined as non-GAAP financial measures by the SEC: non-GAAP gross profit, non-GAAP gross margin, non-GAAP loss from operations, non-GAAP net loss, non-GAAP net loss per share and free cash flow. Non-GAAP gross profit, non-GAAP gross margin, non-GAAP loss from operations and non-GAAP net loss exclude stock-based compensation expense and, in the case of non-GAAP net loss, change in fair value of warrant liability. Non-GAAP net loss per share is calculated by dividing non-GAAP net loss by the weighted-average shares used to compute net loss per share attributable to common stockholders, basic and diluted, and for periods prior to and including the period in which we completed our initial public offering, giving effect to the conversion of preferred stock at the beginning of the period. MongoDB uses these non-GAAP financial measures internally in analyzing its financial results and believes they are useful to investors, as a supplement to GAAP measures, in evaluating MongoDB’s ongoing operational performance. MongoDB believes that the use of these non-GAAP financial measures provides an additional tool for investors to use in evaluating ongoing operating results and trends and in comparing its financial results with other companies in MongoDB’s industry, many of which present similar non-GAAP financial measures to investors.</w:t>
      </w:r>
    </w:p>
    <w:p>
      <w:pPr>
        <w:spacing w:after="0" w:line="134"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Free cash flow represents net cash used in operating activities less capital expenditures and capitalized software development costs, if any. MongoDB uses free cash flow to understand and evaluate its liquidity and to generate future operating plans. The exclusion of capital expenditures and amounts capitalized for software development facilitates comparisons of MongoDB’s liquidity on a period-to-period basis and excludes items that it does not consider to be indicative of its liquidity. MongoDB believes that free cash flow is a measure of liquidity that provides useful information to investors in understanding and evaluating the strength of its liquidity and future ability to generate cash that can be used for strategic opportunities or investing in its business in the same manner as MongoDB’s management and board of directors.</w:t>
      </w:r>
    </w:p>
    <w:p>
      <w:pPr>
        <w:spacing w:after="0" w:line="111"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Non-GAAP financial measures have limitations as an analytical tool and should not be considered in isolation from, or as a substitute for, financial information prepared in accordance with GAAP. In particular, other companies may report non-GAAP gross profit, non-GAAP gross margin, non-GAAP loss from operations, non-GAAP net loss, non-GAAP net loss per share, free cash flow or similarly titled measures but calculate them differently, which reduces their usefulness as comparative measures. Investors are encouraged to review the reconciliation of these non-GAAP measures to their most directly comparable GAAP financial measures, as presented below. This earnings press release and any future releases containing such non-GAAP reconciliations can also be found on the Investor Relations page of MongoDB’s website at http://investors.mongodb.com.</w:t>
      </w:r>
    </w:p>
    <w:p>
      <w:pPr>
        <w:spacing w:after="0" w:line="38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6"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Investor Relations</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Brian Denyeau</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ICR for MongoDB</w:t>
      </w:r>
    </w:p>
    <w:p>
      <w:pPr>
        <w:spacing w:after="0"/>
        <w:rPr>
          <w:sz w:val="20"/>
          <w:szCs w:val="20"/>
          <w:color w:val="auto"/>
        </w:rPr>
      </w:pPr>
      <w:r>
        <w:rPr>
          <w:rFonts w:ascii="Arial" w:cs="Arial" w:eastAsia="Arial" w:hAnsi="Arial"/>
          <w:sz w:val="20"/>
          <w:szCs w:val="20"/>
          <w:color w:val="auto"/>
        </w:rPr>
        <w:t>646-277-1251</w:t>
      </w:r>
    </w:p>
    <w:p>
      <w:pPr>
        <w:spacing w:after="0"/>
        <w:rPr>
          <w:sz w:val="20"/>
          <w:szCs w:val="20"/>
          <w:color w:val="auto"/>
        </w:rPr>
      </w:pPr>
      <w:r>
        <w:rPr>
          <w:rFonts w:ascii="Arial" w:cs="Arial" w:eastAsia="Arial" w:hAnsi="Arial"/>
          <w:sz w:val="20"/>
          <w:szCs w:val="20"/>
          <w:color w:val="auto"/>
        </w:rPr>
        <w:t>ir@mongodb.com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MongoDB</w:t>
      </w:r>
    </w:p>
    <w:p>
      <w:pPr>
        <w:spacing w:after="0"/>
        <w:rPr>
          <w:sz w:val="20"/>
          <w:szCs w:val="20"/>
          <w:color w:val="auto"/>
        </w:rPr>
      </w:pPr>
      <w:r>
        <w:rPr>
          <w:rFonts w:ascii="Arial" w:cs="Arial" w:eastAsia="Arial" w:hAnsi="Arial"/>
          <w:sz w:val="20"/>
          <w:szCs w:val="20"/>
          <w:color w:val="auto"/>
        </w:rPr>
        <w:t>866-237-8815 x7186</w:t>
      </w:r>
    </w:p>
    <w:p>
      <w:pPr>
        <w:spacing w:after="0"/>
        <w:rPr>
          <w:sz w:val="20"/>
          <w:szCs w:val="20"/>
          <w:color w:val="auto"/>
        </w:rPr>
      </w:pPr>
      <w:r>
        <w:rPr>
          <w:rFonts w:ascii="Arial" w:cs="Arial" w:eastAsia="Arial" w:hAnsi="Arial"/>
          <w:sz w:val="20"/>
          <w:szCs w:val="20"/>
          <w:color w:val="auto"/>
        </w:rPr>
        <w:t>communications@mongodb.com</w:t>
      </w:r>
    </w:p>
    <w:p>
      <w:pPr>
        <w:spacing w:after="0" w:line="200" w:lineRule="exact"/>
        <w:rPr>
          <w:sz w:val="20"/>
          <w:szCs w:val="20"/>
          <w:color w:val="auto"/>
        </w:rPr>
      </w:pPr>
    </w:p>
    <w:p>
      <w:pPr>
        <w:spacing w:after="0" w:line="245" w:lineRule="exact"/>
        <w:rPr>
          <w:sz w:val="20"/>
          <w:szCs w:val="20"/>
          <w:color w:val="auto"/>
        </w:rPr>
      </w:pPr>
    </w:p>
    <w:p>
      <w:pPr>
        <w:jc w:val="right"/>
        <w:ind w:right="4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360" w:right="1440"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share and per share data)</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5" w:lineRule="exact"/>
        <w:rPr>
          <w:sz w:val="20"/>
          <w:szCs w:val="20"/>
          <w:color w:val="auto"/>
        </w:rPr>
      </w:pPr>
    </w:p>
    <w:p>
      <w:pPr>
        <w:jc w:val="center"/>
        <w:ind w:left="8580"/>
        <w:spacing w:after="0"/>
        <w:rPr>
          <w:sz w:val="20"/>
          <w:szCs w:val="20"/>
          <w:color w:val="auto"/>
        </w:rPr>
      </w:pPr>
      <w:r>
        <w:rPr>
          <w:rFonts w:ascii="Arial" w:cs="Arial" w:eastAsia="Arial" w:hAnsi="Arial"/>
          <w:sz w:val="14"/>
          <w:szCs w:val="14"/>
          <w:b w:val="1"/>
          <w:bCs w:val="1"/>
          <w:color w:val="auto"/>
        </w:rPr>
        <w:t>As of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32385</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03" w:lineRule="exact"/>
        <w:rPr>
          <w:sz w:val="20"/>
          <w:szCs w:val="20"/>
          <w:color w:val="auto"/>
        </w:rPr>
      </w:pPr>
    </w:p>
    <w:p>
      <w:pPr>
        <w:jc w:val="both"/>
        <w:ind w:left="9120"/>
        <w:spacing w:after="0"/>
        <w:tabs>
          <w:tab w:leader="none" w:pos="1058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6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Assets</w:t>
      </w:r>
    </w:p>
    <w:p>
      <w:pPr>
        <w:spacing w:after="0" w:line="104"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Cash and cash equivalents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Accounts receivable, net of allowance for doubtful accounts of $1,238 and $958 as of January 31, 2018 and 2017, respectively</w:t>
      </w:r>
    </w:p>
    <w:p>
      <w:pPr>
        <w:spacing w:after="0" w:line="10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Deferred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Prepaid expenses and other current assets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Property and equipment,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Acquired intangible assets, net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assets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46620" cy="1885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Liabilities, Redeemable Convertible Preferred Stock and Stockholders’ Equity (Deficit)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Accounts payable</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Accrued compensation and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Other accrued liabilities</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Total current liabilities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Redeemable convertible preferred stock warrant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rent, non-current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tax liability,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Deferred revenue, non-current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Other liabilities, non-current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liabilities</w:t>
      </w:r>
    </w:p>
    <w:p>
      <w:pPr>
        <w:spacing w:after="0" w:line="100"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6"/>
          <w:szCs w:val="16"/>
          <w:color w:val="auto"/>
        </w:rPr>
        <w:t>Redeemable convertible preferred stock, par value $0.001 per share; no shares authorized, issued or outstanding as of January 31, 2018; 41,234,841 shares authorized as of January 31, 2017; 41,148,282 shares issued and outstanding with aggregate liquidation preference of $345,997 as of January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Stockholders’ equity (deficit):</w:t>
      </w:r>
    </w:p>
    <w:p>
      <w:pPr>
        <w:spacing w:after="0" w:line="86" w:lineRule="exact"/>
        <w:rPr>
          <w:sz w:val="20"/>
          <w:szCs w:val="20"/>
          <w:color w:val="auto"/>
        </w:rPr>
      </w:pPr>
    </w:p>
    <w:p>
      <w:pPr>
        <w:ind w:left="380" w:hanging="188"/>
        <w:spacing w:after="0" w:line="342" w:lineRule="auto"/>
        <w:rPr>
          <w:sz w:val="20"/>
          <w:szCs w:val="20"/>
          <w:color w:val="auto"/>
        </w:rPr>
      </w:pPr>
      <w:r>
        <w:rPr>
          <w:rFonts w:ascii="Arial" w:cs="Arial" w:eastAsia="Arial" w:hAnsi="Arial"/>
          <w:sz w:val="14"/>
          <w:szCs w:val="14"/>
          <w:color w:val="auto"/>
        </w:rPr>
        <w:t>Class A common stock, par value of $0.001 per share; 1,000,000,000 and 162,500,000 shares authorized as of January 31, 2018 and 2017, respectively; 13,303,028 and no shares issued and outstanding as of January 31, 2018 and 2017,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4203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jc w:val="both"/>
        <w:ind w:left="380" w:right="60" w:hanging="188"/>
        <w:spacing w:after="0" w:line="305" w:lineRule="auto"/>
        <w:rPr>
          <w:sz w:val="20"/>
          <w:szCs w:val="20"/>
          <w:color w:val="auto"/>
        </w:rPr>
      </w:pPr>
      <w:r>
        <w:rPr>
          <w:rFonts w:ascii="Arial" w:cs="Arial" w:eastAsia="Arial" w:hAnsi="Arial"/>
          <w:sz w:val="15"/>
          <w:szCs w:val="15"/>
          <w:color w:val="auto"/>
        </w:rPr>
        <w:t>Class B common stock, par value of $0.001 per share; 100,000,000 and 113,000,000 shares authorized as of January 31, 2018 and 2017, respectively; 37,371,914 and 13,192,992 shares issued as of January 31, 2018 and 2017, respectively; 37,272,543 and 13,093,621 shares outstanding as of January 31, 2018 and 2017, respectively</w:t>
      </w:r>
    </w:p>
    <w:p>
      <w:pPr>
        <w:spacing w:after="0" w:line="4"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Treasury stock, 99,371 shares as of January 31, 2018 and 2017</w:t>
      </w:r>
    </w:p>
    <w:p>
      <w:pPr>
        <w:spacing w:after="0" w:line="8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Accumulated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Accumulated deficit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line="1" w:lineRule="exact"/>
        <w:rPr>
          <w:sz w:val="1"/>
          <w:szCs w:val="1"/>
          <w:color w:val="auto"/>
        </w:rPr>
      </w:pPr>
    </w:p>
    <w:tbl>
      <w:tblPr>
        <w:tblLayout w:type="fixed"/>
        <w:tblInd w:w="60" w:type="dxa"/>
        <w:tblCellMar>
          <w:top w:w="0" w:type="dxa"/>
          <w:left w:w="0" w:type="dxa"/>
          <w:bottom w:w="0" w:type="dxa"/>
          <w:right w:w="0" w:type="dxa"/>
        </w:tblCellMar>
      </w:tblPr>
      <w:tr>
        <w:trPr>
          <w:trHeight w:val="206"/>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61,902</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69,305</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w w:val="86"/>
              </w:rPr>
              <w:t>217,072</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47,195</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46,872</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31,340</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11,820</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7,481</w:t>
            </w:r>
          </w:p>
        </w:tc>
      </w:tr>
      <w:tr>
        <w:trPr>
          <w:trHeight w:val="257"/>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5,884</w:t>
            </w:r>
          </w:p>
        </w:tc>
        <w:tc>
          <w:tcPr>
            <w:tcW w:w="4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3,131</w:t>
            </w:r>
          </w:p>
        </w:tc>
      </w:tr>
      <w:tr>
        <w:trPr>
          <w:trHeight w:val="47"/>
        </w:trPr>
        <w:tc>
          <w:tcPr>
            <w:tcW w:w="7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17"/>
        </w:trPr>
        <w:tc>
          <w:tcPr>
            <w:tcW w:w="740" w:type="dxa"/>
            <w:vAlign w:val="bottom"/>
          </w:tcPr>
          <w:p>
            <w:pPr>
              <w:jc w:val="right"/>
              <w:ind w:right="139"/>
              <w:spacing w:after="0"/>
              <w:rPr>
                <w:sz w:val="20"/>
                <w:szCs w:val="20"/>
                <w:color w:val="auto"/>
              </w:rPr>
            </w:pPr>
            <w:r>
              <w:rPr>
                <w:rFonts w:ascii="Arial" w:cs="Arial" w:eastAsia="Arial" w:hAnsi="Arial"/>
                <w:sz w:val="16"/>
                <w:szCs w:val="16"/>
                <w:color w:val="auto"/>
                <w:w w:val="86"/>
              </w:rPr>
              <w:t>343,550</w:t>
            </w: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158,452</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59,557</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4,877</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1,700</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1,700</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1,627</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2,511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-664210</wp:posOffset>
            </wp:positionV>
            <wp:extent cx="8832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44" w:lineRule="exact"/>
        <w:rPr>
          <w:sz w:val="20"/>
          <w:szCs w:val="20"/>
          <w:color w:val="auto"/>
        </w:rPr>
      </w:pPr>
    </w:p>
    <w:p>
      <w:pPr>
        <w:ind w:left="1820" w:hanging="1483"/>
        <w:spacing w:after="0"/>
        <w:tabs>
          <w:tab w:leader="none" w:pos="1820" w:val="left"/>
        </w:tabs>
        <w:numPr>
          <w:ilvl w:val="0"/>
          <w:numId w:val="5"/>
        </w:numPr>
        <w:rPr>
          <w:rFonts w:ascii="Arial" w:cs="Arial" w:eastAsia="Arial" w:hAnsi="Arial"/>
          <w:sz w:val="16"/>
          <w:szCs w:val="16"/>
          <w:color w:val="auto"/>
        </w:rPr>
      </w:pPr>
      <w:r>
        <w:rPr>
          <w:rFonts w:ascii="Arial" w:cs="Arial" w:eastAsia="Arial" w:hAnsi="Arial"/>
          <w:sz w:val="16"/>
          <w:szCs w:val="16"/>
          <w:color w:val="auto"/>
        </w:rPr>
        <w:t>114</w:t>
      </w:r>
    </w:p>
    <w:p>
      <w:pPr>
        <w:spacing w:after="0" w:line="72"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6"/>
          <w:szCs w:val="16"/>
          <w:color w:val="auto"/>
        </w:rPr>
        <w:t>8,436</w:t>
      </w:r>
      <w:r>
        <w:rPr>
          <w:rFonts w:ascii="Arial" w:cs="Arial" w:eastAsia="Arial" w:hAnsi="Arial"/>
          <w:sz w:val="15"/>
          <w:szCs w:val="15"/>
          <w:color w:val="auto"/>
        </w:rPr>
        <w:t>6,778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43815</wp:posOffset>
            </wp:positionV>
            <wp:extent cx="18097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80"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740" w:type="dxa"/>
            <w:vAlign w:val="bottom"/>
          </w:tcPr>
          <w:p>
            <w:pPr>
              <w:jc w:val="right"/>
              <w:ind w:right="139"/>
              <w:spacing w:after="0"/>
              <w:rPr>
                <w:sz w:val="20"/>
                <w:szCs w:val="20"/>
                <w:color w:val="auto"/>
              </w:rPr>
            </w:pPr>
            <w:r>
              <w:rPr>
                <w:rFonts w:ascii="Arial" w:cs="Arial" w:eastAsia="Arial" w:hAnsi="Arial"/>
                <w:sz w:val="16"/>
                <w:szCs w:val="16"/>
                <w:color w:val="auto"/>
                <w:w w:val="86"/>
              </w:rPr>
              <w:t>415,196</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174,432</w:t>
            </w:r>
          </w:p>
        </w:tc>
      </w:tr>
      <w:tr>
        <w:trPr>
          <w:trHeight w:val="60"/>
        </w:trPr>
        <w:tc>
          <w:tcPr>
            <w:tcW w:w="74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0"/>
        </w:trPr>
        <w:tc>
          <w:tcPr>
            <w:tcW w:w="7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758"/>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2,261</w:t>
            </w: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2,841</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17,433</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11,402</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8,423</w:t>
            </w:r>
          </w:p>
        </w:tc>
        <w:tc>
          <w:tcPr>
            <w:tcW w:w="420" w:type="dxa"/>
            <w:vAlign w:val="bottom"/>
          </w:tcPr>
          <w:p>
            <w:pPr>
              <w:spacing w:after="0"/>
              <w:rPr>
                <w:sz w:val="23"/>
                <w:szCs w:val="23"/>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5,269</w:t>
            </w:r>
          </w:p>
        </w:tc>
      </w:tr>
      <w:tr>
        <w:trPr>
          <w:trHeight w:val="257"/>
        </w:trPr>
        <w:tc>
          <w:tcPr>
            <w:tcW w:w="740" w:type="dxa"/>
            <w:vAlign w:val="bottom"/>
          </w:tcPr>
          <w:p>
            <w:pPr>
              <w:jc w:val="right"/>
              <w:ind w:right="139"/>
              <w:spacing w:after="0"/>
              <w:rPr>
                <w:sz w:val="20"/>
                <w:szCs w:val="20"/>
                <w:color w:val="auto"/>
              </w:rPr>
            </w:pPr>
            <w:r>
              <w:rPr>
                <w:rFonts w:ascii="Arial" w:cs="Arial" w:eastAsia="Arial" w:hAnsi="Arial"/>
                <w:sz w:val="16"/>
                <w:szCs w:val="16"/>
                <w:color w:val="auto"/>
                <w:w w:val="86"/>
              </w:rPr>
              <w:t>114,500</w:t>
            </w:r>
          </w:p>
        </w:tc>
        <w:tc>
          <w:tcPr>
            <w:tcW w:w="42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78,278</w:t>
            </w:r>
          </w:p>
        </w:tc>
      </w:tr>
      <w:tr>
        <w:trPr>
          <w:trHeight w:val="47"/>
        </w:trPr>
        <w:tc>
          <w:tcPr>
            <w:tcW w:w="74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r>
      <w:tr>
        <w:trPr>
          <w:trHeight w:val="217"/>
        </w:trPr>
        <w:tc>
          <w:tcPr>
            <w:tcW w:w="740" w:type="dxa"/>
            <w:vAlign w:val="bottom"/>
          </w:tcPr>
          <w:p>
            <w:pPr>
              <w:jc w:val="right"/>
              <w:ind w:right="139"/>
              <w:spacing w:after="0"/>
              <w:rPr>
                <w:sz w:val="20"/>
                <w:szCs w:val="20"/>
                <w:color w:val="auto"/>
              </w:rPr>
            </w:pPr>
            <w:r>
              <w:rPr>
                <w:rFonts w:ascii="Arial" w:cs="Arial" w:eastAsia="Arial" w:hAnsi="Arial"/>
                <w:sz w:val="16"/>
                <w:szCs w:val="16"/>
                <w:color w:val="auto"/>
                <w:w w:val="86"/>
              </w:rPr>
              <w:t>142,617</w:t>
            </w:r>
          </w:p>
        </w:tc>
        <w:tc>
          <w:tcPr>
            <w:tcW w:w="42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97,790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-1204595</wp:posOffset>
            </wp:positionV>
            <wp:extent cx="8832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4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5"/>
          <w:szCs w:val="15"/>
          <w:color w:val="auto"/>
        </w:rPr>
        <w:t>1,272</w:t>
      </w:r>
    </w:p>
    <w:p>
      <w:pPr>
        <w:spacing w:after="0" w:line="86"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925</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1,058</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18</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108</w:t>
            </w:r>
          </w:p>
        </w:tc>
      </w:tr>
      <w:tr>
        <w:trPr>
          <w:trHeight w:val="257"/>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22,930</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15,461</w:t>
            </w:r>
          </w:p>
        </w:tc>
      </w:tr>
      <w:tr>
        <w:trPr>
          <w:trHeight w:val="270"/>
        </w:trPr>
        <w:tc>
          <w:tcPr>
            <w:tcW w:w="740" w:type="dxa"/>
            <w:vAlign w:val="bottom"/>
          </w:tcPr>
          <w:p>
            <w:pPr>
              <w:jc w:val="right"/>
              <w:ind w:right="139"/>
              <w:spacing w:after="0"/>
              <w:rPr>
                <w:sz w:val="20"/>
                <w:szCs w:val="20"/>
                <w:color w:val="auto"/>
              </w:rPr>
            </w:pPr>
            <w:r>
              <w:rPr>
                <w:rFonts w:ascii="Arial" w:cs="Arial" w:eastAsia="Arial" w:hAnsi="Arial"/>
                <w:sz w:val="16"/>
                <w:szCs w:val="16"/>
                <w:color w:val="auto"/>
              </w:rPr>
              <w:t>55,213</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7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r>
        <w:trPr>
          <w:trHeight w:val="217"/>
        </w:trPr>
        <w:tc>
          <w:tcPr>
            <w:tcW w:w="740" w:type="dxa"/>
            <w:vAlign w:val="bottom"/>
          </w:tcPr>
          <w:p>
            <w:pPr>
              <w:jc w:val="right"/>
              <w:ind w:right="139"/>
              <w:spacing w:after="0"/>
              <w:rPr>
                <w:sz w:val="20"/>
                <w:szCs w:val="20"/>
                <w:color w:val="auto"/>
              </w:rPr>
            </w:pPr>
            <w:r>
              <w:rPr>
                <w:rFonts w:ascii="Arial" w:cs="Arial" w:eastAsia="Arial" w:hAnsi="Arial"/>
                <w:sz w:val="16"/>
                <w:szCs w:val="16"/>
                <w:color w:val="auto"/>
                <w:w w:val="86"/>
              </w:rPr>
              <w:t>221,703</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115,689</w:t>
            </w:r>
          </w:p>
        </w:tc>
      </w:tr>
      <w:tr>
        <w:trPr>
          <w:trHeight w:val="47"/>
        </w:trPr>
        <w:tc>
          <w:tcPr>
            <w:tcW w:w="74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-8255</wp:posOffset>
            </wp:positionV>
            <wp:extent cx="8832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38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t>
      </w:r>
      <w:r>
        <w:rPr>
          <w:rFonts w:ascii="Arial" w:cs="Arial" w:eastAsia="Arial" w:hAnsi="Arial"/>
          <w:sz w:val="14"/>
          <w:szCs w:val="14"/>
          <w:color w:val="auto"/>
        </w:rPr>
        <w:t>345,257</w:t>
      </w:r>
    </w:p>
    <w:p>
      <w:pPr>
        <w:spacing w:after="0" w:line="200" w:lineRule="exact"/>
        <w:rPr>
          <w:sz w:val="20"/>
          <w:szCs w:val="20"/>
          <w:color w:val="auto"/>
        </w:rPr>
      </w:pPr>
    </w:p>
    <w:p>
      <w:pPr>
        <w:spacing w:after="0" w:line="345" w:lineRule="exact"/>
        <w:rPr>
          <w:sz w:val="20"/>
          <w:szCs w:val="20"/>
          <w:color w:val="auto"/>
        </w:rPr>
      </w:pPr>
    </w:p>
    <w:tbl>
      <w:tblPr>
        <w:tblLayout w:type="fixed"/>
        <w:tblInd w:w="60" w:type="dxa"/>
        <w:tblCellMar>
          <w:top w:w="0" w:type="dxa"/>
          <w:left w:w="0" w:type="dxa"/>
          <w:bottom w:w="0" w:type="dxa"/>
          <w:right w:w="0" w:type="dxa"/>
        </w:tblCellMar>
      </w:tblPr>
      <w:tr>
        <w:trPr>
          <w:trHeight w:val="206"/>
        </w:trPr>
        <w:tc>
          <w:tcPr>
            <w:tcW w:w="1060" w:type="dxa"/>
            <w:vAlign w:val="bottom"/>
          </w:tcPr>
          <w:p>
            <w:pPr>
              <w:jc w:val="right"/>
              <w:ind w:right="459"/>
              <w:spacing w:after="0"/>
              <w:rPr>
                <w:sz w:val="20"/>
                <w:szCs w:val="20"/>
                <w:color w:val="auto"/>
              </w:rPr>
            </w:pPr>
            <w:r>
              <w:rPr>
                <w:rFonts w:ascii="Arial" w:cs="Arial" w:eastAsia="Arial" w:hAnsi="Arial"/>
                <w:sz w:val="16"/>
                <w:szCs w:val="16"/>
                <w:color w:val="auto"/>
              </w:rPr>
              <w:t>13</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662"/>
        </w:trPr>
        <w:tc>
          <w:tcPr>
            <w:tcW w:w="1060" w:type="dxa"/>
            <w:vAlign w:val="bottom"/>
          </w:tcPr>
          <w:p>
            <w:pPr>
              <w:jc w:val="right"/>
              <w:ind w:right="459"/>
              <w:spacing w:after="0"/>
              <w:rPr>
                <w:sz w:val="20"/>
                <w:szCs w:val="20"/>
                <w:color w:val="auto"/>
              </w:rPr>
            </w:pPr>
            <w:r>
              <w:rPr>
                <w:rFonts w:ascii="Arial" w:cs="Arial" w:eastAsia="Arial" w:hAnsi="Arial"/>
                <w:sz w:val="16"/>
                <w:szCs w:val="16"/>
                <w:color w:val="auto"/>
              </w:rPr>
              <w:t>38</w:t>
            </w:r>
          </w:p>
        </w:tc>
        <w:tc>
          <w:tcPr>
            <w:tcW w:w="98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70"/>
        </w:trPr>
        <w:tc>
          <w:tcPr>
            <w:tcW w:w="1060" w:type="dxa"/>
            <w:vAlign w:val="bottom"/>
          </w:tcPr>
          <w:p>
            <w:pPr>
              <w:jc w:val="right"/>
              <w:ind w:right="459"/>
              <w:spacing w:after="0"/>
              <w:rPr>
                <w:sz w:val="20"/>
                <w:szCs w:val="20"/>
                <w:color w:val="auto"/>
              </w:rPr>
            </w:pPr>
            <w:r>
              <w:rPr>
                <w:rFonts w:ascii="Arial" w:cs="Arial" w:eastAsia="Arial" w:hAnsi="Arial"/>
                <w:sz w:val="16"/>
                <w:szCs w:val="16"/>
                <w:color w:val="auto"/>
                <w:w w:val="86"/>
              </w:rPr>
              <w:t>638,680</w:t>
            </w:r>
          </w:p>
        </w:tc>
        <w:tc>
          <w:tcPr>
            <w:tcW w:w="980" w:type="dxa"/>
            <w:vAlign w:val="bottom"/>
          </w:tcPr>
          <w:p>
            <w:pPr>
              <w:jc w:val="right"/>
              <w:spacing w:after="0"/>
              <w:rPr>
                <w:sz w:val="20"/>
                <w:szCs w:val="20"/>
                <w:color w:val="auto"/>
              </w:rPr>
            </w:pPr>
            <w:r>
              <w:rPr>
                <w:rFonts w:ascii="Arial" w:cs="Arial" w:eastAsia="Arial" w:hAnsi="Arial"/>
                <w:sz w:val="16"/>
                <w:szCs w:val="16"/>
                <w:color w:val="auto"/>
              </w:rPr>
              <w:t>62,557</w:t>
            </w:r>
          </w:p>
        </w:tc>
      </w:tr>
      <w:tr>
        <w:trPr>
          <w:trHeight w:val="270"/>
        </w:trPr>
        <w:tc>
          <w:tcPr>
            <w:tcW w:w="1060" w:type="dxa"/>
            <w:vAlign w:val="bottom"/>
          </w:tcPr>
          <w:p>
            <w:pPr>
              <w:jc w:val="right"/>
              <w:ind w:right="399"/>
              <w:spacing w:after="0"/>
              <w:rPr>
                <w:sz w:val="20"/>
                <w:szCs w:val="20"/>
                <w:color w:val="auto"/>
              </w:rPr>
            </w:pPr>
            <w:r>
              <w:rPr>
                <w:rFonts w:ascii="Arial" w:cs="Arial" w:eastAsia="Arial" w:hAnsi="Arial"/>
                <w:sz w:val="16"/>
                <w:szCs w:val="16"/>
                <w:color w:val="auto"/>
              </w:rPr>
              <w:t>(1,319)</w:t>
            </w:r>
          </w:p>
        </w:tc>
        <w:tc>
          <w:tcPr>
            <w:tcW w:w="980" w:type="dxa"/>
            <w:vAlign w:val="bottom"/>
          </w:tcPr>
          <w:p>
            <w:pPr>
              <w:jc w:val="right"/>
              <w:spacing w:after="0"/>
              <w:rPr>
                <w:sz w:val="20"/>
                <w:szCs w:val="20"/>
                <w:color w:val="auto"/>
              </w:rPr>
            </w:pPr>
            <w:r>
              <w:rPr>
                <w:rFonts w:ascii="Arial" w:cs="Arial" w:eastAsia="Arial" w:hAnsi="Arial"/>
                <w:sz w:val="16"/>
                <w:szCs w:val="16"/>
                <w:color w:val="auto"/>
              </w:rPr>
              <w:t>(1,319)</w:t>
            </w:r>
          </w:p>
        </w:tc>
      </w:tr>
    </w:tbl>
    <w:p>
      <w:pPr>
        <w:spacing w:after="0" w:line="64" w:lineRule="exact"/>
        <w:rPr>
          <w:sz w:val="20"/>
          <w:szCs w:val="20"/>
          <w:color w:val="auto"/>
        </w:rPr>
      </w:pPr>
    </w:p>
    <w:p>
      <w:pPr>
        <w:ind w:left="1760" w:hanging="1477"/>
        <w:spacing w:after="0"/>
        <w:tabs>
          <w:tab w:leader="none" w:pos="1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(364)</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(443,760)</w:t>
      </w:r>
      <w:r>
        <w:rPr>
          <w:rFonts w:ascii="Arial" w:cs="Arial" w:eastAsia="Arial" w:hAnsi="Arial"/>
          <w:sz w:val="14"/>
          <w:szCs w:val="14"/>
          <w:color w:val="auto"/>
        </w:rPr>
        <w:t>(347,401)</w:t>
      </w:r>
    </w:p>
    <w:p>
      <w:pPr>
        <w:spacing w:after="0" w:line="49" w:lineRule="exact"/>
        <w:rPr>
          <w:sz w:val="20"/>
          <w:szCs w:val="20"/>
          <w:color w:val="auto"/>
        </w:rPr>
      </w:pPr>
    </w:p>
    <w:p>
      <w:pPr>
        <w:sectPr>
          <w:pgSz w:w="11900" w:h="16838" w:orient="portrait"/>
          <w:cols w:equalWidth="0" w:num="3">
            <w:col w:w="8480" w:space="120"/>
            <w:col w:w="80" w:space="580"/>
            <w:col w:w="2160"/>
          </w:cols>
          <w:pgMar w:left="240" w:top="364" w:right="2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8580" w:type="dxa"/>
            <w:vAlign w:val="bottom"/>
          </w:tcPr>
          <w:p>
            <w:pPr>
              <w:ind w:left="20"/>
              <w:spacing w:after="0"/>
              <w:rPr>
                <w:sz w:val="20"/>
                <w:szCs w:val="20"/>
                <w:color w:val="auto"/>
              </w:rPr>
            </w:pPr>
            <w:r>
              <w:rPr>
                <w:rFonts w:ascii="Arial" w:cs="Arial" w:eastAsia="Arial" w:hAnsi="Arial"/>
                <w:sz w:val="16"/>
                <w:szCs w:val="16"/>
                <w:color w:val="auto"/>
              </w:rPr>
              <w:t>Total stockholders’ (deficit) equity</w:t>
            </w:r>
          </w:p>
        </w:tc>
        <w:tc>
          <w:tcPr>
            <w:tcW w:w="4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193,493</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(286,514)</w:t>
            </w:r>
          </w:p>
        </w:tc>
      </w:tr>
      <w:tr>
        <w:trPr>
          <w:trHeight w:val="60"/>
        </w:trPr>
        <w:tc>
          <w:tcPr>
            <w:tcW w:w="858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redeemable convertible preferred stock and stockholders’ equity (deficit)</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415,196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174,432</w:t>
            </w:r>
          </w:p>
        </w:tc>
      </w:tr>
      <w:tr>
        <w:trPr>
          <w:trHeight w:val="60"/>
        </w:trPr>
        <w:tc>
          <w:tcPr>
            <w:tcW w:w="858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shd w:val="clear" w:color="auto" w:fill="CCEEFF"/>
          </w:tcPr>
          <w:p>
            <w:pPr>
              <w:spacing w:after="0"/>
              <w:rPr>
                <w:sz w:val="5"/>
                <w:szCs w:val="5"/>
                <w:color w:val="auto"/>
              </w:rPr>
            </w:pPr>
          </w:p>
        </w:tc>
        <w:tc>
          <w:tcPr>
            <w:tcW w:w="960" w:type="dxa"/>
            <w:vAlign w:val="bottom"/>
            <w:tcBorders>
              <w:bottom w:val="single" w:sz="8" w:color="auto"/>
            </w:tcBorders>
            <w:shd w:val="clear" w:color="auto" w:fill="CCEEFF"/>
          </w:tcPr>
          <w:p>
            <w:pPr>
              <w:spacing w:after="0"/>
              <w:rPr>
                <w:sz w:val="5"/>
                <w:szCs w:val="5"/>
                <w:color w:val="auto"/>
              </w:rPr>
            </w:pPr>
          </w:p>
        </w:tc>
      </w:tr>
      <w:tr>
        <w:trPr>
          <w:trHeight w:val="20"/>
        </w:trPr>
        <w:tc>
          <w:tcPr>
            <w:tcW w:w="85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type w:val="continuous"/>
        </w:sectPr>
      </w:pPr>
    </w:p>
    <w:p>
      <w:pPr>
        <w:spacing w:after="0" w:line="245"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364"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January 31,</w:t>
            </w:r>
          </w:p>
        </w:tc>
        <w:tc>
          <w:tcPr>
            <w:tcW w:w="280" w:type="dxa"/>
            <w:vAlign w:val="bottom"/>
          </w:tcPr>
          <w:p>
            <w:pPr>
              <w:spacing w:after="0"/>
              <w:rPr>
                <w:sz w:val="16"/>
                <w:szCs w:val="16"/>
                <w:color w:val="auto"/>
              </w:rPr>
            </w:pPr>
          </w:p>
        </w:tc>
        <w:tc>
          <w:tcPr>
            <w:tcW w:w="256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26"/>
        </w:trPr>
        <w:tc>
          <w:tcPr>
            <w:tcW w:w="56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41,887</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27,217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141,490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91,235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2,717</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13,029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10,123</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45,041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29,934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154,519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101,358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Cost of revenue</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Subscription</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9,097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5,696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30,766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19,352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3,304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2,649</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12,093</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10,515</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cost of revenue</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12,401</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8,345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42,859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29,867</w:t>
            </w:r>
          </w:p>
        </w:tc>
        <w:tc>
          <w:tcPr>
            <w:tcW w:w="0" w:type="dxa"/>
            <w:vAlign w:val="bottom"/>
          </w:tcPr>
          <w:p>
            <w:pPr>
              <w:spacing w:after="0"/>
              <w:rPr>
                <w:sz w:val="1"/>
                <w:szCs w:val="1"/>
                <w:color w:val="auto"/>
              </w:rPr>
            </w:pPr>
          </w:p>
        </w:tc>
      </w:tr>
      <w:tr>
        <w:trPr>
          <w:trHeight w:val="41"/>
        </w:trPr>
        <w:tc>
          <w:tcPr>
            <w:tcW w:w="5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32,640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21,589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111,660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71,491</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32,863</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22,474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109,950</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78,584</w:t>
            </w:r>
          </w:p>
        </w:tc>
        <w:tc>
          <w:tcPr>
            <w:tcW w:w="0" w:type="dxa"/>
            <w:vAlign w:val="bottom"/>
          </w:tcPr>
          <w:p>
            <w:pPr>
              <w:spacing w:after="0"/>
              <w:rPr>
                <w:sz w:val="1"/>
                <w:szCs w:val="1"/>
                <w:color w:val="auto"/>
              </w:rPr>
            </w:pPr>
          </w:p>
        </w:tc>
      </w:tr>
      <w:tr>
        <w:trPr>
          <w:trHeight w:val="270"/>
        </w:trPr>
        <w:tc>
          <w:tcPr>
            <w:tcW w:w="5620" w:type="dxa"/>
            <w:vAlign w:val="bottom"/>
          </w:tcPr>
          <w:p>
            <w:pPr>
              <w:ind w:left="40"/>
              <w:spacing w:after="0" w:line="27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16,788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13,232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62,202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51,772</w:t>
            </w:r>
          </w:p>
        </w:tc>
        <w:tc>
          <w:tcPr>
            <w:tcW w:w="0" w:type="dxa"/>
            <w:vAlign w:val="bottom"/>
          </w:tcPr>
          <w:p>
            <w:pPr>
              <w:spacing w:after="0"/>
              <w:rPr>
                <w:sz w:val="1"/>
                <w:szCs w:val="1"/>
                <w:color w:val="auto"/>
              </w:rPr>
            </w:pPr>
          </w:p>
        </w:tc>
      </w:tr>
      <w:tr>
        <w:trPr>
          <w:trHeight w:val="284"/>
        </w:trPr>
        <w:tc>
          <w:tcPr>
            <w:tcW w:w="5620" w:type="dxa"/>
            <w:vAlign w:val="bottom"/>
            <w:shd w:val="clear" w:color="auto" w:fill="CCEEFF"/>
          </w:tcPr>
          <w:p>
            <w:pPr>
              <w:ind w:left="40"/>
              <w:spacing w:after="0" w:line="283"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5"/>
                <w:szCs w:val="25"/>
                <w:color w:val="auto"/>
                <w:vertAlign w:val="superscript"/>
              </w:rPr>
              <w:t>(1)</w:t>
            </w:r>
          </w:p>
        </w:tc>
        <w:tc>
          <w:tcPr>
            <w:tcW w:w="26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10,242</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7,166</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36,775</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27,082</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59,893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42,872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208,927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157,438</w:t>
            </w:r>
          </w:p>
        </w:tc>
        <w:tc>
          <w:tcPr>
            <w:tcW w:w="0" w:type="dxa"/>
            <w:vAlign w:val="bottom"/>
          </w:tcPr>
          <w:p>
            <w:pPr>
              <w:spacing w:after="0"/>
              <w:rPr>
                <w:sz w:val="1"/>
                <w:szCs w:val="1"/>
                <w:color w:val="auto"/>
              </w:rPr>
            </w:pPr>
          </w:p>
        </w:tc>
      </w:tr>
      <w:tr>
        <w:trPr>
          <w:trHeight w:val="41"/>
        </w:trPr>
        <w:tc>
          <w:tcPr>
            <w:tcW w:w="5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(97,267)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(85,947)</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2,195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41"/>
        </w:trPr>
        <w:tc>
          <w:tcPr>
            <w:tcW w:w="5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before provision for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(85,962)</w:t>
            </w:r>
          </w:p>
        </w:tc>
        <w:tc>
          <w:tcPr>
            <w:tcW w:w="0" w:type="dxa"/>
            <w:vAlign w:val="bottom"/>
          </w:tcPr>
          <w:p>
            <w:pPr>
              <w:spacing w:after="0"/>
              <w:rPr>
                <w:sz w:val="1"/>
                <w:szCs w:val="1"/>
                <w:color w:val="auto"/>
              </w:rPr>
            </w:pP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1,287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41"/>
        </w:trPr>
        <w:tc>
          <w:tcPr>
            <w:tcW w:w="56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6"/>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(26,374)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(21,820)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(96,359)</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(86,681)</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4"/>
              </w:rPr>
              <w:t>Net loss per share attributable to common stockholders, basic and diluted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189"/>
        </w:trPr>
        <w:tc>
          <w:tcPr>
            <w:tcW w:w="562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w w:val="91"/>
              </w:rPr>
              <w:t>Weighted-average shares used to compute net loss per share attributable to</w:t>
            </w:r>
          </w:p>
        </w:tc>
        <w:tc>
          <w:tcPr>
            <w:tcW w:w="26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50,287,162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12,891,905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23,718,391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12,211,711</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stockholders, basic and diluted</w:t>
            </w:r>
          </w:p>
        </w:tc>
        <w:tc>
          <w:tcPr>
            <w:tcW w:w="2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355917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9175" cy="17145"/>
                    </a:xfrm>
                    <a:prstGeom prst="rect">
                      <a:avLst/>
                    </a:prstGeom>
                    <a:noFill/>
                  </pic:spPr>
                </pic:pic>
              </a:graphicData>
            </a:graphic>
          </wp:anchor>
        </w:drawing>
      </w:r>
    </w:p>
    <w:p>
      <w:pPr>
        <w:spacing w:after="0" w:line="323" w:lineRule="exact"/>
        <w:rPr>
          <w:sz w:val="20"/>
          <w:szCs w:val="20"/>
          <w:color w:val="auto"/>
        </w:rPr>
      </w:pPr>
    </w:p>
    <w:p>
      <w:pPr>
        <w:ind w:left="200" w:hanging="165"/>
        <w:spacing w:after="0"/>
        <w:tabs>
          <w:tab w:leader="none" w:pos="200" w:val="left"/>
        </w:tabs>
        <w:numPr>
          <w:ilvl w:val="0"/>
          <w:numId w:val="9"/>
        </w:numPr>
        <w:rPr>
          <w:rFonts w:ascii="Arial" w:cs="Arial" w:eastAsia="Arial" w:hAnsi="Arial"/>
          <w:sz w:val="19"/>
          <w:szCs w:val="19"/>
          <w:color w:val="auto"/>
          <w:vertAlign w:val="superscript"/>
        </w:rPr>
      </w:pPr>
      <w:r>
        <w:rPr>
          <w:rFonts w:ascii="Arial" w:cs="Arial" w:eastAsia="Arial" w:hAnsi="Arial"/>
          <w:sz w:val="15"/>
          <w:szCs w:val="15"/>
          <w:color w:val="auto"/>
        </w:rPr>
        <w:t>Includes stock-based compensation expense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9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6"/>
                <w:szCs w:val="16"/>
                <w:color w:val="auto"/>
              </w:rPr>
            </w:pPr>
          </w:p>
        </w:tc>
        <w:tc>
          <w:tcPr>
            <w:tcW w:w="25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Year Ended January 31,</w:t>
            </w:r>
          </w:p>
        </w:tc>
      </w:tr>
      <w:tr>
        <w:trPr>
          <w:trHeight w:val="26"/>
        </w:trPr>
        <w:tc>
          <w:tcPr>
            <w:tcW w:w="56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60"/>
              <w:spacing w:after="0"/>
              <w:rPr>
                <w:sz w:val="20"/>
                <w:szCs w:val="20"/>
                <w:color w:val="auto"/>
              </w:rPr>
            </w:pPr>
            <w:r>
              <w:rPr>
                <w:rFonts w:ascii="Arial" w:cs="Arial" w:eastAsia="Arial" w:hAnsi="Arial"/>
                <w:sz w:val="14"/>
                <w:szCs w:val="14"/>
                <w:b w:val="1"/>
                <w:bCs w:val="1"/>
                <w:color w:val="auto"/>
              </w:rPr>
              <w:t>2017</w:t>
            </w:r>
          </w:p>
        </w:tc>
      </w:tr>
      <w:tr>
        <w:trPr>
          <w:trHeight w:val="26"/>
        </w:trPr>
        <w:tc>
          <w:tcPr>
            <w:tcW w:w="56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Cost of revenue—subscription</w:t>
            </w:r>
          </w:p>
        </w:tc>
        <w:tc>
          <w:tcPr>
            <w:tcW w:w="880" w:type="dxa"/>
            <w:vAlign w:val="bottom"/>
            <w:tcBorders>
              <w:bottom w:val="single" w:sz="8" w:color="CCEEFF"/>
            </w:tcBorders>
            <w:shd w:val="clear" w:color="auto" w:fill="CCEEFF"/>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730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w:t>
            </w:r>
          </w:p>
        </w:tc>
      </w:tr>
      <w:tr>
        <w:trPr>
          <w:trHeight w:val="237"/>
        </w:trPr>
        <w:tc>
          <w:tcPr>
            <w:tcW w:w="5620" w:type="dxa"/>
            <w:vAlign w:val="bottom"/>
          </w:tcPr>
          <w:p>
            <w:pPr>
              <w:ind w:left="20"/>
              <w:spacing w:after="0"/>
              <w:rPr>
                <w:sz w:val="20"/>
                <w:szCs w:val="20"/>
                <w:color w:val="auto"/>
              </w:rPr>
            </w:pPr>
            <w:r>
              <w:rPr>
                <w:rFonts w:ascii="Arial" w:cs="Arial" w:eastAsia="Arial" w:hAnsi="Arial"/>
                <w:sz w:val="16"/>
                <w:szCs w:val="16"/>
                <w:color w:val="auto"/>
              </w:rPr>
              <w:t>Cost of revenue—services</w:t>
            </w: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482</w:t>
            </w: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1,964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1,168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6,364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5,514</w:t>
            </w:r>
          </w:p>
        </w:tc>
      </w:tr>
      <w:tr>
        <w:trPr>
          <w:trHeight w:val="237"/>
        </w:trPr>
        <w:tc>
          <w:tcPr>
            <w:tcW w:w="56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8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1,680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5,752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Arial" w:cs="Arial" w:eastAsia="Arial" w:hAnsi="Arial"/>
                <w:sz w:val="16"/>
                <w:szCs w:val="16"/>
                <w:color w:val="auto"/>
              </w:rPr>
              <w:t>5,755</w:t>
            </w:r>
          </w:p>
        </w:tc>
      </w:tr>
      <w:tr>
        <w:trPr>
          <w:trHeight w:val="33"/>
        </w:trPr>
        <w:tc>
          <w:tcPr>
            <w:tcW w:w="56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2,128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7,927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8,683</w:t>
            </w:r>
          </w:p>
        </w:tc>
      </w:tr>
      <w:tr>
        <w:trPr>
          <w:trHeight w:val="217"/>
        </w:trPr>
        <w:tc>
          <w:tcPr>
            <w:tcW w:w="5620" w:type="dxa"/>
            <w:vAlign w:val="bottom"/>
          </w:tcPr>
          <w:p>
            <w:pPr>
              <w:ind w:left="200"/>
              <w:spacing w:after="0" w:line="184" w:lineRule="exact"/>
              <w:rPr>
                <w:sz w:val="20"/>
                <w:szCs w:val="20"/>
                <w:color w:val="auto"/>
              </w:rPr>
            </w:pPr>
            <w:r>
              <w:rPr>
                <w:rFonts w:ascii="Arial" w:cs="Arial" w:eastAsia="Arial" w:hAnsi="Arial"/>
                <w:sz w:val="16"/>
                <w:szCs w:val="16"/>
                <w:color w:val="auto"/>
              </w:rPr>
              <w:t>Total stock</w:t>
            </w:r>
            <w:r>
              <w:rPr>
                <w:rFonts w:ascii="MS PGothic" w:cs="MS PGothic" w:eastAsia="MS PGothic" w:hAnsi="MS PGothic"/>
                <w:sz w:val="16"/>
                <w:szCs w:val="16"/>
                <w:color w:val="auto"/>
              </w:rPr>
              <w:t>‑</w:t>
            </w:r>
            <w:r>
              <w:rPr>
                <w:rFonts w:ascii="Arial" w:cs="Arial" w:eastAsia="Arial" w:hAnsi="Arial"/>
                <w:sz w:val="16"/>
                <w:szCs w:val="16"/>
                <w:color w:val="auto"/>
              </w:rPr>
              <w:t>based compensation expense</w:t>
            </w:r>
          </w:p>
        </w:tc>
        <w:tc>
          <w:tcPr>
            <w:tcW w:w="880" w:type="dxa"/>
            <w:vAlign w:val="bottom"/>
            <w:tcBorders>
              <w:top w:val="single" w:sz="8" w:color="auto"/>
            </w:tcBorders>
          </w:tcPr>
          <w:p>
            <w:pPr>
              <w:jc w:val="right"/>
              <w:ind w:right="703"/>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6,169</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4,487</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21,235</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21,004</w:t>
            </w:r>
          </w:p>
        </w:tc>
      </w:tr>
      <w:tr>
        <w:trPr>
          <w:trHeight w:val="60"/>
        </w:trPr>
        <w:tc>
          <w:tcPr>
            <w:tcW w:w="5620" w:type="dxa"/>
            <w:vAlign w:val="bottom"/>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36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January 31,</w:t>
            </w:r>
          </w:p>
        </w:tc>
        <w:tc>
          <w:tcPr>
            <w:tcW w:w="340" w:type="dxa"/>
            <w:vAlign w:val="bottom"/>
          </w:tcPr>
          <w:p>
            <w:pPr>
              <w:spacing w:after="0"/>
              <w:rPr>
                <w:sz w:val="16"/>
                <w:szCs w:val="16"/>
                <w:color w:val="auto"/>
              </w:rPr>
            </w:pPr>
          </w:p>
        </w:tc>
        <w:tc>
          <w:tcPr>
            <w:tcW w:w="2680" w:type="dxa"/>
            <w:vAlign w:val="bottom"/>
            <w:gridSpan w:val="4"/>
          </w:tcPr>
          <w:p>
            <w:pPr>
              <w:jc w:val="right"/>
              <w:ind w:right="679"/>
              <w:spacing w:after="0"/>
              <w:rPr>
                <w:sz w:val="20"/>
                <w:szCs w:val="20"/>
                <w:color w:val="auto"/>
              </w:rPr>
            </w:pPr>
            <w:r>
              <w:rPr>
                <w:rFonts w:ascii="Arial" w:cs="Arial" w:eastAsia="Arial" w:hAnsi="Arial"/>
                <w:sz w:val="14"/>
                <w:szCs w:val="14"/>
                <w:b w:val="1"/>
                <w:bCs w:val="1"/>
                <w:color w:val="auto"/>
              </w:rPr>
              <w:t>Year Ended January 31,</w:t>
            </w:r>
          </w:p>
        </w:tc>
      </w:tr>
      <w:tr>
        <w:trPr>
          <w:trHeight w:val="26"/>
        </w:trPr>
        <w:tc>
          <w:tcPr>
            <w:tcW w:w="5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8"/>
        </w:trPr>
        <w:tc>
          <w:tcPr>
            <w:tcW w:w="5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539"/>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52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99"/>
              <w:spacing w:after="0"/>
              <w:rPr>
                <w:sz w:val="20"/>
                <w:szCs w:val="20"/>
                <w:color w:val="auto"/>
              </w:rPr>
            </w:pPr>
            <w:r>
              <w:rPr>
                <w:rFonts w:ascii="Arial" w:cs="Arial" w:eastAsia="Arial" w:hAnsi="Arial"/>
                <w:sz w:val="14"/>
                <w:szCs w:val="14"/>
                <w:b w:val="1"/>
                <w:bCs w:val="1"/>
                <w:color w:val="auto"/>
              </w:rPr>
              <w:t>2017</w:t>
            </w:r>
          </w:p>
        </w:tc>
      </w:tr>
      <w:tr>
        <w:trPr>
          <w:trHeight w:val="26"/>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(26,374)</w:t>
            </w:r>
          </w:p>
        </w:tc>
        <w:tc>
          <w:tcPr>
            <w:tcW w:w="12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(21,820)</w:t>
            </w:r>
          </w:p>
        </w:tc>
        <w:tc>
          <w:tcPr>
            <w:tcW w:w="12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(96,359)</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(86,681)</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9"/>
              </w:rPr>
              <w:t>Adjustments to reconcile net loss to net cash used in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914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970</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3,703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3,751</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6,169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4,487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21,235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21,004</w:t>
            </w: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(465)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Change in fair value of warrant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37"/>
        </w:trPr>
        <w:tc>
          <w:tcPr>
            <w:tcW w:w="5160" w:type="dxa"/>
            <w:vAlign w:val="bottom"/>
          </w:tcPr>
          <w:p>
            <w:pPr>
              <w:ind w:left="20"/>
              <w:spacing w:after="0"/>
              <w:rPr>
                <w:sz w:val="20"/>
                <w:szCs w:val="20"/>
                <w:color w:val="auto"/>
              </w:rPr>
            </w:pPr>
            <w:r>
              <w:rPr>
                <w:rFonts w:ascii="Arial" w:cs="Arial" w:eastAsia="Arial" w:hAnsi="Arial"/>
                <w:sz w:val="16"/>
                <w:szCs w:val="16"/>
                <w:color w:val="auto"/>
              </w:rPr>
              <w:t>Change in operating assets and liabilities: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(13,863)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(15,901)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(9,263)</w:t>
            </w: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985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(2,595)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(450)</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Deferred commissions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(6,019)</w:t>
            </w: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Other long-term assets</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(784)</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1,296</w:t>
            </w: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Deferred rent</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(672)</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Accrued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5,952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1,891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8,115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3,948</w:t>
            </w: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Deferred revenue</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22,266</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20,066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44,060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35,834</w:t>
            </w:r>
          </w:p>
        </w:tc>
      </w:tr>
      <w:tr>
        <w:trPr>
          <w:trHeight w:val="33"/>
        </w:trPr>
        <w:tc>
          <w:tcPr>
            <w:tcW w:w="51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(7,712)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(38,078)</w:t>
            </w:r>
          </w:p>
        </w:tc>
      </w:tr>
      <w:tr>
        <w:trPr>
          <w:trHeight w:val="237"/>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(1,683)</w:t>
            </w: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rPr>
              <w:t>Proceeds from maturities of marketable securities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8,000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82,230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114,775</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Purchases of marketable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(179,503)</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(252,382)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(82,036)</w:t>
            </w: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(171,924)</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(172,287)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31,056</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0"/>
        </w:trPr>
        <w:tc>
          <w:tcPr>
            <w:tcW w:w="5160" w:type="dxa"/>
            <w:vAlign w:val="bottom"/>
          </w:tcPr>
          <w:p>
            <w:pPr>
              <w:ind w:left="200"/>
              <w:spacing w:after="0"/>
              <w:rPr>
                <w:sz w:val="20"/>
                <w:szCs w:val="20"/>
                <w:color w:val="auto"/>
              </w:rPr>
            </w:pPr>
            <w:r>
              <w:rPr>
                <w:rFonts w:ascii="Arial" w:cs="Arial" w:eastAsia="Arial" w:hAnsi="Arial"/>
                <w:sz w:val="16"/>
                <w:szCs w:val="16"/>
                <w:color w:val="auto"/>
                <w:w w:val="96"/>
              </w:rPr>
              <w:t>Proceeds from exercise of stock options, including early exercised stock</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6"/>
        </w:trPr>
        <w:tc>
          <w:tcPr>
            <w:tcW w:w="5160" w:type="dxa"/>
            <w:vAlign w:val="bottom"/>
          </w:tcPr>
          <w:p>
            <w:pPr>
              <w:ind w:left="380"/>
              <w:spacing w:after="0"/>
              <w:rPr>
                <w:sz w:val="20"/>
                <w:szCs w:val="20"/>
                <w:color w:val="auto"/>
              </w:rPr>
            </w:pPr>
            <w:r>
              <w:rPr>
                <w:rFonts w:ascii="Arial" w:cs="Arial" w:eastAsia="Arial" w:hAnsi="Arial"/>
                <w:sz w:val="16"/>
                <w:szCs w:val="16"/>
                <w:color w:val="auto"/>
              </w:rPr>
              <w:t>options</w:t>
            </w:r>
          </w:p>
        </w:tc>
        <w:tc>
          <w:tcPr>
            <w:tcW w:w="320" w:type="dxa"/>
            <w:vAlign w:val="bottom"/>
          </w:tcPr>
          <w:p>
            <w:pPr>
              <w:spacing w:after="0"/>
              <w:rPr>
                <w:sz w:val="17"/>
                <w:szCs w:val="17"/>
                <w:color w:val="auto"/>
              </w:rPr>
            </w:pPr>
          </w:p>
        </w:tc>
        <w:tc>
          <w:tcPr>
            <w:tcW w:w="1180" w:type="dxa"/>
            <w:vAlign w:val="bottom"/>
          </w:tcPr>
          <w:p>
            <w:pPr>
              <w:jc w:val="right"/>
              <w:ind w:right="40"/>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1,033</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8,367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8,220</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Repurchase of early exercised stock options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24"/>
        </w:trPr>
        <w:tc>
          <w:tcPr>
            <w:tcW w:w="5160" w:type="dxa"/>
            <w:vAlign w:val="bottom"/>
          </w:tcPr>
          <w:p>
            <w:pPr>
              <w:ind w:left="200"/>
              <w:spacing w:after="0"/>
              <w:rPr>
                <w:sz w:val="20"/>
                <w:szCs w:val="20"/>
                <w:color w:val="auto"/>
              </w:rPr>
            </w:pPr>
            <w:r>
              <w:rPr>
                <w:rFonts w:ascii="Arial" w:cs="Arial" w:eastAsia="Arial" w:hAnsi="Arial"/>
                <w:sz w:val="16"/>
                <w:szCs w:val="16"/>
                <w:color w:val="auto"/>
              </w:rPr>
              <w:t>Proceeds from issuance of Series F financing, net of issuance cost</w:t>
            </w:r>
          </w:p>
        </w:tc>
        <w:tc>
          <w:tcPr>
            <w:tcW w:w="32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34,942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34,942</w:t>
            </w:r>
          </w:p>
        </w:tc>
      </w:tr>
      <w:tr>
        <w:trPr>
          <w:trHeight w:val="47"/>
        </w:trPr>
        <w:tc>
          <w:tcPr>
            <w:tcW w:w="5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w w:val="98"/>
              </w:rPr>
              <w:t>Proceeds from the IPO, net of underwriting discounts and commissions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205,494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5160" w:type="dxa"/>
            <w:vAlign w:val="bottom"/>
          </w:tcPr>
          <w:p>
            <w:pPr>
              <w:ind w:left="200"/>
              <w:spacing w:after="0"/>
              <w:rPr>
                <w:sz w:val="20"/>
                <w:szCs w:val="20"/>
                <w:color w:val="auto"/>
              </w:rPr>
            </w:pPr>
            <w:r>
              <w:rPr>
                <w:rFonts w:ascii="Arial" w:cs="Arial" w:eastAsia="Arial" w:hAnsi="Arial"/>
                <w:sz w:val="16"/>
                <w:szCs w:val="16"/>
                <w:color w:val="auto"/>
                <w:w w:val="92"/>
              </w:rPr>
              <w:t>Proceeds from exercise of redeemable convertible preferred stock warrants</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Payment of offering costs</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(1,384)</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(3,728)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5160" w:type="dxa"/>
            <w:vAlign w:val="bottom"/>
          </w:tcPr>
          <w:p>
            <w:pPr>
              <w:ind w:left="380"/>
              <w:spacing w:after="0"/>
              <w:rPr>
                <w:sz w:val="20"/>
                <w:szCs w:val="20"/>
                <w:color w:val="auto"/>
              </w:rPr>
            </w:pPr>
            <w:r>
              <w:rPr>
                <w:rFonts w:ascii="Arial" w:cs="Arial" w:eastAsia="Arial" w:hAnsi="Arial"/>
                <w:sz w:val="16"/>
                <w:szCs w:val="16"/>
                <w:color w:val="auto"/>
              </w:rPr>
              <w:t>Net cash (used in) provided by financing activities</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(1,311)</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35,949</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209,892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43,114</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w w:val="91"/>
              </w:rPr>
              <w:t>Effect of exchange rate changes on cash, cash equivalents, and restricted cash</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291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w:t>
            </w:r>
          </w:p>
        </w:tc>
      </w:tr>
      <w:tr>
        <w:trPr>
          <w:trHeight w:val="217"/>
        </w:trPr>
        <w:tc>
          <w:tcPr>
            <w:tcW w:w="516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(180,838)</w:t>
            </w: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25,550</w:t>
            </w: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(6,985)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36,099</w:t>
            </w:r>
          </w:p>
        </w:tc>
      </w:tr>
      <w:tr>
        <w:trPr>
          <w:trHeight w:val="33"/>
        </w:trPr>
        <w:tc>
          <w:tcPr>
            <w:tcW w:w="5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243,265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43,862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69,412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33,313</w:t>
            </w:r>
          </w:p>
        </w:tc>
      </w:tr>
      <w:tr>
        <w:trPr>
          <w:trHeight w:val="231"/>
        </w:trPr>
        <w:tc>
          <w:tcPr>
            <w:tcW w:w="51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62,427</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69,412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62,427</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69,412</w:t>
            </w:r>
          </w:p>
        </w:tc>
      </w:tr>
      <w:tr>
        <w:trPr>
          <w:trHeight w:val="47"/>
        </w:trPr>
        <w:tc>
          <w:tcPr>
            <w:tcW w:w="516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0"/>
        </w:trPr>
        <w:tc>
          <w:tcPr>
            <w:tcW w:w="5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1" w:name="page12"/>
    <w:bookmarkEnd w:id="11"/>
    <w:p>
      <w:pPr>
        <w:jc w:val="center"/>
        <w:ind w:left="500"/>
        <w:spacing w:after="0"/>
        <w:rPr>
          <w:sz w:val="20"/>
          <w:szCs w:val="20"/>
          <w:color w:val="auto"/>
        </w:rPr>
      </w:pPr>
      <w:r>
        <w:rPr>
          <w:rFonts w:ascii="Arial" w:cs="Arial" w:eastAsia="Arial" w:hAnsi="Arial"/>
          <w:sz w:val="18"/>
          <w:szCs w:val="18"/>
          <w:b w:val="1"/>
          <w:bCs w:val="1"/>
          <w:color w:val="auto"/>
        </w:rPr>
        <w:t>MONGODB, INC.</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RECONCILIATION OF GAAP MEASURES TO NON-GAAP MEASURES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January 31,</w:t>
            </w:r>
          </w:p>
        </w:tc>
        <w:tc>
          <w:tcPr>
            <w:tcW w:w="320" w:type="dxa"/>
            <w:vAlign w:val="bottom"/>
          </w:tcPr>
          <w:p>
            <w:pPr>
              <w:spacing w:after="0"/>
              <w:rPr>
                <w:sz w:val="16"/>
                <w:szCs w:val="16"/>
                <w:color w:val="auto"/>
              </w:rPr>
            </w:pPr>
          </w:p>
        </w:tc>
        <w:tc>
          <w:tcPr>
            <w:tcW w:w="258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26"/>
        </w:trPr>
        <w:tc>
          <w:tcPr>
            <w:tcW w:w="5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5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81"/>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80"/>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6"/>
        </w:trPr>
        <w:tc>
          <w:tcPr>
            <w:tcW w:w="5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 of GAAP gross profit to non-GAAP 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40" w:type="dxa"/>
            <w:vAlign w:val="bottom"/>
          </w:tcPr>
          <w:p>
            <w:pPr>
              <w:ind w:left="180"/>
              <w:spacing w:after="0"/>
              <w:rPr>
                <w:sz w:val="20"/>
                <w:szCs w:val="20"/>
                <w:color w:val="auto"/>
              </w:rPr>
            </w:pPr>
            <w:r>
              <w:rPr>
                <w:rFonts w:ascii="Arial" w:cs="Arial" w:eastAsia="Arial" w:hAnsi="Arial"/>
                <w:sz w:val="16"/>
                <w:szCs w:val="16"/>
                <w:color w:val="auto"/>
              </w:rPr>
              <w:t>Gross profit on a GAAP basis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32,640</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21,589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111,660</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71,491</w:t>
            </w: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shd w:val="clear" w:color="auto" w:fill="CCEEFF"/>
          </w:tcPr>
          <w:p>
            <w:pPr>
              <w:ind w:left="280"/>
              <w:spacing w:after="0"/>
              <w:rPr>
                <w:sz w:val="20"/>
                <w:szCs w:val="20"/>
                <w:color w:val="auto"/>
              </w:rPr>
            </w:pPr>
            <w:r>
              <w:rPr>
                <w:rFonts w:ascii="Arial" w:cs="Arial" w:eastAsia="Arial" w:hAnsi="Arial"/>
                <w:sz w:val="14"/>
                <w:szCs w:val="14"/>
                <w:i w:val="1"/>
                <w:iCs w:val="1"/>
                <w:color w:val="auto"/>
              </w:rPr>
              <w:t>Gross margin (Gross profit/Total revenue) on a GAAP basis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72.5%</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72.1%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72.3%</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70.5%</w:t>
            </w:r>
          </w:p>
        </w:tc>
        <w:tc>
          <w:tcPr>
            <w:tcW w:w="0" w:type="dxa"/>
            <w:vAlign w:val="bottom"/>
          </w:tcPr>
          <w:p>
            <w:pPr>
              <w:spacing w:after="0"/>
              <w:rPr>
                <w:sz w:val="1"/>
                <w:szCs w:val="1"/>
                <w:color w:val="auto"/>
              </w:rPr>
            </w:pPr>
          </w:p>
        </w:tc>
      </w:tr>
      <w:tr>
        <w:trPr>
          <w:trHeight w:val="237"/>
        </w:trPr>
        <w:tc>
          <w:tcPr>
            <w:tcW w:w="5540" w:type="dxa"/>
            <w:vAlign w:val="bottom"/>
          </w:tcPr>
          <w:p>
            <w:pPr>
              <w:ind w:left="180"/>
              <w:spacing w:after="0"/>
              <w:rPr>
                <w:sz w:val="20"/>
                <w:szCs w:val="20"/>
                <w:color w:val="auto"/>
              </w:rPr>
            </w:pPr>
            <w:r>
              <w:rPr>
                <w:rFonts w:ascii="Arial" w:cs="Arial" w:eastAsia="Arial" w:hAnsi="Arial"/>
                <w:sz w:val="16"/>
                <w:szCs w:val="16"/>
                <w:color w:val="auto"/>
              </w:rPr>
              <w:t>Add back:</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 Cost of Revenue—Subscription</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730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237"/>
        </w:trPr>
        <w:tc>
          <w:tcPr>
            <w:tcW w:w="5540" w:type="dxa"/>
            <w:vAlign w:val="bottom"/>
          </w:tcPr>
          <w:p>
            <w:pPr>
              <w:ind w:left="280"/>
              <w:spacing w:after="0"/>
              <w:rPr>
                <w:sz w:val="20"/>
                <w:szCs w:val="20"/>
                <w:color w:val="auto"/>
              </w:rPr>
            </w:pPr>
            <w:r>
              <w:rPr>
                <w:rFonts w:ascii="Arial" w:cs="Arial" w:eastAsia="Arial" w:hAnsi="Arial"/>
                <w:sz w:val="16"/>
                <w:szCs w:val="16"/>
                <w:color w:val="auto"/>
              </w:rPr>
              <w:t>Stock-based compensation expense: Cost of Revenue—Services</w:t>
            </w:r>
          </w:p>
        </w:tc>
        <w:tc>
          <w:tcPr>
            <w:tcW w:w="260" w:type="dxa"/>
            <w:vAlign w:val="bottom"/>
          </w:tcPr>
          <w:p>
            <w:pPr>
              <w:spacing w:after="0"/>
              <w:rPr>
                <w:sz w:val="20"/>
                <w:szCs w:val="20"/>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462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482</w:t>
            </w:r>
          </w:p>
        </w:tc>
        <w:tc>
          <w:tcPr>
            <w:tcW w:w="0" w:type="dxa"/>
            <w:vAlign w:val="bottom"/>
          </w:tcPr>
          <w:p>
            <w:pPr>
              <w:spacing w:after="0"/>
              <w:rPr>
                <w:sz w:val="1"/>
                <w:szCs w:val="1"/>
                <w:color w:val="auto"/>
              </w:rPr>
            </w:pPr>
          </w:p>
        </w:tc>
      </w:tr>
      <w:tr>
        <w:trPr>
          <w:trHeight w:val="33"/>
        </w:trPr>
        <w:tc>
          <w:tcPr>
            <w:tcW w:w="5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gross profit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33,037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21,819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112,852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72,543</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40" w:type="dxa"/>
            <w:vAlign w:val="bottom"/>
          </w:tcPr>
          <w:p>
            <w:pPr>
              <w:ind w:left="280"/>
              <w:spacing w:after="0"/>
              <w:rPr>
                <w:sz w:val="20"/>
                <w:szCs w:val="20"/>
                <w:color w:val="auto"/>
              </w:rPr>
            </w:pPr>
            <w:r>
              <w:rPr>
                <w:rFonts w:ascii="Arial" w:cs="Arial" w:eastAsia="Arial" w:hAnsi="Arial"/>
                <w:sz w:val="14"/>
                <w:szCs w:val="14"/>
                <w:i w:val="1"/>
                <w:iCs w:val="1"/>
                <w:color w:val="auto"/>
              </w:rPr>
              <w:t>Non-GAAP gross margin (Non-GAAP gross profit/Total revenue)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4"/>
                <w:szCs w:val="14"/>
                <w:i w:val="1"/>
                <w:iCs w:val="1"/>
                <w:color w:val="auto"/>
              </w:rPr>
              <w:t>73.3%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72.9%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73.0%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i w:val="1"/>
                <w:iCs w:val="1"/>
                <w:color w:val="auto"/>
              </w:rPr>
              <w:t>71.6%</w:t>
            </w:r>
          </w:p>
        </w:tc>
        <w:tc>
          <w:tcPr>
            <w:tcW w:w="0" w:type="dxa"/>
            <w:vAlign w:val="bottom"/>
          </w:tcPr>
          <w:p>
            <w:pPr>
              <w:spacing w:after="0"/>
              <w:rPr>
                <w:sz w:val="1"/>
                <w:szCs w:val="1"/>
                <w:color w:val="auto"/>
              </w:rPr>
            </w:pPr>
          </w:p>
        </w:tc>
      </w:tr>
      <w:tr>
        <w:trPr>
          <w:trHeight w:val="290"/>
        </w:trPr>
        <w:tc>
          <w:tcPr>
            <w:tcW w:w="5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Reconciliation of GAAP loss from operations to non-GAAP loss from</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operations:</w:t>
            </w: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from operations on a GAAP basis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(27,253)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(97,267)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(85,947)</w:t>
            </w:r>
          </w:p>
        </w:tc>
        <w:tc>
          <w:tcPr>
            <w:tcW w:w="0" w:type="dxa"/>
            <w:vAlign w:val="bottom"/>
          </w:tcPr>
          <w:p>
            <w:pPr>
              <w:spacing w:after="0"/>
              <w:rPr>
                <w:sz w:val="1"/>
                <w:szCs w:val="1"/>
                <w:color w:val="auto"/>
              </w:rPr>
            </w:pPr>
          </w:p>
        </w:tc>
      </w:tr>
      <w:tr>
        <w:trPr>
          <w:trHeight w:val="237"/>
        </w:trPr>
        <w:tc>
          <w:tcPr>
            <w:tcW w:w="5540" w:type="dxa"/>
            <w:vAlign w:val="bottom"/>
          </w:tcPr>
          <w:p>
            <w:pPr>
              <w:ind w:left="180"/>
              <w:spacing w:after="0"/>
              <w:rPr>
                <w:sz w:val="20"/>
                <w:szCs w:val="20"/>
                <w:color w:val="auto"/>
              </w:rPr>
            </w:pPr>
            <w:r>
              <w:rPr>
                <w:rFonts w:ascii="Arial" w:cs="Arial" w:eastAsia="Arial" w:hAnsi="Arial"/>
                <w:sz w:val="16"/>
                <w:szCs w:val="16"/>
                <w:color w:val="auto"/>
              </w:rPr>
              <w:t>Add back:</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spacing w:after="0"/>
              <w:rPr>
                <w:sz w:val="24"/>
                <w:szCs w:val="24"/>
                <w:color w:val="auto"/>
              </w:rPr>
            </w:pPr>
          </w:p>
        </w:tc>
        <w:tc>
          <w:tcPr>
            <w:tcW w:w="11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6,169</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4,487</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21,235</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21,004</w:t>
            </w:r>
          </w:p>
        </w:tc>
        <w:tc>
          <w:tcPr>
            <w:tcW w:w="0" w:type="dxa"/>
            <w:vAlign w:val="bottom"/>
          </w:tcPr>
          <w:p>
            <w:pPr>
              <w:spacing w:after="0"/>
              <w:rPr>
                <w:sz w:val="1"/>
                <w:szCs w:val="1"/>
                <w:color w:val="auto"/>
              </w:rPr>
            </w:pPr>
          </w:p>
        </w:tc>
      </w:tr>
      <w:tr>
        <w:trPr>
          <w:trHeight w:val="284"/>
        </w:trPr>
        <w:tc>
          <w:tcPr>
            <w:tcW w:w="55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Non-GAAP loss from operations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(21,084)</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(16,796)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(76,032)</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(64,943)</w:t>
            </w:r>
          </w:p>
        </w:tc>
        <w:tc>
          <w:tcPr>
            <w:tcW w:w="0" w:type="dxa"/>
            <w:vAlign w:val="bottom"/>
          </w:tcPr>
          <w:p>
            <w:pPr>
              <w:spacing w:after="0"/>
              <w:rPr>
                <w:sz w:val="1"/>
                <w:szCs w:val="1"/>
                <w:color w:val="auto"/>
              </w:rPr>
            </w:pPr>
          </w:p>
        </w:tc>
      </w:tr>
      <w:tr>
        <w:trPr>
          <w:trHeight w:val="271"/>
        </w:trPr>
        <w:tc>
          <w:tcPr>
            <w:tcW w:w="55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540" w:type="dxa"/>
            <w:vAlign w:val="bottom"/>
          </w:tcPr>
          <w:p>
            <w:pPr>
              <w:ind w:left="40"/>
              <w:spacing w:after="0"/>
              <w:rPr>
                <w:sz w:val="20"/>
                <w:szCs w:val="20"/>
                <w:color w:val="auto"/>
              </w:rPr>
            </w:pPr>
            <w:r>
              <w:rPr>
                <w:rFonts w:ascii="Arial" w:cs="Arial" w:eastAsia="Arial" w:hAnsi="Arial"/>
                <w:sz w:val="16"/>
                <w:szCs w:val="16"/>
                <w:b w:val="1"/>
                <w:bCs w:val="1"/>
                <w:color w:val="auto"/>
              </w:rPr>
              <w:t>Reconciliation of GAAP net loss to non-GAAP net loss:</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loss on a GAAP basis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(26,374)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(21,820)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(96,359)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(86,681)</w:t>
            </w:r>
          </w:p>
        </w:tc>
        <w:tc>
          <w:tcPr>
            <w:tcW w:w="0" w:type="dxa"/>
            <w:vAlign w:val="bottom"/>
          </w:tcPr>
          <w:p>
            <w:pPr>
              <w:spacing w:after="0"/>
              <w:rPr>
                <w:sz w:val="1"/>
                <w:szCs w:val="1"/>
                <w:color w:val="auto"/>
              </w:rPr>
            </w:pPr>
          </w:p>
        </w:tc>
      </w:tr>
      <w:tr>
        <w:trPr>
          <w:trHeight w:val="237"/>
        </w:trPr>
        <w:tc>
          <w:tcPr>
            <w:tcW w:w="5540" w:type="dxa"/>
            <w:vAlign w:val="bottom"/>
          </w:tcPr>
          <w:p>
            <w:pPr>
              <w:ind w:left="180"/>
              <w:spacing w:after="0"/>
              <w:rPr>
                <w:sz w:val="20"/>
                <w:szCs w:val="20"/>
                <w:color w:val="auto"/>
              </w:rPr>
            </w:pPr>
            <w:r>
              <w:rPr>
                <w:rFonts w:ascii="Arial" w:cs="Arial" w:eastAsia="Arial" w:hAnsi="Arial"/>
                <w:sz w:val="16"/>
                <w:szCs w:val="16"/>
                <w:color w:val="auto"/>
              </w:rPr>
              <w:t>Add back:</w:t>
            </w: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6,169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4,487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21,235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21,004</w:t>
            </w:r>
          </w:p>
        </w:tc>
        <w:tc>
          <w:tcPr>
            <w:tcW w:w="0" w:type="dxa"/>
            <w:vAlign w:val="bottom"/>
          </w:tcPr>
          <w:p>
            <w:pPr>
              <w:spacing w:after="0"/>
              <w:rPr>
                <w:sz w:val="1"/>
                <w:szCs w:val="1"/>
                <w:color w:val="auto"/>
              </w:rPr>
            </w:pPr>
          </w:p>
        </w:tc>
      </w:tr>
      <w:tr>
        <w:trPr>
          <w:trHeight w:val="237"/>
        </w:trPr>
        <w:tc>
          <w:tcPr>
            <w:tcW w:w="5540" w:type="dxa"/>
            <w:vAlign w:val="bottom"/>
          </w:tcPr>
          <w:p>
            <w:pPr>
              <w:ind w:left="280"/>
              <w:spacing w:after="0"/>
              <w:rPr>
                <w:sz w:val="20"/>
                <w:szCs w:val="20"/>
                <w:color w:val="auto"/>
              </w:rPr>
            </w:pPr>
            <w:r>
              <w:rPr>
                <w:rFonts w:ascii="Arial" w:cs="Arial" w:eastAsia="Arial" w:hAnsi="Arial"/>
                <w:sz w:val="16"/>
                <w:szCs w:val="16"/>
                <w:color w:val="auto"/>
              </w:rPr>
              <w:t>Change in fair value of warrant liability</w:t>
            </w:r>
          </w:p>
        </w:tc>
        <w:tc>
          <w:tcPr>
            <w:tcW w:w="26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106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(101)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3"/>
        </w:trPr>
        <w:tc>
          <w:tcPr>
            <w:tcW w:w="5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Non-GAAP net loss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(20,205)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(17,227)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(75,225)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(65,715)</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Reconciliation of GAAP net loss per share attributable to common</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1"/>
              </w:rPr>
              <w:t>stockholders, basic and diluted, to non-GAAP net loss per share attributable to</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common stockholders, basic and diluted:</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40" w:type="dxa"/>
            <w:vAlign w:val="bottom"/>
          </w:tcPr>
          <w:p>
            <w:pPr>
              <w:ind w:left="180"/>
              <w:spacing w:after="0"/>
              <w:rPr>
                <w:sz w:val="20"/>
                <w:szCs w:val="20"/>
                <w:color w:val="auto"/>
              </w:rPr>
            </w:pPr>
            <w:r>
              <w:rPr>
                <w:rFonts w:ascii="Arial" w:cs="Arial" w:eastAsia="Arial" w:hAnsi="Arial"/>
                <w:sz w:val="16"/>
                <w:szCs w:val="16"/>
                <w:color w:val="auto"/>
                <w:w w:val="95"/>
              </w:rPr>
              <w:t>Net loss per share attributable to common stockholders, basic and diluted, on a</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40" w:type="dxa"/>
            <w:vAlign w:val="bottom"/>
          </w:tcPr>
          <w:p>
            <w:pPr>
              <w:ind w:left="180"/>
              <w:spacing w:after="0"/>
              <w:rPr>
                <w:sz w:val="20"/>
                <w:szCs w:val="20"/>
                <w:color w:val="auto"/>
              </w:rPr>
            </w:pPr>
            <w:r>
              <w:rPr>
                <w:rFonts w:ascii="Arial" w:cs="Arial" w:eastAsia="Arial" w:hAnsi="Arial"/>
                <w:sz w:val="16"/>
                <w:szCs w:val="16"/>
                <w:color w:val="auto"/>
              </w:rPr>
              <w:t>GAAP basis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(0.52)</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(4.06)</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20"/>
              <w:spacing w:after="0"/>
              <w:rPr>
                <w:sz w:val="20"/>
                <w:szCs w:val="20"/>
                <w:color w:val="auto"/>
              </w:rPr>
            </w:pPr>
            <w:r>
              <w:rPr>
                <w:rFonts w:ascii="Arial" w:cs="Arial" w:eastAsia="Arial" w:hAnsi="Arial"/>
                <w:sz w:val="16"/>
                <w:szCs w:val="16"/>
                <w:color w:val="auto"/>
              </w:rPr>
              <w:t>(7.10)</w:t>
            </w: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 back:</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40" w:type="dxa"/>
            <w:vAlign w:val="bottom"/>
          </w:tcPr>
          <w:p>
            <w:pPr>
              <w:ind w:left="280"/>
              <w:spacing w:after="0"/>
              <w:rPr>
                <w:sz w:val="20"/>
                <w:szCs w:val="20"/>
                <w:color w:val="auto"/>
              </w:rPr>
            </w:pPr>
            <w:r>
              <w:rPr>
                <w:rFonts w:ascii="Arial" w:cs="Arial" w:eastAsia="Arial" w:hAnsi="Arial"/>
                <w:sz w:val="16"/>
                <w:szCs w:val="16"/>
                <w:color w:val="auto"/>
              </w:rPr>
              <w:t>Stock-based compensation expense</w:t>
            </w:r>
          </w:p>
        </w:tc>
        <w:tc>
          <w:tcPr>
            <w:tcW w:w="260" w:type="dxa"/>
            <w:vAlign w:val="bottom"/>
          </w:tcPr>
          <w:p>
            <w:pPr>
              <w:spacing w:after="0"/>
              <w:rPr>
                <w:sz w:val="20"/>
                <w:szCs w:val="20"/>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0.35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0.90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fair value of warrant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5540" w:type="dxa"/>
            <w:vAlign w:val="bottom"/>
          </w:tcPr>
          <w:p>
            <w:pPr>
              <w:ind w:left="280"/>
              <w:spacing w:after="0"/>
              <w:rPr>
                <w:sz w:val="20"/>
                <w:szCs w:val="20"/>
                <w:color w:val="auto"/>
              </w:rPr>
            </w:pPr>
            <w:r>
              <w:rPr>
                <w:rFonts w:ascii="Arial" w:cs="Arial" w:eastAsia="Arial" w:hAnsi="Arial"/>
                <w:sz w:val="16"/>
                <w:szCs w:val="16"/>
                <w:color w:val="auto"/>
                <w:w w:val="98"/>
              </w:rPr>
              <w:t>Impact of additional weighted-average shares giving effect to conversion of</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40" w:type="dxa"/>
            <w:vAlign w:val="bottom"/>
          </w:tcPr>
          <w:p>
            <w:pPr>
              <w:ind w:left="280"/>
              <w:spacing w:after="0"/>
              <w:rPr>
                <w:sz w:val="20"/>
                <w:szCs w:val="20"/>
                <w:color w:val="auto"/>
              </w:rPr>
            </w:pPr>
            <w:r>
              <w:rPr>
                <w:rFonts w:ascii="Arial" w:cs="Arial" w:eastAsia="Arial" w:hAnsi="Arial"/>
                <w:sz w:val="16"/>
                <w:szCs w:val="16"/>
                <w:color w:val="auto"/>
              </w:rPr>
              <w:t>preferred stock at the beginning of the period</w:t>
            </w:r>
          </w:p>
        </w:tc>
        <w:tc>
          <w:tcPr>
            <w:tcW w:w="26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0.89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3.65</w:t>
            </w:r>
          </w:p>
        </w:tc>
        <w:tc>
          <w:tcPr>
            <w:tcW w:w="0" w:type="dxa"/>
            <w:vAlign w:val="bottom"/>
          </w:tcPr>
          <w:p>
            <w:pPr>
              <w:spacing w:after="0"/>
              <w:rPr>
                <w:sz w:val="1"/>
                <w:szCs w:val="1"/>
                <w:color w:val="auto"/>
              </w:rPr>
            </w:pPr>
          </w:p>
        </w:tc>
      </w:tr>
      <w:tr>
        <w:trPr>
          <w:trHeight w:val="33"/>
        </w:trPr>
        <w:tc>
          <w:tcPr>
            <w:tcW w:w="5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7"/>
              </w:rPr>
              <w:t>Non-GAAP net loss per share attributable to common stockholders, basic and</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(0.40)</w:t>
            </w:r>
          </w:p>
        </w:tc>
        <w:tc>
          <w:tcPr>
            <w:tcW w:w="120" w:type="dxa"/>
            <w:vAlign w:val="bottom"/>
            <w:shd w:val="clear" w:color="auto" w:fill="CCEEFF"/>
          </w:tcPr>
          <w:p>
            <w:pPr>
              <w:spacing w:after="0"/>
              <w:rPr>
                <w:sz w:val="17"/>
                <w:szCs w:val="17"/>
                <w:color w:val="auto"/>
              </w:rPr>
            </w:pPr>
          </w:p>
        </w:tc>
        <w:tc>
          <w:tcPr>
            <w:tcW w:w="3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19"/>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5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8"/>
              </w:rPr>
              <w:t>Reconciliation of GAAP weighted-average shares outstanding, basic and</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5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w w:val="91"/>
              </w:rPr>
              <w:t>diluted, to non-GAAP weighted-average shares outstanding, basic and diluted,</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7"/>
              </w:rPr>
              <w:t>used to compute net loss per share attributable to common stockholders:</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540" w:type="dxa"/>
            <w:vAlign w:val="bottom"/>
          </w:tcPr>
          <w:p>
            <w:pPr>
              <w:ind w:left="180"/>
              <w:spacing w:after="0"/>
              <w:rPr>
                <w:sz w:val="20"/>
                <w:szCs w:val="20"/>
                <w:color w:val="auto"/>
              </w:rPr>
            </w:pPr>
            <w:r>
              <w:rPr>
                <w:rFonts w:ascii="Arial" w:cs="Arial" w:eastAsia="Arial" w:hAnsi="Arial"/>
                <w:sz w:val="16"/>
                <w:szCs w:val="16"/>
                <w:color w:val="auto"/>
                <w:w w:val="99"/>
              </w:rPr>
              <w:t>Weighted-average shares used to compute net loss per share attributable to</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40" w:type="dxa"/>
            <w:vAlign w:val="bottom"/>
          </w:tcPr>
          <w:p>
            <w:pPr>
              <w:ind w:left="180"/>
              <w:spacing w:after="0"/>
              <w:rPr>
                <w:sz w:val="20"/>
                <w:szCs w:val="20"/>
                <w:color w:val="auto"/>
              </w:rPr>
            </w:pPr>
            <w:r>
              <w:rPr>
                <w:rFonts w:ascii="Arial" w:cs="Arial" w:eastAsia="Arial" w:hAnsi="Arial"/>
                <w:sz w:val="16"/>
                <w:szCs w:val="16"/>
                <w:color w:val="auto"/>
              </w:rPr>
              <w:t>common stockholders, basic and diluted, on a GAAP basis</w:t>
            </w:r>
          </w:p>
        </w:tc>
        <w:tc>
          <w:tcPr>
            <w:tcW w:w="260" w:type="dxa"/>
            <w:vAlign w:val="bottom"/>
          </w:tcPr>
          <w:p>
            <w:pPr>
              <w:spacing w:after="0"/>
              <w:rPr>
                <w:sz w:val="17"/>
                <w:szCs w:val="17"/>
                <w:color w:val="auto"/>
              </w:rPr>
            </w:pP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50,287,162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12,891,905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23,718,391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12,211,711</w:t>
            </w:r>
          </w:p>
        </w:tc>
        <w:tc>
          <w:tcPr>
            <w:tcW w:w="0" w:type="dxa"/>
            <w:vAlign w:val="bottom"/>
          </w:tcPr>
          <w:p>
            <w:pPr>
              <w:spacing w:after="0"/>
              <w:rPr>
                <w:sz w:val="1"/>
                <w:szCs w:val="1"/>
                <w:color w:val="auto"/>
              </w:rPr>
            </w:pPr>
          </w:p>
        </w:tc>
      </w:tr>
      <w:tr>
        <w:trPr>
          <w:trHeight w:val="33"/>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Add back:</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5540" w:type="dxa"/>
            <w:vAlign w:val="bottom"/>
          </w:tcPr>
          <w:p>
            <w:pPr>
              <w:ind w:left="280"/>
              <w:spacing w:after="0"/>
              <w:rPr>
                <w:sz w:val="20"/>
                <w:szCs w:val="20"/>
                <w:color w:val="auto"/>
              </w:rPr>
            </w:pPr>
            <w:r>
              <w:rPr>
                <w:rFonts w:ascii="Arial" w:cs="Arial" w:eastAsia="Arial" w:hAnsi="Arial"/>
                <w:sz w:val="16"/>
                <w:szCs w:val="16"/>
                <w:color w:val="auto"/>
                <w:w w:val="98"/>
              </w:rPr>
              <w:t>Additional weighted-average shares giving effect to conversion of preferred</w:t>
            </w: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540" w:type="dxa"/>
            <w:vAlign w:val="bottom"/>
          </w:tcPr>
          <w:p>
            <w:pPr>
              <w:ind w:left="280"/>
              <w:spacing w:after="0"/>
              <w:rPr>
                <w:sz w:val="20"/>
                <w:szCs w:val="20"/>
                <w:color w:val="auto"/>
              </w:rPr>
            </w:pPr>
            <w:r>
              <w:rPr>
                <w:rFonts w:ascii="Arial" w:cs="Arial" w:eastAsia="Arial" w:hAnsi="Arial"/>
                <w:sz w:val="16"/>
                <w:szCs w:val="16"/>
                <w:color w:val="auto"/>
              </w:rPr>
              <w:t>stock at the beginning of the period</w:t>
            </w:r>
          </w:p>
        </w:tc>
        <w:tc>
          <w:tcPr>
            <w:tcW w:w="26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25,864,824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1"/>
              <w:spacing w:after="0"/>
              <w:rPr>
                <w:sz w:val="20"/>
                <w:szCs w:val="20"/>
                <w:color w:val="auto"/>
              </w:rPr>
            </w:pPr>
            <w:r>
              <w:rPr>
                <w:rFonts w:ascii="Arial" w:cs="Arial" w:eastAsia="Arial" w:hAnsi="Arial"/>
                <w:sz w:val="16"/>
                <w:szCs w:val="16"/>
                <w:color w:val="auto"/>
              </w:rPr>
              <w:t>19,494,691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25,856,309</w:t>
            </w:r>
          </w:p>
        </w:tc>
        <w:tc>
          <w:tcPr>
            <w:tcW w:w="0" w:type="dxa"/>
            <w:vAlign w:val="bottom"/>
          </w:tcPr>
          <w:p>
            <w:pPr>
              <w:spacing w:after="0"/>
              <w:rPr>
                <w:sz w:val="1"/>
                <w:szCs w:val="1"/>
                <w:color w:val="auto"/>
              </w:rPr>
            </w:pPr>
          </w:p>
        </w:tc>
      </w:tr>
      <w:tr>
        <w:trPr>
          <w:trHeight w:val="33"/>
        </w:trPr>
        <w:tc>
          <w:tcPr>
            <w:tcW w:w="5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5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4"/>
              </w:rPr>
              <w:t>Non-GAAP weighted-average shares used to compute net loss per share, basic</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50,287,162</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38,756,729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43,213,082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38,068,020</w:t>
            </w:r>
          </w:p>
        </w:tc>
        <w:tc>
          <w:tcPr>
            <w:tcW w:w="0" w:type="dxa"/>
            <w:vAlign w:val="bottom"/>
          </w:tcPr>
          <w:p>
            <w:pPr>
              <w:spacing w:after="0"/>
              <w:rPr>
                <w:sz w:val="1"/>
                <w:szCs w:val="1"/>
                <w:color w:val="auto"/>
              </w:rPr>
            </w:pPr>
          </w:p>
        </w:tc>
      </w:tr>
      <w:tr>
        <w:trPr>
          <w:trHeight w:val="219"/>
        </w:trPr>
        <w:tc>
          <w:tcPr>
            <w:tcW w:w="5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and diluted</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420"/>
          </w:cols>
          <w:pgMar w:left="240" w:top="364" w:right="239" w:bottom="1440" w:gutter="0" w:footer="0" w:header="0"/>
          <w:type w:val="continuous"/>
        </w:sectPr>
      </w:pPr>
    </w:p>
    <w:bookmarkStart w:id="12" w:name="page13"/>
    <w:bookmarkEnd w:id="12"/>
    <w:p>
      <w:pPr>
        <w:ind w:right="100"/>
        <w:spacing w:after="0" w:line="277" w:lineRule="auto"/>
        <w:rPr>
          <w:sz w:val="20"/>
          <w:szCs w:val="20"/>
          <w:color w:val="auto"/>
        </w:rPr>
      </w:pPr>
      <w:r>
        <w:rPr>
          <w:rFonts w:ascii="Arial" w:cs="Arial" w:eastAsia="Arial" w:hAnsi="Arial"/>
          <w:sz w:val="18"/>
          <w:szCs w:val="18"/>
          <w:color w:val="auto"/>
        </w:rPr>
        <w:t>The following table presents a reconciliation of free cash flow to net cash used in operating activities, the most directly comparable GAAP measure, for each of the periods indicated: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920" w:type="dxa"/>
            <w:vAlign w:val="bottom"/>
            <w:gridSpan w:val="5"/>
          </w:tcPr>
          <w:p>
            <w:pPr>
              <w:jc w:val="right"/>
              <w:ind w:right="361"/>
              <w:spacing w:after="0"/>
              <w:rPr>
                <w:sz w:val="20"/>
                <w:szCs w:val="20"/>
                <w:color w:val="auto"/>
              </w:rPr>
            </w:pPr>
            <w:r>
              <w:rPr>
                <w:rFonts w:ascii="Arial" w:cs="Arial" w:eastAsia="Arial" w:hAnsi="Arial"/>
                <w:sz w:val="14"/>
                <w:szCs w:val="14"/>
                <w:b w:val="1"/>
                <w:bCs w:val="1"/>
                <w:color w:val="auto"/>
              </w:rPr>
              <w:t>Three Months Ended January 31,</w:t>
            </w:r>
          </w:p>
        </w:tc>
        <w:tc>
          <w:tcPr>
            <w:tcW w:w="400" w:type="dxa"/>
            <w:vAlign w:val="bottom"/>
          </w:tcPr>
          <w:p>
            <w:pPr>
              <w:spacing w:after="0"/>
              <w:rPr>
                <w:sz w:val="16"/>
                <w:szCs w:val="16"/>
                <w:color w:val="auto"/>
              </w:rPr>
            </w:pPr>
          </w:p>
        </w:tc>
        <w:tc>
          <w:tcPr>
            <w:tcW w:w="248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Year Ended January 31,</w:t>
            </w:r>
          </w:p>
        </w:tc>
      </w:tr>
      <w:tr>
        <w:trPr>
          <w:trHeight w:val="26"/>
        </w:trPr>
        <w:tc>
          <w:tcPr>
            <w:tcW w:w="56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8"/>
        </w:trPr>
        <w:tc>
          <w:tcPr>
            <w:tcW w:w="56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501"/>
              <w:spacing w:after="0"/>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20"/>
                <w:szCs w:val="20"/>
                <w:color w:val="auto"/>
              </w:rPr>
            </w:pPr>
          </w:p>
        </w:tc>
        <w:tc>
          <w:tcPr>
            <w:tcW w:w="1020" w:type="dxa"/>
            <w:vAlign w:val="bottom"/>
          </w:tcPr>
          <w:p>
            <w:pPr>
              <w:jc w:val="right"/>
              <w:ind w:right="44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61"/>
              <w:spacing w:after="0"/>
              <w:rPr>
                <w:sz w:val="20"/>
                <w:szCs w:val="20"/>
                <w:color w:val="auto"/>
              </w:rPr>
            </w:pPr>
            <w:r>
              <w:rPr>
                <w:rFonts w:ascii="Arial" w:cs="Arial" w:eastAsia="Arial" w:hAnsi="Arial"/>
                <w:sz w:val="14"/>
                <w:szCs w:val="14"/>
                <w:b w:val="1"/>
                <w:bCs w:val="1"/>
                <w:color w:val="auto"/>
              </w:rPr>
              <w:t>2017</w:t>
            </w:r>
          </w:p>
        </w:tc>
      </w:tr>
      <w:tr>
        <w:trPr>
          <w:trHeight w:val="26"/>
        </w:trPr>
        <w:tc>
          <w:tcPr>
            <w:tcW w:w="56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w:t>
            </w:r>
          </w:p>
        </w:tc>
        <w:tc>
          <w:tcPr>
            <w:tcW w:w="840" w:type="dxa"/>
            <w:vAlign w:val="bottom"/>
            <w:tcBorders>
              <w:bottom w:val="single" w:sz="8" w:color="CCEEFF"/>
            </w:tcBorders>
            <w:shd w:val="clear" w:color="auto" w:fill="CCEEFF"/>
          </w:tcPr>
          <w:p>
            <w:pPr>
              <w:jc w:val="right"/>
              <w:ind w:right="663"/>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(7,712)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(10,086)</w:t>
            </w:r>
          </w:p>
        </w:tc>
        <w:tc>
          <w:tcPr>
            <w:tcW w:w="4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(38,078)</w:t>
            </w:r>
          </w:p>
        </w:tc>
      </w:tr>
      <w:tr>
        <w:trPr>
          <w:trHeight w:val="237"/>
        </w:trPr>
        <w:tc>
          <w:tcPr>
            <w:tcW w:w="562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8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21"/>
              <w:spacing w:after="0"/>
              <w:rPr>
                <w:sz w:val="20"/>
                <w:szCs w:val="20"/>
                <w:color w:val="auto"/>
              </w:rPr>
            </w:pPr>
            <w:r>
              <w:rPr>
                <w:rFonts w:ascii="Arial" w:cs="Arial" w:eastAsia="Arial" w:hAnsi="Arial"/>
                <w:sz w:val="16"/>
                <w:szCs w:val="16"/>
                <w:color w:val="auto"/>
              </w:rPr>
              <w:t>(261)</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(1,683)</w:t>
            </w:r>
          </w:p>
        </w:tc>
      </w:tr>
      <w:tr>
        <w:trPr>
          <w:trHeight w:val="33"/>
        </w:trPr>
        <w:tc>
          <w:tcPr>
            <w:tcW w:w="56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Capitalized software</w:t>
            </w:r>
          </w:p>
        </w:tc>
        <w:tc>
          <w:tcPr>
            <w:tcW w:w="8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17"/>
        </w:trPr>
        <w:tc>
          <w:tcPr>
            <w:tcW w:w="5620" w:type="dxa"/>
            <w:vAlign w:val="bottom"/>
          </w:tcPr>
          <w:p>
            <w:pPr>
              <w:ind w:left="200"/>
              <w:spacing w:after="0"/>
              <w:rPr>
                <w:sz w:val="20"/>
                <w:szCs w:val="20"/>
                <w:color w:val="auto"/>
              </w:rPr>
            </w:pPr>
            <w:r>
              <w:rPr>
                <w:rFonts w:ascii="Arial" w:cs="Arial" w:eastAsia="Arial" w:hAnsi="Arial"/>
                <w:sz w:val="16"/>
                <w:szCs w:val="16"/>
                <w:color w:val="auto"/>
              </w:rPr>
              <w:t>Free cash flow</w:t>
            </w:r>
          </w:p>
        </w:tc>
        <w:tc>
          <w:tcPr>
            <w:tcW w:w="840" w:type="dxa"/>
            <w:vAlign w:val="bottom"/>
            <w:tcBorders>
              <w:top w:val="single" w:sz="8" w:color="auto"/>
            </w:tcBorders>
          </w:tcPr>
          <w:p>
            <w:pPr>
              <w:jc w:val="right"/>
              <w:ind w:right="663"/>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(8,133)</w:t>
            </w:r>
          </w:p>
        </w:tc>
        <w:tc>
          <w:tcPr>
            <w:tcW w:w="12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(10,347)</w:t>
            </w:r>
          </w:p>
        </w:tc>
        <w:tc>
          <w:tcPr>
            <w:tcW w:w="40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(47,016)</w:t>
            </w:r>
          </w:p>
        </w:tc>
        <w:tc>
          <w:tcPr>
            <w:tcW w:w="100" w:type="dxa"/>
            <w:vAlign w:val="bottom"/>
          </w:tcPr>
          <w:p>
            <w:pPr>
              <w:spacing w:after="0"/>
              <w:rPr>
                <w:sz w:val="18"/>
                <w:szCs w:val="18"/>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(39,761)</w:t>
            </w:r>
          </w:p>
        </w:tc>
      </w:tr>
      <w:tr>
        <w:trPr>
          <w:trHeight w:val="47"/>
        </w:trPr>
        <w:tc>
          <w:tcPr>
            <w:tcW w:w="56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r>
      <w:tr>
        <w:trPr>
          <w:trHeight w:val="20"/>
        </w:trPr>
        <w:tc>
          <w:tcPr>
            <w:tcW w:w="56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10</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326"/>
    </w:lvl>
  </w:abstractNum>
  <w:abstractNum w:abstractNumId="5">
    <w:nsid w:val="79E2A9E3"/>
    <w:multiLevelType w:val="hybridMultilevel"/>
    <w:lvl w:ilvl="0">
      <w:lvlJc w:val="left"/>
      <w:lvlText w:val="\emdash "/>
      <w:numFmt w:val="bullet"/>
      <w:start w:val="1"/>
    </w:lvl>
  </w:abstractNum>
  <w:abstractNum w:abstractNumId="6">
    <w:nsid w:val="7545E146"/>
    <w:multiLevelType w:val="hybridMultilevel"/>
    <w:lvl w:ilvl="0">
      <w:lvlJc w:val="left"/>
      <w:lvlText w:val="\emdash "/>
      <w:numFmt w:val="bullet"/>
      <w:start w:val="1"/>
    </w:lvl>
  </w:abstractNum>
  <w:abstractNum w:abstractNumId="7">
    <w:nsid w:val="515F007C"/>
    <w:multiLevelType w:val="hybridMultilevel"/>
    <w:lvl w:ilvl="0">
      <w:lvlJc w:val="left"/>
      <w:lvlText w:val="(%1)"/>
      <w:numFmt w:val="decimal"/>
      <w:start w:val="159"/>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2019-12-28T23:40:54Z</dcterms:created>
  <dcterms:modified xsi:type="dcterms:W3CDTF">2019-12-28T23:40:54Z</dcterms:modified>
</cp:coreProperties>
</file>