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DOCUMENT TYPE SC 13G/A</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TEXT</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30" w:lineRule="auto"/>
        <w:rPr>
          <w:sz w:val="20"/>
          <w:szCs w:val="20"/>
          <w:color w:val="auto"/>
        </w:rPr>
      </w:pPr>
      <w:r>
        <w:rPr>
          <w:rFonts w:ascii="Times New Roman" w:cs="Times New Roman" w:eastAsia="Times New Roman" w:hAnsi="Times New Roman"/>
          <w:sz w:val="22"/>
          <w:szCs w:val="22"/>
          <w:color w:val="auto"/>
        </w:rPr>
        <w:t>SCHEDULE 13G</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Amendment # 1</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Name of Issuer: MONGODB INC</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w:t>
      </w:r>
    </w:p>
    <w:p>
      <w:pPr>
        <w:spacing w:after="0" w:line="230" w:lineRule="auto"/>
        <w:rPr>
          <w:sz w:val="20"/>
          <w:szCs w:val="20"/>
          <w:color w:val="auto"/>
        </w:rPr>
      </w:pPr>
      <w:r>
        <w:rPr>
          <w:rFonts w:ascii="Times New Roman" w:cs="Times New Roman" w:eastAsia="Times New Roman" w:hAnsi="Times New Roman"/>
          <w:sz w:val="22"/>
          <w:szCs w:val="22"/>
          <w:color w:val="auto"/>
        </w:rPr>
        <w:t>Title of Class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of Securities: Common Stock</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CUSIP Number: 60937P106</w:t>
      </w:r>
    </w:p>
    <w:p>
      <w:pPr>
        <w:spacing w:after="0" w:line="233" w:lineRule="exact"/>
        <w:rPr>
          <w:sz w:val="24"/>
          <w:szCs w:val="24"/>
          <w:color w:val="auto"/>
        </w:rPr>
      </w:pPr>
    </w:p>
    <w:p>
      <w:pPr>
        <w:ind w:right="3539" w:firstLine="8"/>
        <w:spacing w:after="0" w:line="461" w:lineRule="auto"/>
        <w:tabs>
          <w:tab w:leader="none" w:pos="23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AND I.R.S. IDENTIFICATION NO. OF REPORTING PERSON Prudential Financial, Inc. 22-3703799</w:t>
      </w:r>
    </w:p>
    <w:p>
      <w:pPr>
        <w:spacing w:after="0"/>
        <w:rPr>
          <w:sz w:val="20"/>
          <w:szCs w:val="20"/>
          <w:color w:val="auto"/>
        </w:rPr>
      </w:pPr>
      <w:r>
        <w:rPr>
          <w:rFonts w:ascii="Times New Roman" w:cs="Times New Roman" w:eastAsia="Times New Roman" w:hAnsi="Times New Roman"/>
          <w:sz w:val="22"/>
          <w:szCs w:val="22"/>
          <w:color w:val="auto"/>
        </w:rPr>
        <w:t>2.) MEMBER OF A GROUP: (a) N/A</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 N/A</w:t>
      </w:r>
    </w:p>
    <w:p>
      <w:pPr>
        <w:spacing w:after="0" w:line="209" w:lineRule="exact"/>
        <w:rPr>
          <w:sz w:val="24"/>
          <w:szCs w:val="24"/>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PLACE OF ORGANIZATION: New Jersey</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NUMBER OF SHARES BENEFICIALLY OWNED BY REPORTING PERSON WITH:</w:t>
      </w:r>
    </w:p>
    <w:p>
      <w:pPr>
        <w:spacing w:after="0" w:line="233" w:lineRule="exact"/>
        <w:rPr>
          <w:sz w:val="24"/>
          <w:szCs w:val="24"/>
          <w:color w:val="auto"/>
        </w:rPr>
      </w:pP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98,587 See Exhibit A</w:t>
      </w:r>
    </w:p>
    <w:p>
      <w:pPr>
        <w:spacing w:after="0" w:line="14" w:lineRule="exact"/>
        <w:rPr>
          <w:rFonts w:ascii="Times New Roman" w:cs="Times New Roman" w:eastAsia="Times New Roman" w:hAnsi="Times New Roman"/>
          <w:sz w:val="22"/>
          <w:szCs w:val="22"/>
          <w:color w:val="auto"/>
        </w:rPr>
      </w:pPr>
    </w:p>
    <w:p>
      <w:pPr>
        <w:ind w:left="240" w:hanging="232"/>
        <w:spacing w:after="0" w:line="230" w:lineRule="auto"/>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2,858,571.56 See Exhibit A</w:t>
      </w:r>
    </w:p>
    <w:p>
      <w:pPr>
        <w:ind w:left="240" w:hanging="232"/>
        <w:spacing w:after="0" w:line="230" w:lineRule="auto"/>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98,587 See Exhibit A</w:t>
      </w: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3,081,309.03 See Exhibit A</w:t>
      </w:r>
    </w:p>
    <w:p>
      <w:pPr>
        <w:spacing w:after="0" w:line="209"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3,183,210.46 See Exhibit A</w:t>
      </w:r>
    </w:p>
    <w:p>
      <w:pPr>
        <w:spacing w:after="0" w:line="233"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IN ROW (9) EXCLUDES SHARES: Not applicable</w:t>
      </w:r>
    </w:p>
    <w:p>
      <w:pPr>
        <w:spacing w:after="0" w:line="233"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PERCENT OF CLASS REPRESENTED BY AMOUNT IN ROW (9): 4.31 See Exhibit A</w:t>
      </w:r>
    </w:p>
    <w:p>
      <w:pPr>
        <w:spacing w:after="0" w:line="244"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HC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1(a). NAME OF ISSUER: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MONGODB INC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1(b). ADDRESS OF ISSUER'S EXECUTIVE OFFICES:</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1633 BROADWAY, 38TH FLOOR NEW YORK, NY 10019</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2(a). NAME OF PERSON FILING:</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Prudential Financial, Inc.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2(b). ADDRESS OF PRINCIPAL BUSINESS OFFICE:</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751 Broad Street</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Newark, New Jersey 07102-3777</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2(c). CITIZENSHIP:</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Jersey</w:t>
      </w:r>
    </w:p>
    <w:p>
      <w:pPr>
        <w:sectPr>
          <w:pgSz w:w="11900" w:h="16838" w:orient="portrait"/>
          <w:cols w:equalWidth="0" w:num="1">
            <w:col w:w="10139"/>
          </w:cols>
          <w:pgMar w:left="320" w:top="220" w:right="1440" w:bottom="5" w:gutter="0" w:footer="0" w:header="0"/>
        </w:sectPr>
      </w:pPr>
    </w:p>
    <w:bookmarkStart w:id="1" w:name="page2"/>
    <w:bookmarkEnd w:id="1"/>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2(d). TITLE OF CLASS OF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2(e). CUSIP NUMBER: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60937P106</w:t>
      </w:r>
    </w:p>
    <w:p>
      <w:pPr>
        <w:spacing w:after="0" w:line="233" w:lineRule="exact"/>
        <w:rPr>
          <w:sz w:val="20"/>
          <w:szCs w:val="20"/>
          <w:color w:val="auto"/>
        </w:rPr>
      </w:pPr>
    </w:p>
    <w:p>
      <w:pPr>
        <w:ind w:right="4400"/>
        <w:spacing w:after="0" w:line="244" w:lineRule="auto"/>
        <w:rPr>
          <w:sz w:val="20"/>
          <w:szCs w:val="20"/>
          <w:color w:val="auto"/>
        </w:rPr>
      </w:pPr>
      <w:r>
        <w:rPr>
          <w:rFonts w:ascii="Times New Roman" w:cs="Times New Roman" w:eastAsia="Times New Roman" w:hAnsi="Times New Roman"/>
          <w:sz w:val="22"/>
          <w:szCs w:val="22"/>
          <w:color w:val="auto"/>
        </w:rPr>
        <w:t>ITEM 3. The Person filing this statement is a Parent Holding Company as defined in Section 240.13d-1(b)(1)(ii)(G) of the Securities Exchange Act of 1934.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OWNERSHIP: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Number of Shares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Beneficially Owned: 3,183,210.46 See Exhibit A</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Percent of Class: 4.31</w:t>
      </w:r>
    </w:p>
    <w:p>
      <w:pPr>
        <w:sectPr>
          <w:pgSz w:w="11900" w:h="16857" w:orient="portrait"/>
          <w:cols w:equalWidth="0" w:num="1">
            <w:col w:w="10800"/>
          </w:cols>
          <w:pgMar w:left="320" w:top="111" w:right="7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Powers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 Shares</w:t>
      </w:r>
    </w:p>
    <w:p>
      <w:pPr>
        <w:spacing w:after="0" w:line="197" w:lineRule="exact"/>
        <w:rPr>
          <w:sz w:val="20"/>
          <w:szCs w:val="20"/>
          <w:color w:val="auto"/>
        </w:rPr>
      </w:pPr>
    </w:p>
    <w:p>
      <w:pPr>
        <w:sectPr>
          <w:pgSz w:w="11900" w:h="16857" w:orient="portrait"/>
          <w:cols w:equalWidth="0" w:num="2">
            <w:col w:w="1820" w:space="720"/>
            <w:col w:w="8260"/>
          </w:cols>
          <w:pgMar w:left="320" w:top="111" w:right="779" w:bottom="0" w:gutter="0" w:footer="0" w:header="0"/>
          <w:type w:val="continuous"/>
        </w:sect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ectPr>
          <w:pgSz w:w="11900" w:h="16857" w:orient="portrait"/>
          <w:cols w:equalWidth="0" w:num="2">
            <w:col w:w="1620" w:space="720"/>
            <w:col w:w="8460"/>
          </w:cols>
          <w:pgMar w:left="320" w:top="111" w:right="77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Sole power to vote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98,587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Exhibit A</w:t>
      </w:r>
    </w:p>
    <w:p>
      <w:pPr>
        <w:spacing w:after="0" w:line="92" w:lineRule="exact"/>
        <w:rPr>
          <w:sz w:val="20"/>
          <w:szCs w:val="20"/>
          <w:color w:val="auto"/>
        </w:rPr>
      </w:pPr>
    </w:p>
    <w:p>
      <w:pPr>
        <w:sectPr>
          <w:pgSz w:w="11900" w:h="16857" w:orient="portrait"/>
          <w:cols w:equalWidth="0" w:num="3">
            <w:col w:w="2040" w:space="400"/>
            <w:col w:w="580" w:space="200"/>
            <w:col w:w="7580"/>
          </w:cols>
          <w:pgMar w:left="320" w:top="111" w:right="77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57" w:orient="portrait"/>
          <w:cols w:equalWidth="0" w:num="1">
            <w:col w:w="10800"/>
          </w:cols>
          <w:pgMar w:left="320" w:top="111" w:right="779" w:bottom="0" w:gutter="0" w:footer="0" w:header="0"/>
          <w:type w:val="continuous"/>
        </w:sectPr>
      </w:pPr>
    </w:p>
    <w:p>
      <w:pPr>
        <w:spacing w:after="0" w:line="113" w:lineRule="exact"/>
        <w:rPr>
          <w:sz w:val="20"/>
          <w:szCs w:val="20"/>
          <w:color w:val="auto"/>
        </w:rPr>
      </w:pPr>
    </w:p>
    <w:p>
      <w:pPr>
        <w:spacing w:after="0"/>
        <w:tabs>
          <w:tab w:leader="none" w:pos="2420" w:val="left"/>
          <w:tab w:leader="none" w:pos="3780" w:val="left"/>
        </w:tabs>
        <w:rPr>
          <w:sz w:val="20"/>
          <w:szCs w:val="20"/>
          <w:color w:val="auto"/>
        </w:rPr>
      </w:pPr>
      <w:r>
        <w:rPr>
          <w:rFonts w:ascii="Courier New" w:cs="Courier New" w:eastAsia="Courier New" w:hAnsi="Courier New"/>
          <w:sz w:val="16"/>
          <w:szCs w:val="16"/>
          <w:color w:val="auto"/>
        </w:rPr>
        <w:t>Shared power to vote or</w:t>
        <w:tab/>
        <w:t>2,858,571.56</w:t>
        <w:tab/>
        <w:t>See Exhibit A</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the vote</w:t>
      </w:r>
    </w:p>
    <w:p>
      <w:pPr>
        <w:spacing w:after="0" w:line="167"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6"/>
          <w:szCs w:val="16"/>
          <w:color w:val="auto"/>
        </w:rPr>
        <w:t>Sole power to dispose or 98,587</w:t>
        <w:tab/>
        <w:t>See Exhibit A</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disposition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20" w:type="dxa"/>
            <w:vAlign w:val="bottom"/>
          </w:tcPr>
          <w:p>
            <w:pPr>
              <w:spacing w:after="0"/>
              <w:rPr>
                <w:sz w:val="20"/>
                <w:szCs w:val="20"/>
                <w:color w:val="auto"/>
              </w:rPr>
            </w:pPr>
            <w:r>
              <w:rPr>
                <w:rFonts w:ascii="Courier New" w:cs="Courier New" w:eastAsia="Courier New" w:hAnsi="Courier New"/>
                <w:sz w:val="16"/>
                <w:szCs w:val="16"/>
                <w:color w:val="auto"/>
              </w:rPr>
              <w:t>Shared power</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to dispose</w:t>
            </w:r>
          </w:p>
        </w:tc>
        <w:tc>
          <w:tcPr>
            <w:tcW w:w="14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3,081,309.03</w:t>
            </w:r>
          </w:p>
        </w:tc>
        <w:tc>
          <w:tcPr>
            <w:tcW w:w="1420" w:type="dxa"/>
            <w:vAlign w:val="bottom"/>
          </w:tcPr>
          <w:p>
            <w:pPr>
              <w:ind w:left="160"/>
              <w:spacing w:after="0"/>
              <w:rPr>
                <w:sz w:val="20"/>
                <w:szCs w:val="20"/>
                <w:color w:val="auto"/>
              </w:rPr>
            </w:pPr>
            <w:r>
              <w:rPr>
                <w:rFonts w:ascii="Courier New" w:cs="Courier New" w:eastAsia="Courier New" w:hAnsi="Courier New"/>
                <w:sz w:val="16"/>
                <w:szCs w:val="16"/>
                <w:color w:val="auto"/>
                <w:w w:val="99"/>
              </w:rPr>
              <w:t>See Exhibit A</w:t>
            </w:r>
          </w:p>
        </w:tc>
      </w:tr>
      <w:tr>
        <w:trPr>
          <w:trHeight w:val="2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or to direct</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disposition</w:t>
            </w:r>
          </w:p>
        </w:tc>
        <w:tc>
          <w:tcPr>
            <w:tcW w:w="1400" w:type="dxa"/>
            <w:vAlign w:val="bottom"/>
          </w:tcPr>
          <w:p>
            <w:pPr>
              <w:spacing w:after="0"/>
              <w:rPr>
                <w:sz w:val="23"/>
                <w:szCs w:val="23"/>
                <w:color w:val="auto"/>
              </w:rPr>
            </w:pPr>
          </w:p>
        </w:tc>
        <w:tc>
          <w:tcPr>
            <w:tcW w:w="1420" w:type="dxa"/>
            <w:vAlign w:val="bottom"/>
          </w:tcPr>
          <w:p>
            <w:pPr>
              <w:spacing w:after="0"/>
              <w:rPr>
                <w:sz w:val="23"/>
                <w:szCs w:val="23"/>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 OWNERSHIP OF 5% OR LESS OF A CLASS:</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Prudential Financial, Inc. through its beneficial ownership of the Item 7 listed entities has ceased to be deemed the beneficial owner of more than 5% of the outstanding Common Stock of this issuer.</w:t>
      </w:r>
    </w:p>
    <w:p>
      <w:pPr>
        <w:spacing w:after="0" w:line="185" w:lineRule="exact"/>
        <w:rPr>
          <w:sz w:val="20"/>
          <w:szCs w:val="20"/>
          <w:color w:val="auto"/>
        </w:rPr>
      </w:pPr>
    </w:p>
    <w:p>
      <w:pPr>
        <w:ind w:right="5140"/>
        <w:spacing w:after="0" w:line="258" w:lineRule="auto"/>
        <w:rPr>
          <w:sz w:val="20"/>
          <w:szCs w:val="20"/>
          <w:color w:val="auto"/>
        </w:rPr>
      </w:pPr>
      <w:r>
        <w:rPr>
          <w:rFonts w:ascii="Times New Roman" w:cs="Times New Roman" w:eastAsia="Times New Roman" w:hAnsi="Times New Roman"/>
          <w:sz w:val="22"/>
          <w:szCs w:val="22"/>
          <w:color w:val="auto"/>
        </w:rPr>
        <w:t>ITEM 6. OWNERSHIP OF MORE THAN 5% ON BEHALF OF ANOTHER PERSON: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 IDENTIFICATION AND CLASSIFICATION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 WHICH ACQUIRED THE SECURITY BEING</w:t>
      </w:r>
    </w:p>
    <w:p>
      <w:pPr>
        <w:spacing w:after="0"/>
        <w:rPr>
          <w:sz w:val="20"/>
          <w:szCs w:val="20"/>
          <w:color w:val="auto"/>
        </w:rPr>
      </w:pPr>
      <w:r>
        <w:rPr>
          <w:rFonts w:ascii="Times New Roman" w:cs="Times New Roman" w:eastAsia="Times New Roman" w:hAnsi="Times New Roman"/>
          <w:sz w:val="22"/>
          <w:szCs w:val="22"/>
          <w:color w:val="auto"/>
        </w:rPr>
        <w:t>REPORTED ON BY THE ULTIMATE PARENT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Exhibit 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 IDENTIFICATION AND CLASSIFICATION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MEMBERS OF THE GROUP: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 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w:t>
      </w:r>
    </w:p>
    <w:p>
      <w:pPr>
        <w:spacing w:after="0" w:line="200" w:lineRule="exact"/>
        <w:rPr>
          <w:sz w:val="20"/>
          <w:szCs w:val="20"/>
          <w:color w:val="auto"/>
        </w:rPr>
      </w:pPr>
    </w:p>
    <w:p>
      <w:pPr>
        <w:spacing w:after="0" w:line="249" w:lineRule="exact"/>
        <w:rPr>
          <w:sz w:val="20"/>
          <w:szCs w:val="20"/>
          <w:color w:val="auto"/>
        </w:rPr>
      </w:pPr>
    </w:p>
    <w:p>
      <w:pPr>
        <w:ind w:right="4320"/>
        <w:spacing w:after="0" w:line="251" w:lineRule="auto"/>
        <w:rPr>
          <w:sz w:val="20"/>
          <w:szCs w:val="20"/>
          <w:color w:val="auto"/>
        </w:rPr>
      </w:pPr>
      <w:r>
        <w:rPr>
          <w:rFonts w:ascii="Times New Roman" w:cs="Times New Roman" w:eastAsia="Times New Roman" w:hAnsi="Times New Roman"/>
          <w:sz w:val="21"/>
          <w:szCs w:val="21"/>
          <w:color w:val="auto"/>
        </w:rPr>
        <w:t>By signing below, Prudential Financial, Inc.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w:t>
      </w:r>
    </w:p>
    <w:p>
      <w:pPr>
        <w:sectPr>
          <w:pgSz w:w="11900" w:h="16857" w:orient="portrait"/>
          <w:cols w:equalWidth="0" w:num="1">
            <w:col w:w="10800"/>
          </w:cols>
          <w:pgMar w:left="320" w:top="111" w:right="779" w:bottom="0" w:gutter="0" w:footer="0" w:header="0"/>
          <w:type w:val="continuous"/>
        </w:sectPr>
      </w:pPr>
    </w:p>
    <w:bookmarkStart w:id="2" w:name="page3"/>
    <w:bookmarkEnd w:id="2"/>
    <w:p>
      <w:pPr>
        <w:ind w:right="4760"/>
        <w:spacing w:after="0" w:line="259" w:lineRule="auto"/>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180"/>
        <w:spacing w:after="0" w:line="244" w:lineRule="auto"/>
        <w:rPr>
          <w:sz w:val="20"/>
          <w:szCs w:val="20"/>
          <w:color w:val="auto"/>
        </w:rPr>
      </w:pPr>
      <w:r>
        <w:rPr>
          <w:rFonts w:ascii="Times New Roman" w:cs="Times New Roman" w:eastAsia="Times New Roman" w:hAnsi="Times New Roman"/>
          <w:sz w:val="22"/>
          <w:szCs w:val="22"/>
          <w:color w:val="auto"/>
        </w:rPr>
        <w:t>The filing of this statement should not be construed as an admission that Prudential Financial, Inc. is, for purposes of Sections 13 or 16 of the Securities Exchange Act of 1934, the beneficial owner of such shares.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33" w:lineRule="exact"/>
        <w:rPr>
          <w:sz w:val="20"/>
          <w:szCs w:val="20"/>
          <w:color w:val="auto"/>
        </w:rPr>
      </w:pPr>
    </w:p>
    <w:p>
      <w:pPr>
        <w:ind w:right="4940"/>
        <w:spacing w:after="0" w:line="244" w:lineRule="auto"/>
        <w:rPr>
          <w:sz w:val="20"/>
          <w:szCs w:val="20"/>
          <w:color w:val="auto"/>
        </w:rPr>
      </w:pPr>
      <w:r>
        <w:rPr>
          <w:rFonts w:ascii="Times New Roman" w:cs="Times New Roman" w:eastAsia="Times New Roman" w:hAnsi="Times New Roman"/>
          <w:sz w:val="22"/>
          <w:szCs w:val="22"/>
          <w:color w:val="auto"/>
        </w:rPr>
        <w:t>After reasonable inquiry and to the best of its knowledge and belief, Prudential Financial, Inc. certifies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PRUDENTIAL FINANCIAL,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By:RICHARD BAKER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Second Vice President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Date:11-14-2024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of:9-30-2024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OWNERSHIP:</w:t>
      </w:r>
    </w:p>
    <w:p>
      <w:pPr>
        <w:spacing w:after="0" w:line="393" w:lineRule="exact"/>
        <w:rPr>
          <w:sz w:val="20"/>
          <w:szCs w:val="20"/>
          <w:color w:val="auto"/>
        </w:rPr>
      </w:pPr>
    </w:p>
    <w:p>
      <w:pPr>
        <w:ind w:left="200" w:right="3600"/>
        <w:spacing w:after="0" w:line="290" w:lineRule="auto"/>
        <w:rPr>
          <w:sz w:val="20"/>
          <w:szCs w:val="20"/>
          <w:color w:val="auto"/>
        </w:rPr>
      </w:pPr>
      <w:r>
        <w:rPr>
          <w:rFonts w:ascii="Courier New" w:cs="Courier New" w:eastAsia="Courier New" w:hAnsi="Courier New"/>
          <w:sz w:val="16"/>
          <w:szCs w:val="16"/>
          <w:color w:val="auto"/>
        </w:rPr>
        <w:t>Through its parent/subsidiary relationship, Prudential Financial, Inc. may be deemed the beneficial owner of the same securities as the Item 7 listed subsidiaries and may have direct or indirect voting and/or investment discretion over 3,183,210.46 shares.</w:t>
      </w:r>
    </w:p>
    <w:p>
      <w:pPr>
        <w:spacing w:after="0" w:line="200" w:lineRule="exact"/>
        <w:rPr>
          <w:sz w:val="20"/>
          <w:szCs w:val="20"/>
          <w:color w:val="auto"/>
        </w:rPr>
      </w:pPr>
    </w:p>
    <w:p>
      <w:pPr>
        <w:spacing w:after="0" w:line="247" w:lineRule="exact"/>
        <w:rPr>
          <w:sz w:val="20"/>
          <w:szCs w:val="20"/>
          <w:color w:val="auto"/>
        </w:rPr>
      </w:pPr>
    </w:p>
    <w:p>
      <w:pPr>
        <w:ind w:left="200" w:right="3600"/>
        <w:spacing w:after="0" w:line="274"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Financial, Inc.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 IDENTIFICATION/CLASSIFICATION:</w:t>
      </w:r>
    </w:p>
    <w:p>
      <w:pPr>
        <w:spacing w:after="0" w:line="393" w:lineRule="exact"/>
        <w:rPr>
          <w:sz w:val="20"/>
          <w:szCs w:val="20"/>
          <w:color w:val="auto"/>
        </w:rPr>
      </w:pPr>
    </w:p>
    <w:p>
      <w:pPr>
        <w:spacing w:after="0" w:line="310" w:lineRule="auto"/>
        <w:rPr>
          <w:sz w:val="20"/>
          <w:szCs w:val="20"/>
          <w:color w:val="auto"/>
        </w:rPr>
      </w:pPr>
      <w:r>
        <w:rPr>
          <w:rFonts w:ascii="Courier New" w:cs="Courier New" w:eastAsia="Courier New" w:hAnsi="Courier New"/>
          <w:sz w:val="16"/>
          <w:szCs w:val="16"/>
          <w:color w:val="auto"/>
        </w:rPr>
        <w:t>Prudential Financial, Inc. is a Parent Holding Company and the indirect parent of the following subsidiaries, who are the beneficial owners of the number and percentage of securities which are the subject of this filing as set forth next to their names: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80" w:type="dxa"/>
            <w:vAlign w:val="bottom"/>
          </w:tcPr>
          <w:p>
            <w:pPr>
              <w:spacing w:after="0"/>
              <w:rPr>
                <w:sz w:val="20"/>
                <w:szCs w:val="20"/>
                <w:color w:val="auto"/>
              </w:rPr>
            </w:pPr>
            <w:r>
              <w:rPr>
                <w:rFonts w:ascii="Courier New" w:cs="Courier New" w:eastAsia="Courier New" w:hAnsi="Courier New"/>
                <w:sz w:val="16"/>
                <w:szCs w:val="16"/>
                <w:color w:val="auto"/>
              </w:rPr>
              <w:t>Subsidiaries</w:t>
            </w:r>
          </w:p>
        </w:tc>
        <w:tc>
          <w:tcPr>
            <w:tcW w:w="560" w:type="dxa"/>
            <w:vAlign w:val="bottom"/>
          </w:tcPr>
          <w:p>
            <w:pPr>
              <w:spacing w:after="0"/>
              <w:rPr>
                <w:sz w:val="16"/>
                <w:szCs w:val="16"/>
                <w:color w:val="auto"/>
              </w:rPr>
            </w:pPr>
          </w:p>
        </w:tc>
        <w:tc>
          <w:tcPr>
            <w:tcW w:w="148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Number of</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rPr>
              <w:t>Percentage</w:t>
            </w:r>
          </w:p>
        </w:tc>
        <w:tc>
          <w:tcPr>
            <w:tcW w:w="0" w:type="dxa"/>
            <w:vAlign w:val="bottom"/>
          </w:tcPr>
          <w:p>
            <w:pPr>
              <w:spacing w:after="0"/>
              <w:rPr>
                <w:sz w:val="1"/>
                <w:szCs w:val="1"/>
                <w:color w:val="auto"/>
              </w:rPr>
            </w:pPr>
          </w:p>
        </w:tc>
      </w:tr>
      <w:tr>
        <w:trPr>
          <w:trHeight w:val="211"/>
        </w:trPr>
        <w:tc>
          <w:tcPr>
            <w:tcW w:w="4280" w:type="dxa"/>
            <w:vAlign w:val="bottom"/>
            <w:vMerge w:val="restart"/>
          </w:tcPr>
          <w:p>
            <w:pPr>
              <w:spacing w:after="0"/>
              <w:rPr>
                <w:sz w:val="20"/>
                <w:szCs w:val="20"/>
                <w:color w:val="auto"/>
              </w:rPr>
            </w:pPr>
            <w:r>
              <w:rPr>
                <w:rFonts w:ascii="Courier New" w:cs="Courier New" w:eastAsia="Courier New" w:hAnsi="Courier New"/>
                <w:sz w:val="16"/>
                <w:szCs w:val="16"/>
                <w:b w:val="1"/>
                <w:bCs w:val="1"/>
                <w:color w:val="auto"/>
              </w:rPr>
              <w:t>The Prudential Insurance Company of America</w:t>
            </w:r>
          </w:p>
        </w:tc>
        <w:tc>
          <w:tcPr>
            <w:tcW w:w="560" w:type="dxa"/>
            <w:vAlign w:val="bottom"/>
            <w:vMerge w:val="restart"/>
          </w:tcPr>
          <w:p>
            <w:pPr>
              <w:ind w:left="100"/>
              <w:spacing w:after="0"/>
              <w:rPr>
                <w:sz w:val="20"/>
                <w:szCs w:val="20"/>
                <w:color w:val="auto"/>
              </w:rPr>
            </w:pPr>
            <w:r>
              <w:rPr>
                <w:rFonts w:ascii="Courier New" w:cs="Courier New" w:eastAsia="Courier New" w:hAnsi="Courier New"/>
                <w:sz w:val="16"/>
                <w:szCs w:val="16"/>
                <w:b w:val="1"/>
                <w:bCs w:val="1"/>
                <w:color w:val="auto"/>
              </w:rPr>
              <w:t>IC</w:t>
            </w:r>
          </w:p>
        </w:tc>
        <w:tc>
          <w:tcPr>
            <w:tcW w:w="148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Shares</w:t>
            </w:r>
          </w:p>
        </w:tc>
        <w:tc>
          <w:tcPr>
            <w:tcW w:w="1000" w:type="dxa"/>
            <w:vAlign w:val="bottom"/>
            <w:vMerge w:val="restart"/>
          </w:tcPr>
          <w:p>
            <w:pPr>
              <w:jc w:val="center"/>
              <w:spacing w:after="0"/>
              <w:rPr>
                <w:sz w:val="20"/>
                <w:szCs w:val="20"/>
                <w:color w:val="auto"/>
              </w:rPr>
            </w:pPr>
            <w:r>
              <w:rPr>
                <w:rFonts w:ascii="Courier New" w:cs="Courier New" w:eastAsia="Courier New" w:hAnsi="Courier New"/>
                <w:sz w:val="16"/>
                <w:szCs w:val="16"/>
                <w:b w:val="1"/>
                <w:bCs w:val="1"/>
                <w:color w:val="auto"/>
                <w:w w:val="98"/>
              </w:rPr>
              <w:t>0.11</w:t>
            </w:r>
          </w:p>
        </w:tc>
        <w:tc>
          <w:tcPr>
            <w:tcW w:w="0" w:type="dxa"/>
            <w:vAlign w:val="bottom"/>
          </w:tcPr>
          <w:p>
            <w:pPr>
              <w:spacing w:after="0"/>
              <w:rPr>
                <w:sz w:val="1"/>
                <w:szCs w:val="1"/>
                <w:color w:val="auto"/>
              </w:rPr>
            </w:pPr>
          </w:p>
        </w:tc>
      </w:tr>
      <w:tr>
        <w:trPr>
          <w:trHeight w:val="243"/>
        </w:trPr>
        <w:tc>
          <w:tcPr>
            <w:tcW w:w="428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148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78,890.43</w:t>
            </w: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Jennison Associates LLC</w:t>
            </w:r>
          </w:p>
        </w:tc>
        <w:tc>
          <w:tcPr>
            <w:tcW w:w="56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48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3,102,024.03</w:t>
            </w:r>
          </w:p>
        </w:tc>
        <w:tc>
          <w:tcPr>
            <w:tcW w:w="100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w w:val="98"/>
              </w:rPr>
              <w:t>4.20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PGIM, Inc.</w:t>
            </w:r>
          </w:p>
        </w:tc>
        <w:tc>
          <w:tcPr>
            <w:tcW w:w="56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48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w w:val="97"/>
              </w:rPr>
              <w:t>657</w:t>
            </w:r>
          </w:p>
        </w:tc>
        <w:tc>
          <w:tcPr>
            <w:tcW w:w="100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w w:val="98"/>
              </w:rPr>
              <w:t>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PGIM Quantitative Solutions LLC</w:t>
            </w:r>
          </w:p>
        </w:tc>
        <w:tc>
          <w:tcPr>
            <w:tcW w:w="56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48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w w:val="99"/>
              </w:rPr>
              <w:t>1,600</w:t>
            </w:r>
          </w:p>
        </w:tc>
        <w:tc>
          <w:tcPr>
            <w:tcW w:w="100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w w:val="98"/>
              </w:rPr>
              <w:t>0.00</w:t>
            </w:r>
          </w:p>
        </w:tc>
        <w:tc>
          <w:tcPr>
            <w:tcW w:w="0" w:type="dxa"/>
            <w:vAlign w:val="bottom"/>
          </w:tcPr>
          <w:p>
            <w:pPr>
              <w:spacing w:after="0"/>
              <w:rPr>
                <w:sz w:val="1"/>
                <w:szCs w:val="1"/>
                <w:color w:val="auto"/>
              </w:rPr>
            </w:pPr>
          </w:p>
        </w:tc>
      </w:tr>
      <w:tr>
        <w:trPr>
          <w:trHeight w:val="311"/>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PRUCO Securities, LLC</w:t>
            </w:r>
          </w:p>
        </w:tc>
        <w:tc>
          <w:tcPr>
            <w:tcW w:w="56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48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39</w:t>
            </w:r>
          </w:p>
        </w:tc>
        <w:tc>
          <w:tcPr>
            <w:tcW w:w="100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w w:val="98"/>
              </w:rPr>
              <w:t>0.00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00"/>
      </w:cols>
      <w:pgMar w:left="320" w:top="11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2024-11-15T09:41:51Z</dcterms:created>
  <dcterms:modified xsi:type="dcterms:W3CDTF">2024-11-15T09:41:51Z</dcterms:modified>
</cp:coreProperties>
</file>