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4"/>
            <w:vMerge w:val="restart"/>
          </w:tcPr>
          <w:p>
            <w:pPr>
              <w:spacing w:after="0"/>
              <w:rPr>
                <w:rFonts w:ascii="Arial" w:cs="Arial" w:eastAsia="Arial" w:hAnsi="Arial"/>
                <w:sz w:val="22"/>
                <w:szCs w:val="22"/>
                <w:color w:val="0000EE"/>
                <w:w w:val="94"/>
              </w:rPr>
            </w:pPr>
            <w:hyperlink r:id="rId12">
              <w:r>
                <w:rPr>
                  <w:rFonts w:ascii="Arial" w:cs="Arial" w:eastAsia="Arial" w:hAnsi="Arial"/>
                  <w:sz w:val="22"/>
                  <w:szCs w:val="22"/>
                  <w:color w:val="0000EE"/>
                  <w:w w:val="94"/>
                </w:rPr>
                <w:t>Cochran Hope F</w:t>
              </w:r>
            </w:hyperlink>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MongoDB,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MDB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gridSpan w:val="4"/>
            <w:vMerge w:val="continue"/>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6"/>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6"/>
            <w:vMerge w:val="continue"/>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C/O MONGO DB,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20" w:type="dxa"/>
            <w:vAlign w:val="bottom"/>
            <w:gridSpan w:val="5"/>
          </w:tcPr>
          <w:p>
            <w:pPr>
              <w:ind w:left="160"/>
              <w:spacing w:after="0"/>
              <w:rPr>
                <w:sz w:val="20"/>
                <w:szCs w:val="20"/>
                <w:color w:val="auto"/>
              </w:rPr>
            </w:pPr>
            <w:r>
              <w:rPr>
                <w:rFonts w:ascii="Arial" w:cs="Arial" w:eastAsia="Arial" w:hAnsi="Arial"/>
                <w:sz w:val="18"/>
                <w:szCs w:val="18"/>
                <w:color w:val="0000FF"/>
              </w:rPr>
              <w:t>07/12/2018</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229 WEST 43RD STREET, 5TH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7"/>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0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7"/>
            <w:vMerge w:val="continue"/>
          </w:tcPr>
          <w:p>
            <w:pPr>
              <w:spacing w:after="0"/>
              <w:rPr>
                <w:sz w:val="8"/>
                <w:szCs w:val="8"/>
                <w:color w:val="auto"/>
              </w:rPr>
            </w:pPr>
          </w:p>
        </w:tc>
        <w:tc>
          <w:tcPr>
            <w:tcW w:w="40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vMerge w:val="restart"/>
          </w:tcPr>
          <w:p>
            <w:pPr>
              <w:spacing w:after="0"/>
              <w:rPr>
                <w:sz w:val="5"/>
                <w:szCs w:val="5"/>
                <w:color w:val="auto"/>
              </w:rPr>
            </w:pPr>
          </w:p>
        </w:tc>
        <w:tc>
          <w:tcPr>
            <w:tcW w:w="50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500" w:type="dxa"/>
            <w:vAlign w:val="bottom"/>
            <w:gridSpan w:val="3"/>
            <w:vMerge w:val="continue"/>
          </w:tcPr>
          <w:p>
            <w:pPr>
              <w:spacing w:after="0"/>
              <w:rPr>
                <w:sz w:val="7"/>
                <w:szCs w:val="7"/>
                <w:color w:val="auto"/>
              </w:rPr>
            </w:pPr>
          </w:p>
        </w:tc>
        <w:tc>
          <w:tcPr>
            <w:tcW w:w="360" w:type="dxa"/>
            <w:vAlign w:val="bottom"/>
          </w:tcPr>
          <w:p>
            <w:pPr>
              <w:spacing w:after="0"/>
              <w:rPr>
                <w:sz w:val="7"/>
                <w:szCs w:val="7"/>
                <w:color w:val="auto"/>
              </w:rPr>
            </w:pPr>
          </w:p>
        </w:tc>
        <w:tc>
          <w:tcPr>
            <w:tcW w:w="86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gridSpan w:val="2"/>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10036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gridSpan w:val="3"/>
          </w:tcPr>
          <w:p>
            <w:pPr>
              <w:spacing w:after="0"/>
              <w:rPr>
                <w:sz w:val="11"/>
                <w:szCs w:val="11"/>
                <w:color w:val="auto"/>
              </w:rPr>
            </w:pPr>
          </w:p>
        </w:tc>
        <w:tc>
          <w:tcPr>
            <w:tcW w:w="254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80" w:type="dxa"/>
            <w:vAlign w:val="bottom"/>
            <w:gridSpan w:val="5"/>
          </w:tcPr>
          <w:p>
            <w:pPr>
              <w:ind w:left="6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3"/>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rPr>
              <w:t>Class A Common Stock</w:t>
            </w:r>
          </w:p>
        </w:tc>
        <w:tc>
          <w:tcPr>
            <w:tcW w:w="1680" w:type="dxa"/>
            <w:vAlign w:val="bottom"/>
            <w:tcBorders>
              <w:bottom w:val="single" w:sz="8" w:color="2C2C2C"/>
            </w:tcBorders>
            <w:gridSpan w:val="5"/>
          </w:tcPr>
          <w:p>
            <w:pPr>
              <w:ind w:left="780"/>
              <w:spacing w:after="0"/>
              <w:rPr>
                <w:sz w:val="20"/>
                <w:szCs w:val="20"/>
                <w:color w:val="auto"/>
              </w:rPr>
            </w:pPr>
            <w:r>
              <w:rPr>
                <w:rFonts w:ascii="Arial" w:cs="Arial" w:eastAsia="Arial" w:hAnsi="Arial"/>
                <w:sz w:val="18"/>
                <w:szCs w:val="18"/>
                <w:color w:val="0000FF"/>
                <w:w w:val="97"/>
              </w:rPr>
              <w:t>07/12/2018</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ind w:right="32"/>
              <w:spacing w:after="0"/>
              <w:rPr>
                <w:sz w:val="20"/>
                <w:szCs w:val="20"/>
                <w:color w:val="auto"/>
              </w:rPr>
            </w:pPr>
            <w:r>
              <w:rPr>
                <w:rFonts w:ascii="Arial" w:cs="Arial" w:eastAsia="Arial" w:hAnsi="Arial"/>
                <w:sz w:val="18"/>
                <w:szCs w:val="18"/>
                <w:color w:val="0000FF"/>
              </w:rPr>
              <w:t>737</w:t>
            </w:r>
            <w:r>
              <w:rPr>
                <w:rFonts w:ascii="Arial" w:cs="Arial" w:eastAsia="Arial" w:hAnsi="Arial"/>
                <w:sz w:val="22"/>
                <w:szCs w:val="22"/>
                <w:color w:val="008000"/>
                <w:vertAlign w:val="superscript"/>
              </w:rPr>
              <w:t>(1)</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9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52.66</w:t>
            </w:r>
            <w:r>
              <w:rPr>
                <w:rFonts w:ascii="Arial" w:cs="Arial" w:eastAsia="Arial" w:hAnsi="Arial"/>
                <w:sz w:val="22"/>
                <w:szCs w:val="22"/>
                <w:color w:val="008000"/>
                <w:vertAlign w:val="superscript"/>
              </w:rPr>
              <w:t>(1)</w:t>
            </w:r>
          </w:p>
        </w:tc>
        <w:tc>
          <w:tcPr>
            <w:tcW w:w="3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right"/>
              <w:ind w:right="434"/>
              <w:spacing w:after="0"/>
              <w:rPr>
                <w:sz w:val="20"/>
                <w:szCs w:val="20"/>
                <w:color w:val="auto"/>
              </w:rPr>
            </w:pPr>
            <w:r>
              <w:rPr>
                <w:rFonts w:ascii="Arial" w:cs="Arial" w:eastAsia="Arial" w:hAnsi="Arial"/>
                <w:sz w:val="18"/>
                <w:szCs w:val="18"/>
                <w:color w:val="0000FF"/>
              </w:rPr>
              <w:t>737</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rPr>
              <w:t>Class A Common Stock</w:t>
            </w:r>
          </w:p>
        </w:tc>
        <w:tc>
          <w:tcPr>
            <w:tcW w:w="1680" w:type="dxa"/>
            <w:vAlign w:val="bottom"/>
            <w:tcBorders>
              <w:bottom w:val="single" w:sz="8" w:color="2C2C2C"/>
            </w:tcBorders>
            <w:gridSpan w:val="5"/>
          </w:tcPr>
          <w:p>
            <w:pPr>
              <w:ind w:left="780"/>
              <w:spacing w:after="0"/>
              <w:rPr>
                <w:sz w:val="20"/>
                <w:szCs w:val="20"/>
                <w:color w:val="auto"/>
              </w:rPr>
            </w:pPr>
            <w:r>
              <w:rPr>
                <w:rFonts w:ascii="Arial" w:cs="Arial" w:eastAsia="Arial" w:hAnsi="Arial"/>
                <w:sz w:val="18"/>
                <w:szCs w:val="18"/>
                <w:color w:val="0000FF"/>
                <w:w w:val="97"/>
              </w:rPr>
              <w:t>07/12/2018</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3,133</w:t>
            </w:r>
            <w:r>
              <w:rPr>
                <w:rFonts w:ascii="Arial" w:cs="Arial" w:eastAsia="Arial" w:hAnsi="Arial"/>
                <w:sz w:val="22"/>
                <w:szCs w:val="22"/>
                <w:color w:val="008000"/>
                <w:vertAlign w:val="superscript"/>
              </w:rPr>
              <w:t>(2)</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right"/>
              <w:ind w:right="374"/>
              <w:spacing w:after="0"/>
              <w:rPr>
                <w:sz w:val="20"/>
                <w:szCs w:val="20"/>
                <w:color w:val="auto"/>
              </w:rPr>
            </w:pPr>
            <w:r>
              <w:rPr>
                <w:rFonts w:ascii="Arial" w:cs="Arial" w:eastAsia="Arial" w:hAnsi="Arial"/>
                <w:sz w:val="18"/>
                <w:szCs w:val="18"/>
                <w:color w:val="0000FF"/>
                <w:w w:val="88"/>
              </w:rPr>
              <w:t>3,870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18"/>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40" w:type="dxa"/>
            <w:vAlign w:val="bottom"/>
            <w:gridSpan w:val="14"/>
          </w:tcPr>
          <w:p>
            <w:pPr>
              <w:jc w:val="center"/>
              <w:ind w:left="51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tcPr>
          <w:p>
            <w:pPr>
              <w:ind w:left="10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737 shares of fully vested Class A Common Stock of the Issuer issued in lieu of $38,835.62 in cash compensation pursuant to the Issuer's non-employee director compensation policy.</w:t>
      </w:r>
    </w:p>
    <w:p>
      <w:pPr>
        <w:spacing w:after="0" w:line="64" w:lineRule="exact"/>
        <w:rPr>
          <w:rFonts w:ascii="Arial" w:cs="Arial" w:eastAsia="Arial" w:hAnsi="Arial"/>
          <w:sz w:val="12"/>
          <w:szCs w:val="12"/>
          <w:color w:val="008000"/>
        </w:rPr>
      </w:pPr>
    </w:p>
    <w:p>
      <w:pPr>
        <w:ind w:left="40" w:right="2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3,133 restricted stock units acquired pursuant to the Issuer's non-employee director compensation policy. Each restricted stock unit represents a contingent right to receive one share of Class A Common Stock of the Issuer and has no expiration date. The shares underlying the restricted stock unit award shall vest in full on the first anniversary of the grant date, subject to the Reporting Person providing continuous service to the Issuer on such date.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5"/>
              </w:rPr>
              <w:t>/s/ Sarah Ward, Attorney-in-</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07/16/2018</w:t>
            </w:r>
          </w:p>
        </w:tc>
        <w:tc>
          <w:tcPr>
            <w:tcW w:w="0" w:type="dxa"/>
            <w:vAlign w:val="bottom"/>
          </w:tcPr>
          <w:p>
            <w:pPr>
              <w:spacing w:after="0"/>
              <w:rPr>
                <w:sz w:val="1"/>
                <w:szCs w:val="1"/>
                <w:color w:val="auto"/>
              </w:rPr>
            </w:pPr>
          </w:p>
        </w:tc>
      </w:tr>
      <w:tr>
        <w:trPr>
          <w:trHeight w:val="88"/>
        </w:trPr>
        <w:tc>
          <w:tcPr>
            <w:tcW w:w="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68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top w:val="single" w:sz="8" w:color="auto"/>
              <w:bottom w:val="single" w:sz="8" w:color="auto"/>
            </w:tcBorders>
            <w:vMerge w:val="continue"/>
          </w:tcPr>
          <w:p>
            <w:pPr>
              <w:spacing w:after="0"/>
              <w:rPr>
                <w:sz w:val="7"/>
                <w:szCs w:val="7"/>
                <w:color w:val="auto"/>
              </w:rPr>
            </w:pPr>
          </w:p>
        </w:tc>
        <w:tc>
          <w:tcPr>
            <w:tcW w:w="168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92352" TargetMode="External"/><Relationship Id="rId13"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2019-12-24T07:14:27Z</dcterms:created>
  <dcterms:modified xsi:type="dcterms:W3CDTF">2019-12-24T07:14:27Z</dcterms:modified>
</cp:coreProperties>
</file>