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706120</wp:posOffset>
            </wp:positionV>
            <wp:extent cx="6652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732155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9" w:lineRule="exact"/>
        <w:rPr>
          <w:rFonts w:ascii="MS PGothic" w:cs="MS PGothic" w:eastAsia="MS PGothic" w:hAnsi="MS PGothic"/>
          <w:sz w:val="22"/>
          <w:szCs w:val="22"/>
          <w:color w:val="auto"/>
        </w:rPr>
      </w:pPr>
    </w:p>
    <w:p>
      <w:pPr>
        <w:ind w:left="37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October 31, 2023</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-12700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MONGODB, INC.</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27"/>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26-1463205</w:t>
            </w:r>
          </w:p>
        </w:tc>
      </w:tr>
      <w:tr>
        <w:trPr>
          <w:trHeight w:val="146"/>
        </w:trPr>
        <w:tc>
          <w:tcPr>
            <w:tcW w:w="3880" w:type="dxa"/>
            <w:vAlign w:val="bottom"/>
          </w:tcPr>
          <w:p>
            <w:pPr>
              <w:jc w:val="center"/>
              <w:ind w:right="13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32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13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1633 Broadway, 38th Floor</w:t>
            </w:r>
          </w:p>
        </w:tc>
        <w:tc>
          <w:tcPr>
            <w:tcW w:w="2560" w:type="dxa"/>
            <w:vAlign w:val="bottom"/>
          </w:tcPr>
          <w:p>
            <w:pPr>
              <w:spacing w:after="0"/>
              <w:rPr>
                <w:sz w:val="24"/>
                <w:szCs w:val="24"/>
                <w:color w:val="auto"/>
              </w:rPr>
            </w:pPr>
          </w:p>
        </w:tc>
      </w:tr>
      <w:tr>
        <w:trPr>
          <w:trHeight w:val="286"/>
        </w:trPr>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56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190"/>
        </w:trPr>
        <w:tc>
          <w:tcPr>
            <w:tcW w:w="3880" w:type="dxa"/>
            <w:vAlign w:val="bottom"/>
          </w:tcPr>
          <w:p>
            <w:pPr>
              <w:jc w:val="center"/>
              <w:ind w:righ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6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69"/>
        </w:trPr>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Common Stock, par value $0.001 per</w:t>
            </w:r>
          </w:p>
        </w:tc>
        <w:tc>
          <w:tcPr>
            <w:tcW w:w="14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MDB</w:t>
            </w:r>
          </w:p>
        </w:tc>
        <w:tc>
          <w:tcPr>
            <w:tcW w:w="1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83"/>
        </w:trPr>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27" w:lineRule="exact"/>
        <w:rPr>
          <w:sz w:val="24"/>
          <w:szCs w:val="24"/>
          <w:color w:val="auto"/>
        </w:rPr>
      </w:pPr>
    </w:p>
    <w:p>
      <w:pPr>
        <w:ind w:firstLine="445"/>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tabs>
          <w:tab w:leader="none" w:pos="2140" w:val="left"/>
        </w:tabs>
        <w:rPr>
          <w:sz w:val="20"/>
          <w:szCs w:val="20"/>
          <w:color w:val="auto"/>
        </w:rPr>
      </w:pPr>
      <w:r>
        <w:rPr>
          <w:rFonts w:ascii="Times New Roman" w:cs="Times New Roman" w:eastAsia="Times New Roman" w:hAnsi="Times New Roman"/>
          <w:sz w:val="17"/>
          <w:szCs w:val="17"/>
          <w:color w:val="auto"/>
        </w:rPr>
        <w:t xml:space="preserve">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1"/>
          <w:szCs w:val="21"/>
          <w:color w:val="auto"/>
        </w:rPr>
        <w:t>☐</w:t>
      </w:r>
    </w:p>
    <w:p>
      <w:pPr>
        <w:spacing w:after="0" w:line="61" w:lineRule="exact"/>
        <w:rPr>
          <w:sz w:val="24"/>
          <w:szCs w:val="24"/>
          <w:color w:val="auto"/>
        </w:rPr>
      </w:pPr>
    </w:p>
    <w:p>
      <w:pPr>
        <w:ind w:right="20" w:firstLine="445"/>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220" w:firstLine="445"/>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0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16" w:lineRule="exact"/>
        <w:rPr>
          <w:sz w:val="24"/>
          <w:szCs w:val="24"/>
          <w:color w:val="auto"/>
        </w:rPr>
      </w:pPr>
    </w:p>
    <w:p>
      <w:pPr>
        <w:ind w:right="20" w:firstLine="445"/>
        <w:spacing w:after="0" w:line="26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left="460" w:right="1740"/>
        <w:spacing w:after="0" w:line="26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December 5, 2023, there were 72,177,636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95885</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121285</wp:posOffset>
            </wp:positionV>
            <wp:extent cx="6652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ectPr>
          <w:pgSz w:w="11900" w:h="16838" w:orient="portrait"/>
          <w:cols w:equalWidth="0" w:num="1">
            <w:col w:w="11160"/>
          </w:cols>
          <w:pgMar w:left="320" w:top="1235" w:right="419"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10840"/>
          </w:cols>
          <w:pgMar w:left="540" w:top="125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0"/>
        <w:spacing w:after="0" w:line="380" w:lineRule="auto"/>
        <w:rPr>
          <w:sz w:val="20"/>
          <w:szCs w:val="20"/>
          <w:color w:val="auto"/>
        </w:rPr>
      </w:pPr>
      <w:r>
        <w:rPr>
          <w:rFonts w:ascii="Times New Roman" w:cs="Times New Roman" w:eastAsia="Times New Roman" w:hAnsi="Times New Roman"/>
          <w:sz w:val="18"/>
          <w:szCs w:val="18"/>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30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360" w:type="dxa"/>
            <w:vAlign w:val="bottom"/>
            <w:gridSpan w:val="6"/>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060" w:type="dxa"/>
            <w:vAlign w:val="bottom"/>
            <w:tcBorders>
              <w:bottom w:val="single" w:sz="8" w:color="0000FF"/>
            </w:tcBorders>
            <w:gridSpan w:val="6"/>
            <w:vMerge w:val="continue"/>
          </w:tcPr>
          <w:p>
            <w:pPr>
              <w:spacing w:after="0"/>
              <w:rPr>
                <w:sz w:val="14"/>
                <w:szCs w:val="14"/>
                <w:color w:val="auto"/>
              </w:rPr>
            </w:pPr>
          </w:p>
        </w:tc>
        <w:tc>
          <w:tcPr>
            <w:tcW w:w="336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October 31, 2023 and January 31, 2023</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9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nine months ended October 31, 2023 and 2022</w:t>
            </w:r>
          </w:p>
        </w:tc>
        <w:tc>
          <w:tcPr>
            <w:tcW w:w="60" w:type="dxa"/>
            <w:vAlign w:val="bottom"/>
            <w:gridSpan w:val="2"/>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nine months ended October 31, 2023</w:t>
            </w:r>
          </w:p>
        </w:tc>
        <w:tc>
          <w:tcPr>
            <w:tcW w:w="40" w:type="dxa"/>
            <w:vAlign w:val="bottom"/>
          </w:tcPr>
          <w:p>
            <w:pPr>
              <w:spacing w:after="0"/>
              <w:rPr>
                <w:sz w:val="18"/>
                <w:szCs w:val="18"/>
                <w:color w:val="auto"/>
              </w:rPr>
            </w:pP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3"/>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2022</w:t>
            </w:r>
          </w:p>
        </w:tc>
        <w:tc>
          <w:tcPr>
            <w:tcW w:w="8160" w:type="dxa"/>
            <w:vAlign w:val="bottom"/>
            <w:gridSpan w:val="17"/>
            <w:vMerge w:val="restart"/>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Borders>
              <w:bottom w:val="single" w:sz="8" w:color="0000FF"/>
            </w:tcBorders>
            <w:gridSpan w:val="3"/>
            <w:vMerge w:val="continue"/>
          </w:tcPr>
          <w:p>
            <w:pPr>
              <w:spacing w:after="0"/>
              <w:rPr>
                <w:sz w:val="6"/>
                <w:szCs w:val="6"/>
                <w:color w:val="auto"/>
              </w:rPr>
            </w:pPr>
          </w:p>
        </w:tc>
        <w:tc>
          <w:tcPr>
            <w:tcW w:w="8160" w:type="dxa"/>
            <w:vAlign w:val="bottom"/>
            <w:gridSpan w:val="17"/>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2023 and 2022</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2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720" w:type="dxa"/>
            <w:vAlign w:val="bottom"/>
            <w:gridSpan w:val="5"/>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520" w:type="dxa"/>
            <w:vAlign w:val="bottom"/>
            <w:gridSpan w:val="7"/>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4"/>
                <w:szCs w:val="24"/>
                <w:color w:val="auto"/>
              </w:rPr>
            </w:pPr>
          </w:p>
        </w:tc>
        <w:tc>
          <w:tcPr>
            <w:tcW w:w="7560" w:type="dxa"/>
            <w:vAlign w:val="bottom"/>
            <w:gridSpan w:val="1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-3719830</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-3342640</wp:posOffset>
            </wp:positionV>
            <wp:extent cx="689229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-2931160</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-2639695</wp:posOffset>
            </wp:positionV>
            <wp:extent cx="689229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-2287905</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-1877060</wp:posOffset>
            </wp:positionV>
            <wp:extent cx="68922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-1568450</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-1156970</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-745490</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-334010</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20"/>
            <w:col w:w="9860"/>
          </w:cols>
          <w:pgMar w:left="540" w:top="1256" w:right="5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12"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9" w:lineRule="exact"/>
        <w:rPr>
          <w:sz w:val="20"/>
          <w:szCs w:val="20"/>
          <w:color w:val="auto"/>
        </w:rPr>
      </w:pPr>
    </w:p>
    <w:p>
      <w:pPr>
        <w:jc w:val="right"/>
        <w:ind w:right="20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October 31, 2023</w:t>
      </w:r>
      <w:r>
        <w:rPr>
          <w:sz w:val="20"/>
          <w:szCs w:val="20"/>
          <w:color w:val="auto"/>
        </w:rPr>
        <w:tab/>
      </w:r>
      <w:r>
        <w:rPr>
          <w:rFonts w:ascii="Times New Roman" w:cs="Times New Roman" w:eastAsia="Times New Roman" w:hAnsi="Times New Roman"/>
          <w:sz w:val="14"/>
          <w:szCs w:val="14"/>
          <w:b w:val="1"/>
          <w:bCs w:val="1"/>
          <w:color w:val="auto"/>
        </w:rPr>
        <w:t>January 31, 2023</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Cash and cash equivalents</w:t>
      </w:r>
      <w:r>
        <w:rPr>
          <w:sz w:val="20"/>
          <w:szCs w:val="20"/>
          <w:color w:val="auto"/>
        </w:rPr>
        <w:tab/>
      </w:r>
      <w:r>
        <w:rPr>
          <w:rFonts w:ascii="Times New Roman" w:cs="Times New Roman" w:eastAsia="Times New Roman" w:hAnsi="Times New Roman"/>
          <w:sz w:val="12"/>
          <w:szCs w:val="12"/>
          <w:color w:val="auto"/>
        </w:rPr>
        <w:t>$</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$8,163 and $6,362 as of October 31, 2023 and January 31, 2023,</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respectively</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Goodwill</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Acquired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assets</w:t>
      </w:r>
      <w:r>
        <w:rPr>
          <w:sz w:val="20"/>
          <w:szCs w:val="20"/>
          <w:color w:val="auto"/>
        </w:rPr>
        <w:tab/>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spacing w:after="0"/>
        <w:tabs>
          <w:tab w:leader="none" w:pos="822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Other accrued liabilities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tax liability,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Convertible senior notes, net</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7)</w:t>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right="120" w:hanging="120"/>
        <w:spacing w:after="0" w:line="271" w:lineRule="auto"/>
        <w:rPr>
          <w:sz w:val="20"/>
          <w:szCs w:val="20"/>
          <w:color w:val="auto"/>
        </w:rPr>
      </w:pPr>
      <w:r>
        <w:rPr>
          <w:rFonts w:ascii="Times New Roman" w:cs="Times New Roman" w:eastAsia="Times New Roman" w:hAnsi="Times New Roman"/>
          <w:sz w:val="14"/>
          <w:szCs w:val="14"/>
          <w:color w:val="auto"/>
        </w:rPr>
        <w:t>Common stock, par value of $0.001 per share; 1,000,000,000 shares authorized as of October 31, 2023 and January 31, 2023; 72,058,847 shares issued and 71,959,476 shares outstanding as of October 31, 2023; 70,005,957 shares issued and 69,906,586 shares outstanding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Treasury stock, 99,371 shares (repurchased at an average of $13.27 per share) as of October 31, 2023 and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96" w:lineRule="exact"/>
        <w:rPr>
          <w:sz w:val="20"/>
          <w:szCs w:val="20"/>
          <w:color w:val="auto"/>
        </w:rPr>
      </w:pPr>
    </w:p>
    <w:p>
      <w:pPr>
        <w:ind w:left="180"/>
        <w:spacing w:after="0"/>
        <w:tabs>
          <w:tab w:leader="none" w:pos="8220" w:val="left"/>
        </w:tabs>
        <w:rPr>
          <w:sz w:val="20"/>
          <w:szCs w:val="20"/>
          <w:color w:val="auto"/>
        </w:rPr>
      </w:pPr>
      <w:r>
        <w:rPr>
          <w:rFonts w:ascii="Times New Roman" w:cs="Times New Roman" w:eastAsia="Times New Roman" w:hAnsi="Times New Roman"/>
          <w:sz w:val="14"/>
          <w:szCs w:val="14"/>
          <w:color w:val="auto"/>
        </w:rPr>
        <w:t>Total liabilities and stockholders’ equity</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477,675</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455,826</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1,447,036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1,380,804</w:t>
            </w:r>
          </w:p>
        </w:tc>
        <w:tc>
          <w:tcPr>
            <w:tcW w:w="0" w:type="dxa"/>
            <w:vAlign w:val="bottom"/>
          </w:tcPr>
          <w:p>
            <w:pPr>
              <w:spacing w:after="0"/>
              <w:rPr>
                <w:sz w:val="1"/>
                <w:szCs w:val="1"/>
                <w:color w:val="auto"/>
              </w:rPr>
            </w:pPr>
          </w:p>
        </w:tc>
      </w:tr>
      <w:tr>
        <w:trPr>
          <w:trHeight w:val="405"/>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271,679</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285,192</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87,221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83,550</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36,982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31,212</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2,320,593</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2,236,584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54,892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57,841</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39,181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41,194</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69,679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57,779</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7,127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3,837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198,708</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181,503</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2,694,017</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2,588,893</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9,340</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8,295</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100,591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90,112</w:t>
            </w:r>
          </w:p>
        </w:tc>
        <w:tc>
          <w:tcPr>
            <w:tcW w:w="0" w:type="dxa"/>
            <w:vAlign w:val="bottom"/>
          </w:tcPr>
          <w:p>
            <w:pPr>
              <w:spacing w:after="0"/>
              <w:rPr>
                <w:sz w:val="1"/>
                <w:szCs w:val="1"/>
                <w:color w:val="auto"/>
              </w:rPr>
            </w:pPr>
          </w:p>
        </w:tc>
      </w:tr>
      <w:tr>
        <w:trPr>
          <w:trHeight w:val="229"/>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9,592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66,715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52,672</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303,325</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428,747</w:t>
            </w:r>
          </w:p>
        </w:tc>
        <w:tc>
          <w:tcPr>
            <w:tcW w:w="0" w:type="dxa"/>
            <w:vAlign w:val="bottom"/>
          </w:tcPr>
          <w:p>
            <w:pPr>
              <w:spacing w:after="0"/>
              <w:rPr>
                <w:sz w:val="1"/>
                <w:szCs w:val="1"/>
                <w:color w:val="auto"/>
              </w:rPr>
            </w:pPr>
          </w:p>
        </w:tc>
      </w:tr>
      <w:tr>
        <w:trPr>
          <w:trHeight w:val="23"/>
        </w:trPr>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489,563</w:t>
            </w: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588,512</w:t>
            </w:r>
          </w:p>
        </w:tc>
        <w:tc>
          <w:tcPr>
            <w:tcW w:w="0" w:type="dxa"/>
            <w:vAlign w:val="bottom"/>
          </w:tcPr>
          <w:p>
            <w:pPr>
              <w:spacing w:after="0"/>
              <w:rPr>
                <w:sz w:val="1"/>
                <w:szCs w:val="1"/>
                <w:color w:val="auto"/>
              </w:rPr>
            </w:pPr>
          </w:p>
        </w:tc>
      </w:tr>
      <w:tr>
        <w:trPr>
          <w:trHeight w:val="23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1,134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33,131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36,264</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17,436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31,524</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1,142,423</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1,139,880</w:t>
            </w:r>
          </w:p>
        </w:tc>
        <w:tc>
          <w:tcPr>
            <w:tcW w:w="0" w:type="dxa"/>
            <w:vAlign w:val="bottom"/>
          </w:tcPr>
          <w:p>
            <w:pPr>
              <w:spacing w:after="0"/>
              <w:rPr>
                <w:sz w:val="1"/>
                <w:szCs w:val="1"/>
                <w:color w:val="auto"/>
              </w:rPr>
            </w:pPr>
          </w:p>
        </w:tc>
      </w:tr>
      <w:tr>
        <w:trPr>
          <w:trHeight w:val="243"/>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42,790</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52,980</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1,726,477</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1,849,385</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-7620</wp:posOffset>
            </wp:positionV>
            <wp:extent cx="925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-2056765</wp:posOffset>
            </wp:positionV>
            <wp:extent cx="9258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-3256915</wp:posOffset>
            </wp:positionV>
            <wp:extent cx="925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w:t>
            </w:r>
          </w:p>
        </w:tc>
        <w:tc>
          <w:tcPr>
            <w:tcW w:w="4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30"/>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2,634,381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2,276,694</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(1,319)</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30"/>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(9,422)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43"/>
        </w:trPr>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7"/>
              </w:rPr>
              <w:t>(1,656,172)</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(1,535,032)</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967,540</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739,508</w:t>
            </w:r>
          </w:p>
        </w:tc>
        <w:tc>
          <w:tcPr>
            <w:tcW w:w="0" w:type="dxa"/>
            <w:vAlign w:val="bottom"/>
          </w:tcPr>
          <w:p>
            <w:pPr>
              <w:spacing w:after="0"/>
              <w:rPr>
                <w:sz w:val="1"/>
                <w:szCs w:val="1"/>
                <w:color w:val="auto"/>
              </w:rPr>
            </w:pPr>
          </w:p>
        </w:tc>
      </w:tr>
      <w:tr>
        <w:trPr>
          <w:trHeight w:val="24"/>
        </w:trPr>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2,694,017</w:t>
            </w: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2,588,893</w:t>
            </w:r>
          </w:p>
        </w:tc>
        <w:tc>
          <w:tcPr>
            <w:tcW w:w="0" w:type="dxa"/>
            <w:vAlign w:val="bottom"/>
          </w:tcPr>
          <w:p>
            <w:pPr>
              <w:spacing w:after="0"/>
              <w:rPr>
                <w:sz w:val="1"/>
                <w:szCs w:val="1"/>
                <w:color w:val="auto"/>
              </w:rPr>
            </w:pPr>
          </w:p>
        </w:tc>
      </w:tr>
      <w:tr>
        <w:trPr>
          <w:trHeight w:val="24"/>
        </w:trPr>
        <w:tc>
          <w:tcPr>
            <w:tcW w:w="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-33655</wp:posOffset>
            </wp:positionV>
            <wp:extent cx="925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-8255</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-179705</wp:posOffset>
            </wp:positionV>
            <wp:extent cx="925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680"/>
            <w:col w:w="2260"/>
          </w:cols>
          <w:pgMar w:left="320" w:top="130" w:right="339" w:bottom="1440" w:gutter="0" w:footer="0" w:header="0"/>
          <w:type w:val="continuous"/>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418,339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320,756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1,182,387</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886,944</w:t>
            </w: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213,154</w:t>
            </w:r>
          </w:p>
        </w:tc>
        <w:tc>
          <w:tcPr>
            <w:tcW w:w="0" w:type="dxa"/>
            <w:vAlign w:val="bottom"/>
          </w:tcPr>
          <w:p>
            <w:pPr>
              <w:spacing w:after="0"/>
              <w:rPr>
                <w:sz w:val="1"/>
                <w:szCs w:val="1"/>
                <w:color w:val="auto"/>
              </w:rPr>
            </w:pPr>
          </w:p>
        </w:tc>
      </w:tr>
      <w:tr>
        <w:trPr>
          <w:trHeight w:val="284"/>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46,990</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260,144</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915,165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662,584</w:t>
            </w:r>
          </w:p>
        </w:tc>
        <w:tc>
          <w:tcPr>
            <w:tcW w:w="0" w:type="dxa"/>
            <w:vAlign w:val="bottom"/>
          </w:tcPr>
          <w:p>
            <w:pPr>
              <w:spacing w:after="0"/>
              <w:rPr>
                <w:sz w:val="1"/>
                <w:szCs w:val="1"/>
                <w:color w:val="auto"/>
              </w:rPr>
            </w:pPr>
          </w:p>
        </w:tc>
      </w:tr>
      <w:tr>
        <w:trPr>
          <w:trHeight w:val="22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509,285</w:t>
            </w:r>
          </w:p>
        </w:tc>
        <w:tc>
          <w:tcPr>
            <w:tcW w:w="0" w:type="dxa"/>
            <w:vAlign w:val="bottom"/>
          </w:tcPr>
          <w:p>
            <w:pPr>
              <w:spacing w:after="0"/>
              <w:rPr>
                <w:sz w:val="1"/>
                <w:szCs w:val="1"/>
                <w:color w:val="auto"/>
              </w:rPr>
            </w:pPr>
          </w:p>
        </w:tc>
      </w:tr>
      <w:tr>
        <w:trPr>
          <w:trHeight w:val="27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310,801</w:t>
            </w: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116,204</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322,892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936,290</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(273,706)</w:t>
            </w:r>
          </w:p>
        </w:tc>
        <w:tc>
          <w:tcPr>
            <w:tcW w:w="0" w:type="dxa"/>
            <w:vAlign w:val="bottom"/>
          </w:tcPr>
          <w:p>
            <w:pPr>
              <w:spacing w:after="0"/>
              <w:rPr>
                <w:sz w:val="1"/>
                <w:szCs w:val="1"/>
                <w:color w:val="auto"/>
              </w:rPr>
            </w:pPr>
          </w:p>
        </w:tc>
      </w:tr>
      <w:tr>
        <w:trPr>
          <w:trHeight w:val="22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284"/>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(271,770)</w:t>
            </w: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0" w:type="dxa"/>
            <w:vAlign w:val="bottom"/>
          </w:tcPr>
          <w:p>
            <w:pPr>
              <w:spacing w:after="0"/>
              <w:rPr>
                <w:sz w:val="1"/>
                <w:szCs w:val="1"/>
                <w:color w:val="auto"/>
              </w:rPr>
            </w:pPr>
          </w:p>
        </w:tc>
      </w:tr>
      <w:tr>
        <w:trPr>
          <w:trHeight w:val="264"/>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71,560,023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68,916,813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70,878,162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68,325,990</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(281,000)</w:t>
            </w:r>
          </w:p>
        </w:tc>
      </w:tr>
      <w:tr>
        <w:trPr>
          <w:trHeight w:val="229"/>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64"/>
        </w:trPr>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63"/>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(281,863)</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20" w:type="dxa"/>
            <w:vAlign w:val="bottom"/>
          </w:tcPr>
          <w:p>
            <w:pPr>
              <w:spacing w:after="0"/>
              <w:rPr>
                <w:sz w:val="13"/>
                <w:szCs w:val="13"/>
                <w:color w:val="auto"/>
              </w:rPr>
            </w:pPr>
          </w:p>
        </w:tc>
        <w:tc>
          <w:tcPr>
            <w:tcW w:w="1900" w:type="dxa"/>
            <w:vAlign w:val="bottom"/>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20" w:type="dxa"/>
            <w:vAlign w:val="bottom"/>
          </w:tcPr>
          <w:p>
            <w:pPr>
              <w:spacing w:after="0"/>
              <w:rPr>
                <w:sz w:val="4"/>
                <w:szCs w:val="4"/>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8"/>
        </w:trPr>
        <w:tc>
          <w:tcPr>
            <w:tcW w:w="3320" w:type="dxa"/>
            <w:vAlign w:val="bottom"/>
          </w:tcPr>
          <w:p>
            <w:pPr>
              <w:spacing w:after="0"/>
              <w:rPr>
                <w:sz w:val="4"/>
                <w:szCs w:val="4"/>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6"/>
        </w:trPr>
        <w:tc>
          <w:tcPr>
            <w:tcW w:w="3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69,906,586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739,508</w:t>
            </w:r>
          </w:p>
        </w:tc>
        <w:tc>
          <w:tcPr>
            <w:tcW w:w="0" w:type="dxa"/>
            <w:vAlign w:val="bottom"/>
          </w:tcPr>
          <w:p>
            <w:pPr>
              <w:spacing w:after="0"/>
              <w:rPr>
                <w:sz w:val="1"/>
                <w:szCs w:val="1"/>
                <w:color w:val="auto"/>
              </w:rPr>
            </w:pPr>
          </w:p>
        </w:tc>
      </w:tr>
      <w:tr>
        <w:trPr>
          <w:trHeight w:val="18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213,713</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388,017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performance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103,955</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(54,246)</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70,531,307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2,382,121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792,429</w:t>
            </w:r>
          </w:p>
        </w:tc>
        <w:tc>
          <w:tcPr>
            <w:tcW w:w="0" w:type="dxa"/>
            <w:vAlign w:val="bottom"/>
          </w:tcPr>
          <w:p>
            <w:pPr>
              <w:spacing w:after="0"/>
              <w:rPr>
                <w:sz w:val="1"/>
                <w:szCs w:val="1"/>
                <w:color w:val="auto"/>
              </w:rPr>
            </w:pPr>
          </w:p>
        </w:tc>
      </w:tr>
      <w:tr>
        <w:trPr>
          <w:trHeight w:val="18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265,477</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432,093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113,312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19"/>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(37,597)</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71,343,385</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2,517,249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(1,626,875)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885,085</w:t>
            </w:r>
          </w:p>
        </w:tc>
        <w:tc>
          <w:tcPr>
            <w:tcW w:w="0" w:type="dxa"/>
            <w:vAlign w:val="bottom"/>
          </w:tcPr>
          <w:p>
            <w:pPr>
              <w:spacing w:after="0"/>
              <w:rPr>
                <w:sz w:val="1"/>
                <w:szCs w:val="1"/>
                <w:color w:val="auto"/>
              </w:rPr>
            </w:pPr>
          </w:p>
        </w:tc>
      </w:tr>
      <w:tr>
        <w:trPr>
          <w:trHeight w:val="18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179,901</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436,190</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115,829</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October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71,959,476</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2,634,381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(1,656,172)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967,540</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900" w:type="dxa"/>
            <w:vAlign w:val="bottom"/>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Capital</w:t>
            </w:r>
          </w:p>
        </w:tc>
        <w:tc>
          <w:tcPr>
            <w:tcW w:w="12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tcPr>
          <w:p>
            <w:pPr>
              <w:spacing w:after="0"/>
              <w:rPr>
                <w:sz w:val="13"/>
                <w:szCs w:val="13"/>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6"/>
        </w:trPr>
        <w:tc>
          <w:tcPr>
            <w:tcW w:w="3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67,444,360</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1,860,514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(1,189,634)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666,700</w:t>
            </w:r>
          </w:p>
        </w:tc>
        <w:tc>
          <w:tcPr>
            <w:tcW w:w="0" w:type="dxa"/>
            <w:vAlign w:val="bottom"/>
          </w:tcPr>
          <w:p>
            <w:pPr>
              <w:spacing w:after="0"/>
              <w:rPr>
                <w:sz w:val="1"/>
                <w:szCs w:val="1"/>
                <w:color w:val="auto"/>
              </w:rPr>
            </w:pPr>
          </w:p>
        </w:tc>
      </w:tr>
      <w:tr>
        <w:trPr>
          <w:trHeight w:val="18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235,517</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381,178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(77,294)</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April 30,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68,061,063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1,945,737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(1,266,928)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672,879</w:t>
            </w:r>
          </w:p>
        </w:tc>
        <w:tc>
          <w:tcPr>
            <w:tcW w:w="0" w:type="dxa"/>
            <w:vAlign w:val="bottom"/>
          </w:tcPr>
          <w:p>
            <w:pPr>
              <w:spacing w:after="0"/>
              <w:rPr>
                <w:sz w:val="1"/>
                <w:szCs w:val="1"/>
                <w:color w:val="auto"/>
              </w:rPr>
            </w:pPr>
          </w:p>
        </w:tc>
      </w:tr>
      <w:tr>
        <w:trPr>
          <w:trHeight w:val="18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163,986</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388,483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the Employee Stock</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(118,865)</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July 31,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68,686,516</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2,059,405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(1,385,793)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668,168</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199,043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370,102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99,198</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convertible senior notes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206"/>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(84,841)</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October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69,255,675</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2,159,957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(1,470,634)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684,282</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(121,140)</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(281,000)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11,912</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333,096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279,318</w:t>
            </w: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of finance right-of-use assets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income taxes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premium and accretion of discount on short-term investments,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on non-marketable securities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foreign exchange gain</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(29,909)</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long-term assets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206"/>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Accrued liabilities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(18,769)</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(38,841)</w:t>
            </w:r>
          </w:p>
        </w:tc>
        <w:tc>
          <w:tcPr>
            <w:tcW w:w="0" w:type="dxa"/>
            <w:vAlign w:val="bottom"/>
          </w:tcPr>
          <w:p>
            <w:pPr>
              <w:spacing w:after="0"/>
              <w:rPr>
                <w:sz w:val="1"/>
                <w:szCs w:val="1"/>
                <w:color w:val="auto"/>
              </w:rPr>
            </w:pPr>
          </w:p>
        </w:tc>
      </w:tr>
      <w:tr>
        <w:trPr>
          <w:trHeight w:val="17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0" w:type="dxa"/>
            <w:vAlign w:val="bottom"/>
          </w:tcPr>
          <w:p>
            <w:pPr>
              <w:spacing w:after="0"/>
              <w:rPr>
                <w:sz w:val="1"/>
                <w:szCs w:val="1"/>
                <w:color w:val="auto"/>
              </w:rPr>
            </w:pP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 non-marketable securities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Business combination</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1,075,000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(514,047)</w:t>
            </w:r>
          </w:p>
        </w:tc>
        <w:tc>
          <w:tcPr>
            <w:tcW w:w="0" w:type="dxa"/>
            <w:vAlign w:val="bottom"/>
          </w:tcPr>
          <w:p>
            <w:pPr>
              <w:spacing w:after="0"/>
              <w:rPr>
                <w:sz w:val="1"/>
                <w:szCs w:val="1"/>
                <w:color w:val="auto"/>
              </w:rPr>
            </w:pPr>
          </w:p>
        </w:tc>
      </w:tr>
      <w:tr>
        <w:trPr>
          <w:trHeight w:val="186"/>
        </w:trPr>
        <w:tc>
          <w:tcPr>
            <w:tcW w:w="7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(64,243)</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551,697</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the issuance of common stock under the Employee Stock Purchase Plan</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220"/>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Principal repayments of finance leases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0" w:type="dxa"/>
            <w:vAlign w:val="bottom"/>
          </w:tcPr>
          <w:p>
            <w:pPr>
              <w:spacing w:after="0"/>
              <w:rPr>
                <w:sz w:val="1"/>
                <w:szCs w:val="1"/>
                <w:color w:val="auto"/>
              </w:rPr>
            </w:pPr>
          </w:p>
        </w:tc>
      </w:tr>
      <w:tr>
        <w:trPr>
          <w:trHeight w:val="200"/>
        </w:trPr>
        <w:tc>
          <w:tcPr>
            <w:tcW w:w="7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525,757</w:t>
            </w:r>
          </w:p>
        </w:tc>
        <w:tc>
          <w:tcPr>
            <w:tcW w:w="0" w:type="dxa"/>
            <w:vAlign w:val="bottom"/>
          </w:tcPr>
          <w:p>
            <w:pPr>
              <w:spacing w:after="0"/>
              <w:rPr>
                <w:sz w:val="1"/>
                <w:szCs w:val="1"/>
                <w:color w:val="auto"/>
              </w:rPr>
            </w:pPr>
          </w:p>
        </w:tc>
      </w:tr>
      <w:tr>
        <w:trPr>
          <w:trHeight w:val="220"/>
        </w:trPr>
        <w:tc>
          <w:tcPr>
            <w:tcW w:w="7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474,420</w:t>
            </w: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1,000,177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100" w:type="dxa"/>
            <w:vAlign w:val="bottom"/>
          </w:tcPr>
          <w:p>
            <w:pPr>
              <w:spacing w:after="0"/>
              <w:rPr>
                <w:sz w:val="19"/>
                <w:szCs w:val="19"/>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0" w:type="dxa"/>
            <w:vAlign w:val="bottom"/>
          </w:tcPr>
          <w:p>
            <w:pPr>
              <w:spacing w:after="0"/>
              <w:rPr>
                <w:sz w:val="1"/>
                <w:szCs w:val="1"/>
                <w:color w:val="auto"/>
              </w:rPr>
            </w:pPr>
          </w:p>
        </w:tc>
      </w:tr>
      <w:tr>
        <w:trPr>
          <w:trHeight w:val="135"/>
        </w:trPr>
        <w:tc>
          <w:tcPr>
            <w:tcW w:w="778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end of period,</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 the amounts shown in the statements of cash flows above: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999,674</w:t>
            </w:r>
          </w:p>
        </w:tc>
        <w:tc>
          <w:tcPr>
            <w:tcW w:w="0" w:type="dxa"/>
            <w:vAlign w:val="bottom"/>
          </w:tcPr>
          <w:p>
            <w:pPr>
              <w:spacing w:after="0"/>
              <w:rPr>
                <w:sz w:val="1"/>
                <w:szCs w:val="1"/>
                <w:color w:val="auto"/>
              </w:rPr>
            </w:pPr>
          </w:p>
        </w:tc>
      </w:tr>
      <w:tr>
        <w:trPr>
          <w:trHeight w:val="233"/>
        </w:trPr>
        <w:tc>
          <w:tcPr>
            <w:tcW w:w="7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1,000,177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Basis of Presentation</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2023 (the “2023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Use of Estimates</w:t>
      </w:r>
    </w:p>
    <w:p>
      <w:pPr>
        <w:spacing w:after="0" w:line="17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3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global macroeconomic conditions, including slower economic growth, rising interest rates and inflation, continue to impact demand and supply for a broad variety of goods and services, including demand from the Company’s customers.</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Significant Accounting Policies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and January 31, 2023 and indicate the fair value hierarchy of the valuation inputs utilized to determine such fair value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October 31, 2023</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244,707</w:t>
            </w:r>
          </w:p>
        </w:tc>
      </w:tr>
      <w:tr>
        <w:trPr>
          <w:trHeight w:val="229"/>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1,447,036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1,447,036</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1,691,743</w:t>
            </w:r>
          </w:p>
        </w:tc>
        <w:tc>
          <w:tcPr>
            <w:tcW w:w="1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1,691,743</w:t>
            </w:r>
          </w:p>
        </w:tc>
      </w:tr>
      <w:tr>
        <w:trPr>
          <w:trHeight w:val="21"/>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0"/>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January 31, 2023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268,985</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1,380,804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1,380,804</w:t>
            </w:r>
          </w:p>
        </w:tc>
      </w:tr>
      <w:tr>
        <w:trPr>
          <w:trHeight w:val="26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1,649,789</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1,649,789</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utilized the market approach and Level 1 valuation inputs to value its money market mutual funds and U.S. government treasury securities because published net asset values were readily available.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the Company’s short-term investments by remaining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and January 31,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638,309</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1,383,226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1,380,804</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Due after one year and within three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1,380,804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2023 and January 31, 2023, unrealized losses on the Company’s U.S. government treasury securities were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and $2.4 million, respectively. These unrealized losses were caused by interest rate increases, which resulted in the decrease in market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securities. Because the decline in fair value is due to changes in interest rates and not credit quality, and because the Company does not intend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the investments and it is not more likely than not that the Company will be required to sell the investments before recovery of their amortized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bases, which may be at maturity, the Company concluded that an allowance for credit losses was unnecessary for short-term investments as of October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Gross realized gains and losses were not material for each of the three and nine months ended October 31, 2023 and 2022. There were no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a continuous loss position for greater than twelve months.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Convertible Senior Notes</w:t>
      </w:r>
    </w:p>
    <w:p>
      <w:pPr>
        <w:spacing w:after="0" w:line="173"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 measures the fair value of its outstanding convertible senior notes on a quarterly basis for disclosure purposes. The Company considers the fair value of its convertible senior notes at October 31, 2023 to be a Level 2 measurement due to limited trading activity of the convertible senior notes. Refer to Note 5,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Non-marketable Securities</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As of October 31, 2023 and January 31, 2023, the total amount of non-marketable equity and debt securities included in other assets on the Company’s condensed consolidated balance sheets were $13.1 million and $9.8 million, respectively. During the nine months ended October 31, 2023 and 2022, the Company invested an additional $2.1 million and $2.7 million, respectively, of its cash in non-marketable equity securities. The Company recognized net unrealized gains on certain of these non-marketable securities of $1.3 million and $1.7 million during the nine months ended October 31, 2023 and 2022, respectively. No unrealized gain or loss was recognized during the three months ended October 31, 2023 and 2022.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Part II, Item 8 of the Company’s 2023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Acquired Intangible Assets,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during the periods presented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January 31, 2023</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2100" w:type="dxa"/>
            <w:vAlign w:val="bottom"/>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57,775</w:t>
            </w: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goodwill related to business combinations</w:t>
            </w:r>
          </w:p>
        </w:tc>
        <w:tc>
          <w:tcPr>
            <w:tcW w:w="2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the year</w:t>
            </w:r>
          </w:p>
        </w:tc>
        <w:tc>
          <w:tcPr>
            <w:tcW w:w="2100" w:type="dxa"/>
            <w:vAlign w:val="bottom"/>
            <w:tcBorders>
              <w:bottom w:val="single" w:sz="8" w:color="auto"/>
            </w:tcBorders>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 xml:space="preserve">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The fair value assigned to acquired assets is based on management’s best estimates and assumptions as of the acquisition date and is considered preliminary pending finalization of the analyses. During the measurement period, which may be up to one year from the acquisition date, the Company may record adjustments to the fair value of the intangible asset acquired and goodwill. Acquisition-related transaction costs were not material and have been expensed as incurred and included in general and administrative expenses in the condensed consolidated statements of operations. The business combination did not have a material impact on the Company’s condensed consolidated financial statements for the periods ended October 31, 2023.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the Company’s intangible assets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60" w:type="dxa"/>
            <w:vAlign w:val="bottom"/>
            <w:gridSpan w:val="5"/>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5"/>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92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are amortized on a straight-line basis. Amortization expense of intangible assets was $2.8 million and $7.4 million for the three and nine months ended October 31, 2023, respectively, and $2.3 million and $6.9 million for the three and nine months ended October 31, 2022, respectively. Amortization expense for developed technology was included as research and development expense in the Company’s interim unaudited condensed consolidated statements of operations. Amortization expense for customer relationships was included as sales and marketing expense in the Company’s interim unaudited condensed consolidated statements of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October 31, 2023, future amortization expense related to the intangible assets is as follows (in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January 31,</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0"/>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amounts of the Company’s 2026 Notes (as defined herein)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40" w:type="dxa"/>
            <w:vAlign w:val="bottom"/>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3"/>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1,149,972</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w:t>
            </w:r>
          </w:p>
        </w:tc>
      </w:tr>
      <w:tr>
        <w:trPr>
          <w:trHeight w:val="248"/>
        </w:trPr>
        <w:tc>
          <w:tcPr>
            <w:tcW w:w="7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2023, the estimated fair value (Level 2) of the outstanding 2026 Notes, which is utilized solely for disclosure purposes, was approximately $1.9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2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24"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2023 Form 10-K for further information on the 2026 Notes.</w:t>
      </w:r>
    </w:p>
    <w:p>
      <w:pPr>
        <w:spacing w:after="0" w:line="10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2023, the conditional conversion feature of the 2026 Notes was triggered as the last reported sale price of the Company's common stock was more than or equal to 130% of the conversion price for at least 20 trading days in the period of 30 consecutive trading days ending on October 31, 2023 (the last trading day of the fiscal quarter) and therefore the 2026 Notes are convertible, in whole or in part, from November 1, 2023 through January 31, 2024. Whether the 2026 Notes will be convertible following such period will depend on the continued satisfaction of this condition or another conversion condition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Calls</w:t>
      </w:r>
    </w:p>
    <w:p>
      <w:pPr>
        <w:spacing w:after="0" w:line="17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2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October 31, 2023.</w:t>
      </w:r>
    </w:p>
    <w:p>
      <w:pPr>
        <w:spacing w:after="0" w:line="120" w:lineRule="exact"/>
        <w:rPr>
          <w:sz w:val="20"/>
          <w:szCs w:val="20"/>
          <w:color w:val="auto"/>
        </w:rPr>
      </w:pPr>
    </w:p>
    <w:p>
      <w:pPr>
        <w:ind w:right="4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in the Notes to Consolidated Financial Statements included in Part II, Item 8 of the Company’s 2023 Form 10-K for further information on the Capped Calls and the 2024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Lease Costs</w:t>
      </w:r>
    </w:p>
    <w:p>
      <w:pPr>
        <w:spacing w:after="0" w:line="17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the Company’s lease costs included in its interim unaudited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Balance Sheet Components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the Company’s finance and operating leases were recorded on the condensed consolidated balance sheet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3"/>
        </w:trPr>
        <w:tc>
          <w:tcPr>
            <w:tcW w:w="61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27,489</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41,194</w:t>
            </w: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34"/>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36,264</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Supplemental Information</w:t>
      </w:r>
    </w:p>
    <w:p>
      <w:pPr>
        <w:spacing w:after="0" w:line="17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the Company’s finance and operating leases (in thousands, except weighted-average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3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4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24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8,861</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2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9,633</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as of period end (in years):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Maturities of Lease Liabilities</w:t>
      </w:r>
    </w:p>
    <w:p>
      <w:pPr>
        <w:spacing w:after="0" w:line="173"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finance and operating leases on an annual undiscounted cash flow basis as of October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8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Remainder of 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0" w:type="dxa"/>
            <w:vAlign w:val="bottom"/>
          </w:tcPr>
          <w:p>
            <w:pPr>
              <w:spacing w:after="0"/>
              <w:rPr>
                <w:sz w:val="1"/>
                <w:szCs w:val="1"/>
                <w:color w:val="auto"/>
              </w:rPr>
            </w:pPr>
          </w:p>
        </w:tc>
      </w:tr>
      <w:tr>
        <w:trPr>
          <w:trHeight w:val="229"/>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49,648</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42,723</w:t>
            </w:r>
          </w:p>
        </w:tc>
        <w:tc>
          <w:tcPr>
            <w:tcW w:w="0" w:type="dxa"/>
            <w:vAlign w:val="bottom"/>
          </w:tcPr>
          <w:p>
            <w:pPr>
              <w:spacing w:after="0"/>
              <w:rPr>
                <w:sz w:val="1"/>
                <w:szCs w:val="1"/>
                <w:color w:val="auto"/>
              </w:rPr>
            </w:pPr>
          </w:p>
        </w:tc>
      </w:tr>
      <w:tr>
        <w:trPr>
          <w:trHeight w:val="68"/>
        </w:trPr>
        <w:tc>
          <w:tcPr>
            <w:tcW w:w="7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21"/>
                <w:szCs w:val="2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68"/>
        </w:trPr>
        <w:tc>
          <w:tcPr>
            <w:tcW w:w="74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Non-cancelable Material Commitments</w:t>
      </w:r>
    </w:p>
    <w:p>
      <w:pPr>
        <w:spacing w:after="0" w:line="158"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2023, other than certain non-cancelable operating leases described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material changes outside the ordinary course of business to the Company’s contractual obligations and commitments from those disclosed in the 2023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Legal Matters</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March 12, 2019, Realtime Data LLC (“Realtime”) filed a lawsuit against the Company in the United States District Court for the District of Delaware alleging that the Company is infringing three U.S. patents that it holds. On May 4, 2021, the District Court granted certain defendants' motion to dismiss without prejudice. Realtime filed an amended complaint on May 18, 2021, which the District Court dismissed on August 23, 2021. On August 25, 2021, Realtime filed a notice of appeal of the Delaware District Court’s order. The oral argument took place before the U.S. Court of Appeals for the Federal Circuit on February 10, 2023. On August 2, 2023, the U.S. Court of Appeals for the Federal Circuit issued an opinion affirming the District Court's order in favor of the Company. On October 31, 2023, Realtime filed a Petition for a Writ of Certiorari in the U.S. Supreme Court requesting the U.S. Supreme Court to review the lower court's decision. The Company believes the Federal Circuit correctly decided the matter, and it intends to continue to vigorously defend itself in the event of any further future appellate proceedings and any other potential future claims.</w:t>
      </w:r>
    </w:p>
    <w:p>
      <w:pPr>
        <w:spacing w:after="0" w:line="140" w:lineRule="exact"/>
        <w:rPr>
          <w:sz w:val="20"/>
          <w:szCs w:val="20"/>
          <w:color w:val="auto"/>
        </w:rPr>
      </w:pPr>
    </w:p>
    <w:p>
      <w:pPr>
        <w:ind w:right="400" w:firstLine="486"/>
        <w:spacing w:after="0" w:line="258" w:lineRule="auto"/>
        <w:rPr>
          <w:sz w:val="20"/>
          <w:szCs w:val="20"/>
          <w:color w:val="auto"/>
        </w:rPr>
      </w:pPr>
      <w:r>
        <w:rPr>
          <w:rFonts w:ascii="Times New Roman" w:cs="Times New Roman" w:eastAsia="Times New Roman" w:hAnsi="Times New Roman"/>
          <w:sz w:val="18"/>
          <w:szCs w:val="18"/>
          <w:color w:val="auto"/>
        </w:rPr>
        <w:t>Although claims and litigation are inherently unpredictable, as of October 31, 2023, the Company does not believe that any legal matters,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Indemnification</w:t>
      </w:r>
    </w:p>
    <w:p>
      <w:pPr>
        <w:spacing w:after="0" w:line="17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3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Disaggregation of Revenue</w:t>
      </w:r>
    </w:p>
    <w:p>
      <w:pPr>
        <w:spacing w:after="0" w:line="17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29" w:lineRule="exact"/>
        <w:rPr>
          <w:sz w:val="20"/>
          <w:szCs w:val="20"/>
          <w:color w:val="auto"/>
        </w:rPr>
      </w:pPr>
    </w:p>
    <w:p>
      <w:pPr>
        <w:ind w:right="14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primary geographical markets, subscription product categories and services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4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5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32"/>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Primary geographical markets: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265,698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205,887</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565,739</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257,619</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99,370</w:t>
            </w:r>
          </w:p>
        </w:tc>
      </w:tr>
      <w:tr>
        <w:trPr>
          <w:trHeight w:val="288"/>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product categories and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MongoDB Atlas-related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791,870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574,727</w:t>
            </w:r>
          </w:p>
        </w:tc>
      </w:tr>
      <w:tr>
        <w:trPr>
          <w:trHeight w:val="27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subscription</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312,217</w:t>
            </w:r>
          </w:p>
        </w:tc>
      </w:tr>
      <w:tr>
        <w:trPr>
          <w:trHeight w:val="283"/>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r>
      <w:tr>
        <w:trPr>
          <w:trHeight w:val="289"/>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Customers located in the United States accounted for 55% and 54% of total revenue for the three and nine months ended October 31, 2023, respectively, and 56% and 55% of total revenue for the three and nine months ended October 31, 2022, respectively. No other country accounted for 10% or more of revenue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Contract Liabilities</w:t>
      </w:r>
    </w:p>
    <w:p>
      <w:pPr>
        <w:spacing w:after="0" w:line="173" w:lineRule="exact"/>
        <w:rPr>
          <w:sz w:val="20"/>
          <w:szCs w:val="20"/>
          <w:color w:val="auto"/>
        </w:rPr>
      </w:pPr>
    </w:p>
    <w:p>
      <w:pPr>
        <w:jc w:val="both"/>
        <w:ind w:right="40" w:firstLine="486"/>
        <w:spacing w:after="0" w:line="257" w:lineRule="auto"/>
        <w:rPr>
          <w:sz w:val="20"/>
          <w:szCs w:val="20"/>
          <w:color w:val="auto"/>
        </w:rPr>
      </w:pPr>
      <w:r>
        <w:rPr>
          <w:rFonts w:ascii="Times New Roman" w:cs="Times New Roman" w:eastAsia="Times New Roman" w:hAnsi="Times New Roman"/>
          <w:sz w:val="18"/>
          <w:szCs w:val="18"/>
          <w:color w:val="auto"/>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as of October 31, 2023 and January 31, 2023 was $320.8 million and $460.3 million, respectively.</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Approximately 31% and 30% of the total revenue recognized for the nine months ended October 31, 2023 and 2022, respectively, was from deferred revenue at the beginning of each respective period.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Remaining Performance Obligations</w:t>
      </w:r>
    </w:p>
    <w:p>
      <w:pPr>
        <w:spacing w:after="0" w:line="17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October 31, 2023, the aggregate transaction price allocated to remaining performance obligations was $514.1 million. Approximately 53%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Unbilled Receivables</w:t>
      </w:r>
    </w:p>
    <w:p>
      <w:pPr>
        <w:spacing w:after="0" w:line="173"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October 31, 2023 and January 31, 2023, unbilled receivables were $21.7 million and $9.7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Allowance for Doubtful Accounts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r>
      <w:tr>
        <w:trPr>
          <w:trHeight w:val="23"/>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shd w:val="clear" w:color="auto" w:fill="CCEEFF"/>
          </w:tcPr>
          <w:p>
            <w:pPr>
              <w:jc w:val="center"/>
              <w:ind w:left="2734"/>
              <w:spacing w:after="0"/>
              <w:rPr>
                <w:sz w:val="20"/>
                <w:szCs w:val="20"/>
                <w:color w:val="auto"/>
              </w:rPr>
            </w:pPr>
            <w:r>
              <w:rPr>
                <w:rFonts w:ascii="Times New Roman" w:cs="Times New Roman" w:eastAsia="Times New Roman" w:hAnsi="Times New Roman"/>
                <w:sz w:val="18"/>
                <w:szCs w:val="18"/>
                <w:color w:val="auto"/>
                <w:w w:val="98"/>
              </w:rPr>
              <w:t>6,362</w:t>
            </w: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Times New Roman" w:cs="Times New Roman" w:eastAsia="Times New Roman" w:hAnsi="Times New Roman"/>
                <w:sz w:val="18"/>
                <w:szCs w:val="18"/>
                <w:color w:val="auto"/>
                <w:w w:val="98"/>
              </w:rPr>
              <w:t>8,799</w:t>
            </w: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Recoveries/write-offs</w:t>
            </w:r>
          </w:p>
        </w:tc>
        <w:tc>
          <w:tcPr>
            <w:tcW w:w="52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Times New Roman" w:cs="Times New Roman" w:eastAsia="Times New Roman" w:hAnsi="Times New Roman"/>
                <w:sz w:val="18"/>
                <w:szCs w:val="18"/>
                <w:color w:val="auto"/>
              </w:rPr>
              <w:t>(6,998)</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tcBorders>
              <w:bottom w:val="single" w:sz="8" w:color="auto"/>
            </w:tcBorders>
          </w:tcPr>
          <w:p>
            <w:pPr>
              <w:jc w:val="center"/>
              <w:ind w:left="2734"/>
              <w:spacing w:after="0"/>
              <w:rPr>
                <w:sz w:val="20"/>
                <w:szCs w:val="20"/>
                <w:color w:val="auto"/>
              </w:rPr>
            </w:pPr>
            <w:r>
              <w:rPr>
                <w:rFonts w:ascii="Times New Roman" w:cs="Times New Roman" w:eastAsia="Times New Roman" w:hAnsi="Times New Roman"/>
                <w:sz w:val="18"/>
                <w:szCs w:val="18"/>
                <w:color w:val="auto"/>
                <w:w w:val="98"/>
              </w:rPr>
              <w:t>8,163</w:t>
            </w:r>
          </w:p>
        </w:tc>
      </w:tr>
      <w:tr>
        <w:trPr>
          <w:trHeight w:val="21"/>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Costs Capitalized to Obtain Contracts with Customers</w:t>
      </w:r>
    </w:p>
    <w:p>
      <w:pPr>
        <w:spacing w:after="0" w:line="17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Deferred commissions were $269.6 million and $252.4 million as of October 31, 2023 and January 31, 2023, respectively. Amortization expense with respect to deferred commissions, which is included in sales and marketing expense in the Company’s interim unaudited condensed consolidated statements of operations, was $25.3 million and $72.8 million for the three and nine months ended October 31, 2023, respectively, and $20.7 million and $57.3 million for the three and nine months ended October 31, 2022, respectively. There was no impairment loss in relation to the costs capitalized for the periods presented.</w:t>
      </w:r>
    </w:p>
    <w:p>
      <w:pPr>
        <w:spacing w:after="0" w:line="206" w:lineRule="exact"/>
        <w:rPr>
          <w:sz w:val="20"/>
          <w:szCs w:val="20"/>
          <w:color w:val="auto"/>
        </w:rPr>
      </w:pPr>
    </w:p>
    <w:p>
      <w:pPr>
        <w:ind w:right="6620" w:firstLine="8"/>
        <w:spacing w:after="0" w:line="44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Plan and Employee Stock Purchase Plan </w:t>
      </w:r>
      <w:r>
        <w:rPr>
          <w:rFonts w:ascii="Times New Roman" w:cs="Times New Roman" w:eastAsia="Times New Roman" w:hAnsi="Times New Roman"/>
          <w:sz w:val="18"/>
          <w:szCs w:val="18"/>
          <w:b w:val="1"/>
          <w:bCs w:val="1"/>
          <w:color w:val="2C2C2C"/>
        </w:rPr>
        <w:t>Equity Incentive Plan</w:t>
      </w:r>
    </w:p>
    <w:p>
      <w:pPr>
        <w:spacing w:after="0" w:line="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Stock Options</w:t>
      </w:r>
    </w:p>
    <w:p>
      <w:pPr>
        <w:spacing w:after="0" w:line="17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nine months ended October 31,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4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October 31, 2023 (in thousands, except share and per share data and years):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64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 January 31, 2023</w:t>
            </w: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1,789,813</w:t>
            </w:r>
          </w:p>
        </w:tc>
        <w:tc>
          <w:tcPr>
            <w:tcW w:w="152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(659,091)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 October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1,130,175</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Vested and exercisable - January 31,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1,789,813</w:t>
            </w:r>
          </w:p>
        </w:tc>
        <w:tc>
          <w:tcPr>
            <w:tcW w:w="1520" w:type="dxa"/>
            <w:vAlign w:val="bottom"/>
            <w:gridSpan w:val="2"/>
          </w:tcPr>
          <w:p>
            <w:pPr>
              <w:jc w:val="right"/>
              <w:ind w:right="122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313,980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and exercisable - October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1,130,175</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380,657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Restricted Stock Units</w:t>
      </w:r>
    </w:p>
    <w:p>
      <w:pPr>
        <w:spacing w:after="0" w:line="17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2016 Plan provides for the issuance of RSUs to eligible employees, directors and consultants. RSUs granted to new employees generally vest over a period of four years with 25% vesting on the one-year anniversary of the vesting start date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nine months ended October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3"/>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0" w:type="dxa"/>
            <w:vAlign w:val="bottom"/>
          </w:tcPr>
          <w:p>
            <w:pPr>
              <w:spacing w:after="0"/>
              <w:rPr>
                <w:sz w:val="1"/>
                <w:szCs w:val="1"/>
                <w:color w:val="auto"/>
              </w:rPr>
            </w:pPr>
          </w:p>
        </w:tc>
      </w:tr>
      <w:tr>
        <w:trPr>
          <w:trHeight w:val="37"/>
        </w:trPr>
        <w:tc>
          <w:tcPr>
            <w:tcW w:w="7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Unvested - January 31, 2023</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254.88</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 October 31, 2023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3,735,417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2017 Employee Stock Purchase Plan</w:t>
      </w:r>
    </w:p>
    <w:p>
      <w:pPr>
        <w:spacing w:after="0" w:line="1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2023, the Company issued 114,508 shares of its common stock under the 2017 ESPP. The Company’s current offering period began on June 16, 2023 and is expected to end December 15,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C2C2C"/>
        </w:rPr>
        <w:t>Stock-Based Compensation Expense</w:t>
      </w:r>
    </w:p>
    <w:p>
      <w:pPr>
        <w:spacing w:after="0" w:line="17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Company’s unaudited condensed consolidated statements of operations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revenue—subscription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revenue—services</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w:t>
            </w:r>
          </w:p>
        </w:tc>
      </w:tr>
      <w:tr>
        <w:trPr>
          <w:trHeight w:val="270"/>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104,539</w:t>
            </w:r>
          </w:p>
        </w:tc>
      </w:tr>
      <w:tr>
        <w:trPr>
          <w:trHeight w:val="270"/>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117,583</w:t>
            </w:r>
          </w:p>
        </w:tc>
      </w:tr>
      <w:tr>
        <w:trPr>
          <w:trHeight w:val="284"/>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r>
      <w:tr>
        <w:trPr>
          <w:trHeight w:val="264"/>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279,318</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26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tcPr>
          <w:p>
            <w:pPr>
              <w:spacing w:after="0"/>
              <w:rPr>
                <w:sz w:val="21"/>
                <w:szCs w:val="21"/>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20" w:type="dxa"/>
            <w:vAlign w:val="bottom"/>
          </w:tcPr>
          <w:p>
            <w:pPr>
              <w:spacing w:after="0"/>
              <w:rPr>
                <w:sz w:val="21"/>
                <w:szCs w:val="21"/>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(281,000)</w:t>
            </w: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71,560,023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68,916,813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70,878,162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68,325,990</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October 31, 2023.</w:t>
      </w:r>
    </w:p>
    <w:p>
      <w:pPr>
        <w:spacing w:after="0" w:line="12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8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2016 Equity Incentive Plan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391,969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549,089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584,933</w:t>
            </w:r>
          </w:p>
        </w:tc>
      </w:tr>
      <w:tr>
        <w:trPr>
          <w:trHeight w:val="270"/>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 pursuant to the 2008 Stock Incentive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848,908</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1,537,192</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996,896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1,680,349</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4,260,776</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3,879,249</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4,271,290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3,801,137</w:t>
            </w:r>
          </w:p>
        </w:tc>
      </w:tr>
      <w:tr>
        <w:trPr>
          <w:trHeight w:val="270"/>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Unvested executive PSUs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65,844</w:t>
            </w:r>
          </w:p>
        </w:tc>
      </w:tr>
      <w:tr>
        <w:trPr>
          <w:trHeight w:val="270"/>
        </w:trPr>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underlying the conversion option of the 2026 Notes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5,445,036</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5,445,002</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5,445,051</w:t>
            </w:r>
          </w:p>
        </w:tc>
      </w:tr>
      <w:tr>
        <w:trPr>
          <w:trHeight w:val="223"/>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11,151,887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11,476,410</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11,366,709</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11,577,314</w:t>
            </w: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85"/>
        </w:trPr>
        <w:tc>
          <w:tcPr>
            <w:tcW w:w="5280" w:type="dxa"/>
            <w:vAlign w:val="bottom"/>
          </w:tcPr>
          <w:p>
            <w:pPr>
              <w:spacing w:after="0"/>
              <w:rPr>
                <w:sz w:val="24"/>
                <w:szCs w:val="24"/>
                <w:color w:val="auto"/>
              </w:rPr>
            </w:pPr>
          </w:p>
        </w:tc>
        <w:tc>
          <w:tcPr>
            <w:tcW w:w="146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7"/>
        </w:trPr>
        <w:tc>
          <w:tcPr>
            <w:tcW w:w="5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a provision for income taxes of $3.6 million and $9.7 million for the three and nine months ended October 31, 2023, respectively, and $5.0 million and $9.2 million for the three and nine months ended October 31, 2022, respectively. The provisions recorded during each of the three and nine months ended October 31, 2023 and 2022 were driven by the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129"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27"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assesses uncertain tax positions in accordance with ASC 740-10, </w:t>
      </w:r>
      <w:r>
        <w:rPr>
          <w:rFonts w:ascii="Times New Roman" w:cs="Times New Roman" w:eastAsia="Times New Roman" w:hAnsi="Times New Roman"/>
          <w:sz w:val="18"/>
          <w:szCs w:val="18"/>
          <w:i w:val="1"/>
          <w:iCs w:val="1"/>
          <w:color w:val="auto"/>
        </w:rPr>
        <w:t>Accounting for Uncertainties in Tax</w:t>
      </w:r>
      <w:r>
        <w:rPr>
          <w:rFonts w:ascii="Times New Roman" w:cs="Times New Roman" w:eastAsia="Times New Roman" w:hAnsi="Times New Roman"/>
          <w:sz w:val="18"/>
          <w:szCs w:val="18"/>
          <w:color w:val="auto"/>
        </w:rPr>
        <w:t>. As of January 31, 2023, the Company’s net unrecognized tax benefits totaled $29.3 million, which would have no impact on the Company’s effective tax rate if recognized.</w:t>
      </w:r>
    </w:p>
    <w:p>
      <w:pPr>
        <w:spacing w:after="0" w:line="10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640" w:hanging="850"/>
        <w:spacing w:after="0" w:line="275"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95"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2023 (the “2023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4"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corporate website is located at </w:t>
      </w:r>
      <w:r>
        <w:rPr>
          <w:rFonts w:ascii="Times New Roman" w:cs="Times New Roman" w:eastAsia="Times New Roman" w:hAnsi="Times New Roman"/>
          <w:sz w:val="18"/>
          <w:szCs w:val="18"/>
          <w:i w:val="1"/>
          <w:iCs w:val="1"/>
          <w:color w:val="auto"/>
        </w:rPr>
        <w:t>www.mongodb.com</w:t>
      </w:r>
      <w:r>
        <w:rPr>
          <w:rFonts w:ascii="Times New Roman" w:cs="Times New Roman" w:eastAsia="Times New Roman" w:hAnsi="Times New Roman"/>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4,849 as of October 31, 2023, from 4,534 as of October 31, 2022.</w:t>
      </w:r>
    </w:p>
    <w:p>
      <w:pPr>
        <w:spacing w:after="0" w:line="138"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subscriptions, which accounted for 97% of our total revenue for the three and nine months ended October 31, 2023 and 96% of our total revenue for the three and nine months ended October 31, 2022.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MongoDB Atlas is our hosted multi-cloud database-as-a-service (“DBaaS”) offering, which we run and manage in the cloud, and includes comprehensive infrastructure and management, as well as a host of additional features, such as MongoDB Atlas Search, time series and application-driven analytics. During the three and nine months ended October 31, 2023, MongoDB Atlas revenue represented 66% and 65%, respectively, as compared to 63% and 62% of our total revenue during the three and nine months ended October 31, 2022, respectively, reflecting the continued growth of MongoDB Atlas since its introduction in June 2016.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 We expect to continue to see a higher portion of our MongoDB Atlas contracts to be billed monthly in arrears based on usage without requiring upfront commitments.</w:t>
      </w:r>
    </w:p>
    <w:p>
      <w:pPr>
        <w:spacing w:after="0" w:line="13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MongoDB Enterprise Advanced is our proprietary commercial database server offering for enterprise customers that can run in the cloud, on-premises or in a hybrid environment. MongoDB Enterprise Advanced revenue represented 27% of our subscription revenue for both the three and nine months ended October 31, 2023, and 29% and 30% of our subscription revenue for the three and nine months ended October 31, 2022,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3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490 million times since February 2009 and over 165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3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also generate revenue from services, which consist primarily of fees associated with consulting and training services. Revenue from services accounted for 3% of our total revenue for both the three and nine months ended October 31, 2023, respectively, and 4% for both the three and nine months ended October 31, 2022. We expect to continue to invest in our services organization as we believe it plays an important role in accelerating our customers’ realization of the benefits of our platform, which helps drive customer retention and expansion.</w:t>
      </w:r>
    </w:p>
    <w:p>
      <w:pPr>
        <w:spacing w:after="0" w:line="126"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IDC, the worldwide database software market, which it refers to as the database management systems software market, is forecast to be approximately $82 billion in 2023 growing to approximately $137 billion in 2027. This represents a 14% compound annual growth rate.</w:t>
      </w:r>
    </w:p>
    <w:p>
      <w:pPr>
        <w:spacing w:after="0" w:line="122"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and Other Factors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operational and financial performance is subject to risks including those caused by the adverse macroeconomic environment.</w:t>
      </w:r>
    </w:p>
    <w:p>
      <w:pPr>
        <w:spacing w:after="0" w:line="158" w:lineRule="exact"/>
        <w:rPr>
          <w:sz w:val="20"/>
          <w:szCs w:val="20"/>
          <w:color w:val="auto"/>
        </w:rPr>
      </w:pPr>
    </w:p>
    <w:p>
      <w:pPr>
        <w:jc w:val="both"/>
        <w:ind w:right="20" w:firstLine="486"/>
        <w:spacing w:after="0" w:line="239" w:lineRule="auto"/>
        <w:rPr>
          <w:sz w:val="20"/>
          <w:szCs w:val="20"/>
          <w:color w:val="auto"/>
        </w:rPr>
      </w:pPr>
      <w:r>
        <w:rPr>
          <w:rFonts w:ascii="Times New Roman" w:cs="Times New Roman" w:eastAsia="Times New Roman" w:hAnsi="Times New Roman"/>
          <w:sz w:val="18"/>
          <w:szCs w:val="18"/>
          <w:color w:val="auto"/>
        </w:rPr>
        <w:t>Adverse macroeconomic conditions include slower or negative economic growth, higher inflation and higher interest rates. During the nine months ended October 31, 2023, the macroeconomic environment continued to negatively impact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and other factors on our business, operating results, and financial condition, see the section titled “Risk Factors” included in Part II, Item 1A of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Growing Our Customer Base and Expanding Our Global Reach</w:t>
      </w:r>
    </w:p>
    <w:p>
      <w:pPr>
        <w:spacing w:after="0" w:line="17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October 31, 2023, we had over 46,400 customers across a wide range of industries and in over 100 countries, compared to over 39,100 customers as of October 31, 2022. All affiliated entities are counted as a single customer and our definition of “customer” excludes users of our free offerings.</w:t>
      </w:r>
    </w:p>
    <w:p>
      <w:pPr>
        <w:spacing w:after="0" w:line="12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October 31, 2023, we had over 6,900 customers that were sold through our direct sales force and channel partners, as compared to over 5,900 such customers as of October 31, 2022. These customers, which we refer to as our Direct Sales Customers, accounted for 88% of our subscription revenue for both the three and nine months ended October 31, 2023 and 87% of our subscription revenue for both the three and nine months ended October 31, 2022. The percentage of our subscription revenue from Direct Sales Customers increased during both the three and nine months ended October 31, 2023,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44,900 MongoDB Atlas customers as of October 31, 2023 compared to over 37,600 as of October 31, 2022. The growth in MongoDB Atlas customers included new customers to MongoDB and existing MongoDB Enterprise Advanced customers adding incremental MongoDB Atlas workloads.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Retaining and Expanding Revenue from Existing Customers</w:t>
      </w:r>
    </w:p>
    <w:p>
      <w:pPr>
        <w:spacing w:after="0" w:line="17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and nine months ended October 31, 2023,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3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1,972 and 1,545 as of October 31, 2023 and 2022,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Revenue</w:t>
      </w:r>
    </w:p>
    <w:p>
      <w:pPr>
        <w:spacing w:after="0" w:line="171"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Our subscription revenue is comprised of term licenses and hosted as-a-service solutions. Revenue from our MongoDB Atlas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28" w:lineRule="exact"/>
        <w:rPr>
          <w:sz w:val="20"/>
          <w:szCs w:val="20"/>
          <w:color w:val="auto"/>
        </w:rPr>
      </w:pPr>
    </w:p>
    <w:p>
      <w:pPr>
        <w:ind w:right="1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is comprised of consulting and training services and is recognized over the period of delivery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We recognize revenue from services agreements as services are delivered.</w:t>
      </w:r>
    </w:p>
    <w:p>
      <w:pPr>
        <w:spacing w:after="0" w:line="1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Cost of Revenue</w:t>
      </w:r>
    </w:p>
    <w:p>
      <w:pPr>
        <w:spacing w:after="0" w:line="158"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 of Subscription Revenue. </w:t>
      </w:r>
      <w:r>
        <w:rPr>
          <w:rFonts w:ascii="Times New Roman" w:cs="Times New Roman" w:eastAsia="Times New Roman" w:hAnsi="Times New Roman"/>
          <w:sz w:val="18"/>
          <w:szCs w:val="18"/>
          <w:color w:val="auto"/>
        </w:rPr>
        <w:t>Cost of subscription revenue primarily includes third-party cloud infrastructure expenses for our hosted as-a-service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82" w:lineRule="exact"/>
        <w:rPr>
          <w:sz w:val="20"/>
          <w:szCs w:val="20"/>
          <w:color w:val="auto"/>
        </w:rPr>
      </w:pPr>
    </w:p>
    <w:p>
      <w:pPr>
        <w:ind w:right="360" w:firstLine="486"/>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Cost of Services Revenue. </w:t>
      </w:r>
      <w:r>
        <w:rPr>
          <w:rFonts w:ascii="Times New Roman" w:cs="Times New Roman" w:eastAsia="Times New Roman" w:hAnsi="Times New Roman"/>
          <w:sz w:val="18"/>
          <w:szCs w:val="18"/>
          <w:color w:val="auto"/>
        </w:rPr>
        <w:t>Cost of services revenue primarily includes personnel costs, including salaries, bonuses and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revenue less cost of revenue.</w:t>
      </w:r>
    </w:p>
    <w:p>
      <w:pPr>
        <w:spacing w:after="0" w:line="17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Expenses</w:t>
      </w:r>
    </w:p>
    <w:p>
      <w:pPr>
        <w:spacing w:after="0" w:line="17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ind w:right="12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sales commission and benefits,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and developer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42" w:lineRule="exact"/>
        <w:rPr>
          <w:sz w:val="20"/>
          <w:szCs w:val="20"/>
          <w:color w:val="auto"/>
        </w:rPr>
      </w:pPr>
    </w:p>
    <w:p>
      <w:pPr>
        <w:ind w:right="160" w:firstLine="486"/>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42" w:lineRule="exact"/>
        <w:rPr>
          <w:sz w:val="20"/>
          <w:szCs w:val="20"/>
          <w:color w:val="auto"/>
        </w:rPr>
      </w:pPr>
    </w:p>
    <w:p>
      <w:pPr>
        <w:ind w:right="100" w:firstLine="486"/>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interest expense, gains and losses on investments and gains and losses from foreign currency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Provision for Income Taxes</w:t>
      </w:r>
    </w:p>
    <w:p>
      <w:pPr>
        <w:spacing w:after="0" w:line="17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Provision for income taxes consists primarily of state income taxes in the United States and income taxes in certain foreign jurisdictions in which we conduct business.</w:t>
      </w:r>
    </w:p>
    <w:p>
      <w:pPr>
        <w:spacing w:after="0" w:line="10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2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October 31, 2023 Summary</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2023, our total revenue increased to $432.9 million as compared to $333.6 million for the three months ended October 31, 2022, primarily driven by an increase in subscription revenue from our Direct Sales Customers. Our net loss decreased to $29.3 million for the three months ended October 31, 2023 as compared to $84.8 million for the three months ended October 31, 2022, primarily driven by the increase in revenue, partially offset by higher sales and marketing spend and research and development costs during the three months ended October 31, 2023.</w:t>
      </w:r>
    </w:p>
    <w:p>
      <w:pPr>
        <w:spacing w:after="0" w:line="12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31, 2023, our total revenue increased to $1,225.0 million as compared to $922.7 million for the nine months ended October 31, 2022, primarily driven by an increase in subscription revenue from our Direct Sales Customers. Our net loss decreased to $121.1 million for the nine months ended October 31, 2023 as compared to $281.0 million for the nine months ended October 31, 2022, primarily driven by the increase in revenue, partially offset by increased sales and marketing and research and development costs during the nine months ended October 31, 2023.</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cash flow was $66.9 million and $(38.8) million for the nine months ended October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886,944</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r>
      <w:tr>
        <w:trPr>
          <w:trHeight w:val="250"/>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432,938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r>
      <w:tr>
        <w:trPr>
          <w:trHeight w:val="24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213,154</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Services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46,990</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260,144</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662,584</w:t>
            </w:r>
          </w:p>
        </w:tc>
      </w:tr>
      <w:tr>
        <w:trPr>
          <w:trHeight w:val="23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5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509,285</w:t>
            </w:r>
          </w:p>
        </w:tc>
      </w:tr>
      <w:tr>
        <w:trPr>
          <w:trHeight w:val="270"/>
        </w:trPr>
        <w:tc>
          <w:tcPr>
            <w:tcW w:w="55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310,801</w:t>
            </w:r>
          </w:p>
        </w:tc>
      </w:tr>
      <w:tr>
        <w:trPr>
          <w:trHeight w:val="283"/>
        </w:trPr>
        <w:tc>
          <w:tcPr>
            <w:tcW w:w="55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116,204</w:t>
            </w:r>
          </w:p>
        </w:tc>
      </w:tr>
      <w:tr>
        <w:trPr>
          <w:trHeight w:val="263"/>
        </w:trPr>
        <w:tc>
          <w:tcPr>
            <w:tcW w:w="55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1,077,931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936,290</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(273,706)</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50"/>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(271,770)</w:t>
            </w:r>
          </w:p>
        </w:tc>
      </w:tr>
      <w:tr>
        <w:trPr>
          <w:trHeight w:val="270"/>
        </w:trPr>
        <w:tc>
          <w:tcPr>
            <w:tcW w:w="5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r>
      <w:tr>
        <w:trPr>
          <w:trHeight w:val="263"/>
        </w:trPr>
        <w:tc>
          <w:tcPr>
            <w:tcW w:w="5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w:t>
            </w:r>
          </w:p>
        </w:tc>
      </w:tr>
      <w:tr>
        <w:trPr>
          <w:trHeight w:val="20"/>
        </w:trPr>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284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36" w:lineRule="exact"/>
        <w:rPr>
          <w:sz w:val="20"/>
          <w:szCs w:val="20"/>
          <w:color w:val="auto"/>
        </w:rPr>
      </w:pPr>
    </w:p>
    <w:p>
      <w:pPr>
        <w:ind w:left="320" w:hanging="312"/>
        <w:spacing w:after="0" w:line="265" w:lineRule="exact"/>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 follows (unaudited,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14,492</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40,585</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38,352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104,539</w:t>
            </w:r>
          </w:p>
        </w:tc>
      </w:tr>
      <w:tr>
        <w:trPr>
          <w:trHeight w:val="206"/>
        </w:trPr>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41,458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117,583</w:t>
            </w:r>
          </w:p>
        </w:tc>
      </w:tr>
      <w:tr>
        <w:trPr>
          <w:trHeight w:val="2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35,105</w:t>
            </w:r>
          </w:p>
        </w:tc>
      </w:tr>
      <w:tr>
        <w:trPr>
          <w:trHeight w:val="210"/>
        </w:trPr>
        <w:tc>
          <w:tcPr>
            <w:tcW w:w="512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Total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115,829</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99,198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333,096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279,318</w:t>
            </w: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Percentage of Revenue Data:</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4"/>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83"/>
        </w:trPr>
        <w:tc>
          <w:tcPr>
            <w:tcW w:w="4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63"/>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64"/>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31, 2023 and 2022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2"/>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5"/>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418,339</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83"/>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83"/>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432,938</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$97.6 million primarily due to an increase of $88.4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77,150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107,058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93,652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84"/>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325,880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239,969</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75 %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72 %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79 %</w:t>
            </w:r>
          </w:p>
        </w:tc>
        <w:tc>
          <w:tcPr>
            <w:tcW w:w="422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76 %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4220" w:type="dxa"/>
            <w:vAlign w:val="bottom"/>
            <w:shd w:val="clear" w:color="auto" w:fill="CCEEFF"/>
          </w:tcPr>
          <w:p>
            <w:pPr>
              <w:jc w:val="right"/>
              <w:ind w:right="307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26" w:lineRule="exact"/>
        <w:rPr>
          <w:sz w:val="20"/>
          <w:szCs w:val="20"/>
          <w:color w:val="auto"/>
        </w:rPr>
      </w:pPr>
    </w:p>
    <w:p>
      <w:pPr>
        <w:ind w:right="40" w:firstLine="486"/>
        <w:spacing w:after="0" w:line="225"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$6.2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$4.2 million increase in personnel costs and stock-based compensation associated with increased headcount in our support organization. The increase in services cost of revenue was primarily due to a $1.5 million increase in personnel costs and stock-based compensation, associated with increased headcount in our services organization, and a $0.8 million increase in third-party consultant costs related to the delivery of consulting and training services. Total headcount in our support and services organizations increased 25% from October 31, 2022 to October 31, 2023.</w:t>
      </w:r>
    </w:p>
    <w:p>
      <w:pPr>
        <w:spacing w:after="0" w:line="145"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improved to 75%. Our subscription gross margin increased to 79% driven primarily by efficiencies realized in managing our third-party cloud infrastructure costs. Services gross margin declined due to the impact of higher services personnel costs and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177,419</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The increase in sales and marketing expense was driven by higher commission expense of $5.2 million, and increased spending on marketing programs of $5.2 million. In addition, the increase in sales and marketing expense included $4.1 million from higher personnel costs and stock-based compensation expense. Our sales and marketing headcount was 2,268 as of October 31, 2023, compared to 2,276 as of October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128,150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$18.8 million increase in personnel costs and stock-based compensation as we grew our research and development headcount by 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49,969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In particular, these higher costs were driven by an increase in general and administrative personnel headcount resulting in $7.3 million higher personnel costs and stock-based compensation. In addition, general and administrative expense increased due to higher professional services fees, higher software costs and higher office-related expenses.</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00" w:type="dxa"/>
            <w:vAlign w:val="bottom"/>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19,554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3,117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for the three months ended October 31, 2023 improved primarily due to higher interest income from our short-term investments.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8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40" w:type="dxa"/>
            <w:vAlign w:val="bottom"/>
          </w:tcPr>
          <w:p>
            <w:pPr>
              <w:spacing w:after="0"/>
              <w:rPr>
                <w:sz w:val="17"/>
                <w:szCs w:val="17"/>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income taxes during the three months ended October 31, 2023 and 2022 was primarily due to foreign taxes as we continue our global expansion.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October 31, 2023 and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80" w:type="dxa"/>
            <w:vAlign w:val="bottom"/>
          </w:tcPr>
          <w:p>
            <w:pPr>
              <w:spacing w:after="0"/>
              <w:rPr>
                <w:sz w:val="17"/>
                <w:szCs w:val="17"/>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1,182,387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886,944</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295,443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83"/>
        </w:trPr>
        <w:tc>
          <w:tcPr>
            <w:tcW w:w="5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922,728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302,281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Total revenue growth reflects increased demand for our platform and related services. Subscription revenue increased by $295.4 million primarily due to an increase of $270.5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 Percentage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60" w:type="dxa"/>
            <w:vAlign w:val="bottom"/>
          </w:tcPr>
          <w:p>
            <w:pPr>
              <w:spacing w:after="0"/>
              <w:rPr>
                <w:sz w:val="17"/>
                <w:szCs w:val="17"/>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250,949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213,154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83"/>
        </w:trPr>
        <w:tc>
          <w:tcPr>
            <w:tcW w:w="4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Services cost of revenue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58,895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46,990</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309,844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260,144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83"/>
        </w:trPr>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915,165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662,584</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252,581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margin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75 %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72 %</w:t>
            </w:r>
          </w:p>
        </w:tc>
      </w:tr>
      <w:tr>
        <w:trPr>
          <w:trHeight w:val="27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w:t>
            </w:r>
          </w:p>
        </w:tc>
        <w:tc>
          <w:tcPr>
            <w:tcW w:w="3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79 %</w:t>
            </w:r>
          </w:p>
        </w:tc>
        <w:tc>
          <w:tcPr>
            <w:tcW w:w="424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76 %</w:t>
            </w:r>
          </w:p>
        </w:tc>
      </w:tr>
      <w:tr>
        <w:trPr>
          <w:trHeight w:val="270"/>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34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(38)%</w:t>
            </w:r>
          </w:p>
        </w:tc>
        <w:tc>
          <w:tcPr>
            <w:tcW w:w="424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8" w:lineRule="exact"/>
        <w:rPr>
          <w:sz w:val="20"/>
          <w:szCs w:val="20"/>
          <w:color w:val="auto"/>
        </w:rPr>
      </w:pPr>
    </w:p>
    <w:p>
      <w:pPr>
        <w:ind w:right="40" w:firstLine="486"/>
        <w:spacing w:after="0" w:line="225" w:lineRule="exact"/>
        <w:rPr>
          <w:sz w:val="20"/>
          <w:szCs w:val="20"/>
          <w:color w:val="auto"/>
        </w:rPr>
      </w:pPr>
      <w:r>
        <w:rPr>
          <w:rFonts w:ascii="Times New Roman" w:cs="Times New Roman" w:eastAsia="Times New Roman" w:hAnsi="Times New Roman"/>
          <w:sz w:val="18"/>
          <w:szCs w:val="18"/>
          <w:color w:val="auto"/>
        </w:rPr>
        <w:t>The increase in subscription cost of revenue was primarily due to a $25.1 million increase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$11.7 million increase in personnel costs and stock-based compensation associated with increased headcount in our support organization. The increase in services cost of revenue was primarily due to a $9.5 million increase in personnel costs and stock-based compensation associated with increased headcount in our services organization, and a $2.2 million increase in third-party consultant costs related to the delivery of consulting and training services. Total headcount in our support and services organizations increased 25% from October 31, 2022 to October 31, 2023.</w:t>
      </w:r>
    </w:p>
    <w:p>
      <w:pPr>
        <w:spacing w:after="0" w:line="145"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Our overall gross margin improved to 75%. Our subscription gross margin increased to 79% as efficiencies realized in managing our third-party cloud infrastructure costs more than offset the negative margin impact from the increasing percentage of revenue from MongoDB Atlas. Services gross margin declined due to the impact of higher services personnel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00" w:type="dxa"/>
            <w:vAlign w:val="bottom"/>
            <w:tcBorders>
              <w:bottom w:val="single" w:sz="8" w:color="CCEEFF"/>
            </w:tcBorders>
            <w:shd w:val="clear" w:color="auto" w:fill="CCEEFF"/>
          </w:tcPr>
          <w:p>
            <w:pPr>
              <w:jc w:val="center"/>
              <w:ind w:right="3339"/>
              <w:spacing w:after="0"/>
              <w:rPr>
                <w:sz w:val="20"/>
                <w:szCs w:val="20"/>
                <w:color w:val="auto"/>
              </w:rPr>
            </w:pPr>
            <w:r>
              <w:rPr>
                <w:rFonts w:ascii="Times New Roman" w:cs="Times New Roman" w:eastAsia="Times New Roman" w:hAnsi="Times New Roman"/>
                <w:sz w:val="18"/>
                <w:szCs w:val="18"/>
                <w:color w:val="auto"/>
                <w:w w:val="99"/>
              </w:rPr>
              <w:t>Sales and marketing</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571,644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509,285</w:t>
            </w:r>
          </w:p>
        </w:tc>
        <w:tc>
          <w:tcPr>
            <w:tcW w:w="92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increase in sales and marketing expense included $47.7 million from higher personnel costs and stock-based compensation, which includes non-quota-carrying hires in sales operations, customer success and marketing. Our sales and marketing headcount was 2,268 as of October 31, 2023, compared to 2,276 as of October 31, 2022. Sales and marketing expense also increased $12.3 million due to higher commissions expense, driven in part by the increase in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6267450</wp:posOffset>
            </wp:positionH>
            <wp:positionV relativeFrom="paragraph">
              <wp:posOffset>-499745</wp:posOffset>
            </wp:positionV>
            <wp:extent cx="28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370,387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310,801</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driven by a $56.1 million increase in personnel costs and stock-based compensation as we increased our research and development headcount by 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135,900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116,204</w:t>
            </w:r>
          </w:p>
        </w:tc>
        <w:tc>
          <w:tcPr>
            <w:tcW w:w="90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 was due to higher costs to support the growth of our business. In particular, these higher costs were driven by an increase in general and administrative personnel headcount resulting in $21.1 million higher personnel costs and stock-based compensation. The increase in general and administrative expense was partially offset by lower computer hardware costs.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0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51,336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1,936</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486"/>
        <w:spacing w:after="0" w:line="458" w:lineRule="auto"/>
        <w:rPr>
          <w:sz w:val="20"/>
          <w:szCs w:val="20"/>
          <w:color w:val="auto"/>
        </w:rPr>
      </w:pPr>
      <w:r>
        <w:rPr>
          <w:rFonts w:ascii="Times New Roman" w:cs="Times New Roman" w:eastAsia="Times New Roman" w:hAnsi="Times New Roman"/>
          <w:sz w:val="18"/>
          <w:szCs w:val="18"/>
          <w:color w:val="auto"/>
        </w:rPr>
        <w:t xml:space="preserve">Other income, net, for the nine months ended October 31, 2023 improved primarily due to higher interest income from our short-term investments. </w:t>
      </w:r>
      <w:r>
        <w:rPr>
          <w:rFonts w:ascii="Times New Roman" w:cs="Times New Roman" w:eastAsia="Times New Roman" w:hAnsi="Times New Roman"/>
          <w:sz w:val="18"/>
          <w:szCs w:val="18"/>
          <w:b w:val="1"/>
          <w:bCs w:val="1"/>
          <w:color w:val="auto"/>
        </w:rPr>
        <w:t>Provision for Income Taxes</w:t>
      </w:r>
    </w:p>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9,230</w:t>
            </w:r>
          </w:p>
        </w:tc>
        <w:tc>
          <w:tcPr>
            <w:tcW w:w="10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income taxes during the nine months ended October 31, 2023 and 2022, was primarily due to an increase in foreign taxes as we continued our global expansion.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2023, our principal sources of liquidity were cash, cash equivalents, short-term investments and restricted cash totaling $1.9 billion. Our cash and cash equivalents primarily consist of bank deposits and money market funds. Our short-term investments consist of U.S. government treasury securities, and our restricted cash represents collateral</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our available credit on corporate credit cards. We believe our existing cash and cash equivalents and short-term investments will be sufficient to fund our operating and capital needs for at least the next 12 months.</w:t>
      </w:r>
    </w:p>
    <w:p>
      <w:pPr>
        <w:spacing w:after="0" w:line="10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generated significant operating losses and negative cash flows from operations as reflected in our accumulated deficit and historical consolidated statements of cash flows. As of October 31, 2023, we had an accumulated deficit of $1.7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66,850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w:t>
            </w:r>
          </w:p>
        </w:tc>
      </w:tr>
      <w:tr>
        <w:trPr>
          <w:trHeight w:val="27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23"/>
                <w:szCs w:val="23"/>
                <w:color w:val="auto"/>
              </w:rPr>
            </w:pPr>
          </w:p>
        </w:tc>
        <w:tc>
          <w:tcPr>
            <w:tcW w:w="1160" w:type="dxa"/>
            <w:vAlign w:val="bottom"/>
          </w:tcPr>
          <w:p>
            <w:pPr>
              <w:jc w:val="center"/>
              <w:ind w:left="397"/>
              <w:spacing w:after="0"/>
              <w:rPr>
                <w:sz w:val="20"/>
                <w:szCs w:val="20"/>
                <w:color w:val="auto"/>
              </w:rPr>
            </w:pPr>
            <w:r>
              <w:rPr>
                <w:rFonts w:ascii="Times New Roman" w:cs="Times New Roman" w:eastAsia="Times New Roman" w:hAnsi="Times New Roman"/>
                <w:sz w:val="18"/>
                <w:szCs w:val="18"/>
                <w:color w:val="auto"/>
                <w:w w:val="97"/>
              </w:rPr>
              <w:t>(64,243)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551,697</w:t>
            </w:r>
          </w:p>
        </w:tc>
      </w:tr>
      <w:tr>
        <w:trPr>
          <w:trHeight w:val="27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20,510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Operating Activities</w:t>
      </w:r>
    </w:p>
    <w:p>
      <w:pPr>
        <w:spacing w:after="0" w:line="160" w:lineRule="exact"/>
        <w:rPr>
          <w:sz w:val="20"/>
          <w:szCs w:val="20"/>
          <w:color w:val="auto"/>
        </w:rPr>
      </w:pPr>
    </w:p>
    <w:p>
      <w:pPr>
        <w:ind w:right="260" w:firstLine="648"/>
        <w:spacing w:after="0" w:line="201" w:lineRule="exact"/>
        <w:rPr>
          <w:sz w:val="20"/>
          <w:szCs w:val="20"/>
          <w:color w:val="auto"/>
        </w:rPr>
      </w:pPr>
      <w:r>
        <w:rPr>
          <w:rFonts w:ascii="Times New Roman" w:cs="Times New Roman" w:eastAsia="Times New Roman" w:hAnsi="Times New Roman"/>
          <w:sz w:val="18"/>
          <w:szCs w:val="18"/>
          <w:color w:val="auto"/>
        </w:rPr>
        <w:t>Cash provided by operating activities during the nine months ended October 31, 2023 was $66.9 million, driven primarily by an increase in our cash collections reflecting overall growth of our sales and expansion of our customer base. Accordingly, our accounts receivable decreased by $11.8 million. In addition, our net loss of $121.1 million, includes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$333.1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compensation and $13.3 million for depreciation and amortization. Our accrued liabilities increased by $20.3 million reflecting our increase in expenses and timing of payments.Partially offsetting these benefits to our operating cash flow were a decrease in deferred revenue of $138.7 million, accretion of the discount on our short-term investments of $36.4 million, and an increase in deferred commissions of $17.2 million.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operating activities during the nine months ended October 31, 2022 was $38.8 million. This was primarily driven by our net loss of</w:t>
      </w:r>
    </w:p>
    <w:p>
      <w:pPr>
        <w:spacing w:after="0" w:line="191" w:lineRule="exact"/>
        <w:rPr>
          <w:sz w:val="20"/>
          <w:szCs w:val="20"/>
          <w:color w:val="auto"/>
        </w:rPr>
      </w:pPr>
      <w:r>
        <w:rPr>
          <w:rFonts w:ascii="Times New Roman" w:cs="Times New Roman" w:eastAsia="Times New Roman" w:hAnsi="Times New Roman"/>
          <w:sz w:val="18"/>
          <w:szCs w:val="18"/>
          <w:color w:val="auto"/>
        </w:rPr>
        <w:t>$281.0 million, which was offset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of $279.3 million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$11.9 million for depreciation and amortization and</w:t>
      </w:r>
    </w:p>
    <w:p>
      <w:pPr>
        <w:spacing w:after="0" w:line="235" w:lineRule="auto"/>
        <w:rPr>
          <w:sz w:val="20"/>
          <w:szCs w:val="20"/>
          <w:color w:val="auto"/>
        </w:rPr>
      </w:pPr>
      <w:r>
        <w:rPr>
          <w:rFonts w:ascii="Times New Roman" w:cs="Times New Roman" w:eastAsia="Times New Roman" w:hAnsi="Times New Roman"/>
          <w:sz w:val="18"/>
          <w:szCs w:val="18"/>
          <w:color w:val="auto"/>
        </w:rPr>
        <w:t>$9.8 million for lease-related charges. The continuing growth of our sales and our expanding customer base led to an increase in accounts receivable of</w:t>
      </w:r>
    </w:p>
    <w:p>
      <w:pPr>
        <w:spacing w:after="0" w:line="219" w:lineRule="auto"/>
        <w:rPr>
          <w:sz w:val="20"/>
          <w:szCs w:val="20"/>
          <w:color w:val="auto"/>
        </w:rPr>
      </w:pPr>
      <w:r>
        <w:rPr>
          <w:rFonts w:ascii="Times New Roman" w:cs="Times New Roman" w:eastAsia="Times New Roman" w:hAnsi="Times New Roman"/>
          <w:sz w:val="18"/>
          <w:szCs w:val="18"/>
          <w:color w:val="auto"/>
        </w:rPr>
        <w:t>$38.3 million and deferred commissions of $29.9 million. In addition, accrued liabilities increased by $18.8 million reflecting our increase in expenses and</w:t>
      </w:r>
    </w:p>
    <w:p>
      <w:pPr>
        <w:spacing w:after="0"/>
        <w:rPr>
          <w:sz w:val="20"/>
          <w:szCs w:val="20"/>
          <w:color w:val="auto"/>
        </w:rPr>
      </w:pPr>
      <w:r>
        <w:rPr>
          <w:rFonts w:ascii="Times New Roman" w:cs="Times New Roman" w:eastAsia="Times New Roman" w:hAnsi="Times New Roman"/>
          <w:sz w:val="18"/>
          <w:szCs w:val="18"/>
          <w:color w:val="auto"/>
        </w:rPr>
        <w:t>timing of payments. These were partly offset by our cash collections, which increased our deferred revenue by $24.0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Investing Activities</w:t>
      </w:r>
    </w:p>
    <w:p>
      <w:pPr>
        <w:spacing w:after="0" w:line="173"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October 31, 2023 was $64.2 million, primarily due to maturities of marketable securities, net of purchases, of $43.9 million. The proceeds were partially offset by $2.1 million of additional investment in non-marketable securities and $3.3 million of cash used for purchases of property and equipment. In addition, on September 27, 2023, we used $15.0 million of net cash to acquire the assets of Grainite, Inc.</w:t>
      </w:r>
    </w:p>
    <w:p>
      <w:pPr>
        <w:spacing w:after="0" w:line="126"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ended October 31, 2022 was $551.7 million, primarily due to proceeds from maturities of marketable securities, net of purchases, of $561.0 million. The proceeds were partially offset by $6.5 million of cash used for purchases of property and equipment and $2.7 million of additional investment in non-marketable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Financing Activities</w:t>
      </w:r>
    </w:p>
    <w:p>
      <w:pPr>
        <w:spacing w:after="0" w:line="17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2023 was $20.5 million, due to proceeds from the issuance of common stock under the Employee Stock Purchase Plan and exercises of stock options, partly offset by principal repayments of finance leases.</w:t>
      </w:r>
    </w:p>
    <w:p>
      <w:pPr>
        <w:spacing w:after="0" w:line="108"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October 31, 2022 was $16.9 million, due to proceeds from the issuance of common stock under the Employee Stock Purchase Plan and exercises of stock options, partly offset by principal repayments of finance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2023, there were no material changes outside the ordinary course of business to our contractual obligations and commitments from those disclosed in our 2023 Form 10-K.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those disclosed in Part II, Item 7, “Management’s Discussion and Analysis of Financial Condition and Results of Operations” of the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Interest Rate Risk</w:t>
      </w:r>
    </w:p>
    <w:p>
      <w:pPr>
        <w:spacing w:after="0" w:line="17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and our short-term investments consist of U.S. government treasury securities. As of October 31, 2023, we had cash, cash equivalents, restricted cash and short-term investments of $1.9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October 31, 2023.</w:t>
      </w:r>
    </w:p>
    <w:p>
      <w:pPr>
        <w:spacing w:after="0" w:line="135"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Foreign Currency Risk</w:t>
      </w:r>
    </w:p>
    <w:p>
      <w:pPr>
        <w:spacing w:after="0" w:line="17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three-month periods ended October 31, 2023 and 2022.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C2C2C"/>
        </w:rPr>
        <w:t>Market Risk</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October 31, 2023 and January 31, 2023, the total amount of non-marketable securities included in other assets on our balance sheet was $13.1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October 31, 2023. Based on the evaluation of our disclosure controls and procedures as of October 31, 2023, our Chief Executive Officer and Chief Financial Officer concluded that, as of such date,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October 31, 2023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63"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Item 1 is incorporated by reference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Form 10-Q.</w:t>
      </w:r>
    </w:p>
    <w:p>
      <w:pPr>
        <w:spacing w:after="0" w:line="10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For example, on March 12, 2019, Realtime Data LLC (“Realtime”) filed a lawsuit against us in the United States District Court for the District of Delaware alleging that we are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took place before the U.S. Court of Appeals for the Federal Circuit on February 10, 2023. On August 2, 2023, the U.S. Court of Appeals for the Federal Circuit issued an opinion affirming the District Court's order in favor of MongoDB. On October 31, 2023, Realtime filed a Petition for a Writ of Certiorari in the U.S. Supreme Court requesting the U.S. Supreme Court to review the lower court's decision. We believe the Federal Circuit correctly decided the matter, and we intend to continue to vigorously defend ourselves in the event of any further future appellate proceedings and any other potential future claims.</w:t>
      </w:r>
    </w:p>
    <w:p>
      <w:pPr>
        <w:spacing w:after="0" w:line="13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7"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22"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53"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predict our future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as our costs increase, we may not be able to generate sufficient revenue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 and expect that intense competition will continue.</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our sales and marketing organization, we may be unable to add new customers or increase sales to our existing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offer Community Server under the Server Side Public License (“SSPL”) may harm the adoption of Community Server.</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model for Community Server could negatively affect our ability to monetize and protect our intellectual property rights.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software or services, our business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67"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6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especially among developers, our business and results of operations may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9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recent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w:t>
      </w: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may have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97"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In addition, the banking sector has recently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2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predict our future results of operations.</w:t>
      </w:r>
    </w:p>
    <w:p>
      <w:pPr>
        <w:spacing w:after="0" w:line="17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incorrect or change, or if we do not address these risks successfully, our operating and financial results could differ materially from our expectations and our business could suffer.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as our costs increase, we may not be able to generate sufficient revenue to achieve or sustain profitability.</w:t>
      </w:r>
    </w:p>
    <w:p>
      <w:pPr>
        <w:spacing w:after="0" w:line="1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have incurred net losses in each period since our inception, including net losses of $345.4 million, $306.9 million and $266.9 million for the fiscal years ended January 31, 2023, 2022 and 2021, respectively. We had an accumulated deficit of $1.7 billion as of October 31, 2023.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0"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8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three and nine months ended October 31, 2023.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39"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2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subscription offerings are term-based and a majority of our subscription contracts were one year in duration in fiscal year 2023.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8"/>
          <w:szCs w:val="18"/>
          <w:i w:val="1"/>
          <w:iCs w:val="1"/>
          <w:color w:val="auto"/>
        </w:rPr>
        <w:t>Unfavorable conditions in our industry or the global economy or reductions in information technology spending could limit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 our business and materially and adversely affect our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 and expect that intense competition will continue.</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34" w:lineRule="exact"/>
        <w:rPr>
          <w:sz w:val="20"/>
          <w:szCs w:val="20"/>
          <w:color w:val="auto"/>
        </w:rPr>
      </w:pPr>
    </w:p>
    <w:p>
      <w:pPr>
        <w:jc w:val="both"/>
        <w:ind w:right="240" w:firstLine="486"/>
        <w:spacing w:after="0" w:line="289"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non-relational database software providers. In addition, other large software and internet companies may seek to enter our market.</w:t>
      </w:r>
    </w:p>
    <w:p>
      <w:pPr>
        <w:spacing w:after="0" w:line="10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our sales and marketing organization, we may be unable to add new customers or increase sales to our existing customers.</w:t>
      </w:r>
    </w:p>
    <w:p>
      <w:pPr>
        <w:spacing w:after="0" w:line="10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offer Community Server under the SSPL, may harm the adoption of Community Server.</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3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20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w:t>
      </w:r>
    </w:p>
    <w:p>
      <w:pPr>
        <w:spacing w:after="0" w:line="200" w:lineRule="exact"/>
        <w:rPr>
          <w:sz w:val="20"/>
          <w:szCs w:val="20"/>
          <w:color w:val="auto"/>
        </w:rPr>
      </w:pPr>
    </w:p>
    <w:p>
      <w:pPr>
        <w:spacing w:after="0" w:line="36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1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if the AGPL, the SSPL and other open source licenses under which some of our software is licensed are not enforceable.</w:t>
      </w:r>
    </w:p>
    <w:p>
      <w:pPr>
        <w:spacing w:after="0" w:line="10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licensing model for Community Server could negatively affect our ability to monetize and protect our intellectual property rights.</w:t>
      </w:r>
    </w:p>
    <w:p>
      <w:pPr>
        <w:spacing w:after="0" w:line="17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4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0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3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3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have a negative effect on our business,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0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4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2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0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0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and anticipated growth rates of our revenue, customers and other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pricing changes and other actions by competitors;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and associated costs attributable to sales where subscriptions are bundled with services versus sold on a standalone basis and sales by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expand our sales and marketing capabilities and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software, particularly for our largest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enforce the AGPL or SSPL;</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revenue attributable to larger transactions as opposed to smaller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budgeting cycles and purchasing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consumption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and potential customers opting for alternative products, including developing their own in-house solutions, or opting to use only the free version of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other security incidents, technical difficulties, or interruptions with respect to the delivery and use of our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the level of service uptime and performance required by our customers;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 from customers and resellers, which may be hindered or delayed if these customers or resellers experience financial distress;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and economic conditions, in domestic or international markets;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including warfare and terrorist attacks on the United States and other regions in which we or our customers operate, such as the Russia-Ukraine conflict and the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Israel-Hamas conflict, as well as economic conditions specifically affecting industries in which our customers participate;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71"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7"/>
          <w:szCs w:val="17"/>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nine months ended October 31, 2023.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2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rapid growth in our business, operations and employee headcount. For fiscal years 2023, 2022 and 2021, our total revenue was $1,284.0 million, $873.8 million and $590.4 million, respectively, representing a 47% and 48% growth rate, respectively. We expect to continue to expand our operations and employee headcount in the near term. Our success will depend in part on our ability to continue to grow and to manage this growth, domestically and internationally, effectively.</w:t>
      </w:r>
    </w:p>
    <w:p>
      <w:pPr>
        <w:spacing w:after="0" w:line="12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3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21" w:lineRule="exact"/>
        <w:rPr>
          <w:sz w:val="20"/>
          <w:szCs w:val="20"/>
          <w:color w:val="auto"/>
        </w:rPr>
      </w:pPr>
    </w:p>
    <w:p>
      <w:pPr>
        <w:jc w:val="both"/>
        <w:ind w:right="160" w:firstLine="486"/>
        <w:spacing w:after="0" w:line="281" w:lineRule="auto"/>
        <w:rPr>
          <w:sz w:val="20"/>
          <w:szCs w:val="20"/>
          <w:color w:val="auto"/>
        </w:rPr>
      </w:pPr>
      <w:r>
        <w:rPr>
          <w:rFonts w:ascii="Times New Roman" w:cs="Times New Roman" w:eastAsia="Times New Roman" w:hAnsi="Times New Roman"/>
          <w:sz w:val="17"/>
          <w:szCs w:val="17"/>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those of the third parties upon which we rely to help deliver services to our customers. Such threats are prevalent, increasing in frequency, evolving in nature and becoming increasingly difficult to detect. These threats come from a variety of sources, including traditional computer “hackers,” threat actors (including organized criminal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3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the United States government has raised concerns about a potential increase in cyberattacks generally as a result of the military conflict between Russia and Ukraine and the related sanctions imposed by the United States and other countries.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3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or personal, proprietary, confidential or other sensitive information, or those of the third parties upon whom we rely. A security breach or other security incident could disrupt our ability (and that of third parties upon whom we rely) to provide our platform, products, and services.</w:t>
      </w:r>
    </w:p>
    <w:p>
      <w:pPr>
        <w:spacing w:after="0" w:line="12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personal, proprietary, confidential or other sensitive information.</w:t>
      </w:r>
    </w:p>
    <w:p>
      <w:pPr>
        <w:spacing w:after="0" w:line="126"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38"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third-party service providers and subprocessors may collect, store, transmit or otherwise process personal data or other confidential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breaches and other security incidents.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disclosures are costly, and the disclosures or the failure to comply with such requirements could lead to adverse consequences.</w:t>
      </w:r>
    </w:p>
    <w:p>
      <w:pPr>
        <w:spacing w:after="0" w:line="15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3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0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may be long and is unpredictable and our sales efforts require considerable time and expense.</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in particular new sales people as we increase the size of our sales 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a customer’s procurement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of our free offerings to paying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of competing products during the purchasing process;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7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forced to reduce prices for our subscription offerings and as a result our revenue and results of operations will be harmed.</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0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2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Even if we do attract new customers, the cost of new customer acquisition, product implementation and ongoing customer support may prove so high as to prevent us from achieving or sustaining profitability. For example, in fiscal years 2023, 2022 and 2021, total sales and marketing expense represented 54%, 54% and 55%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3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35"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spacing w:after="0" w:line="127"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There are also discussions in Congress of new federal data privacy and security laws to which we may become subject if they are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23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Additionally, on July 26, 2023, the Securities and Exchange Commission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cybersecurity disclosure rules also require the disclosure of material cybersecurity incidents in a Form 8-K, generally within four days of determining an incident is material. We will be subject to such annual report disclosure requirements starting with our Form 10-K for the year ended January 31, 2024 and we will be subject to such Form 8-K disclosure requirements starting December 18, 2023.</w:t>
      </w:r>
    </w:p>
    <w:p>
      <w:pPr>
        <w:spacing w:after="0" w:line="122"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3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4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3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spacing w:after="0" w:line="12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On July 10, 2023 the European Commission adopted an adequacy decision concluding that the United States ensures an adequate level of protection for personal data transferred from the EU to the U.S. under the EU-U.S. Data Privacy Framework. We are currently self-certified under the EU-U.S. Data Privacy Framework, however such new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Extension to the EU-U.S. Data Privacy Framework (“U.K. Data Privacy Framework”). We are currently self-certified under the U.K. Data Privacy Framework, and have also self-certified under the Swiss Data Privacy Framework in anticipation of a similar adequacy decision from the Swiss government.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14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33"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3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3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6"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Separately, as the regulatory framework for machine learning technology and AI evolves, it is possible that new laws and regulations will be adopted, or that existing laws and regulations may be interpreted in ways that would affect our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business and the ways in which we or our partners use AI and machine learning technology, our financial condition and our results of operations, including as a result of the cost to comply with such laws or regulations.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0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intellectual property rights. As of January 31, 2023, we had 68 issued patents and 37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0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w:t>
      </w:r>
    </w:p>
    <w:p>
      <w:pPr>
        <w:spacing w:after="0" w:line="13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partners, our business, results of operations and financial condition could be harmed.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0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3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meet our service level commitments, our business, results of operations and financial condition could be adversely affected.</w:t>
      </w:r>
    </w:p>
    <w:p>
      <w:pPr>
        <w:spacing w:after="0" w:line="17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82" w:lineRule="exact"/>
        <w:rPr>
          <w:sz w:val="20"/>
          <w:szCs w:val="20"/>
          <w:color w:val="auto"/>
        </w:rPr>
      </w:pPr>
    </w:p>
    <w:p>
      <w:pPr>
        <w:ind w:right="380" w:firstLine="486"/>
        <w:spacing w:after="0" w:line="312"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3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especially among developers, our business and results of operations may be adversely affected.</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2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0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could expose us to substantial liability for data breaches, intellectual property infringement and other losses.</w:t>
      </w:r>
    </w:p>
    <w:p>
      <w:pPr>
        <w:spacing w:after="0" w:line="10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sales to customers outside the United States, our business is susceptible to risks associated with international operations.</w:t>
      </w:r>
    </w:p>
    <w:p>
      <w:pPr>
        <w:spacing w:after="0" w:line="10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internationally and we are susceptible to risks related to our international operations. In the fiscal years ended January 31, 2023, 2022 and 2021, total revenue generated from customers outside the United States was 45%, 46% and 44%,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shelter-in-place, occupancy limitations or similar orders, private travel limitation, or business disruption in regions affecting our operations, stemming from actual, imminent or perceived outbreak of contagious disease;</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privacy and security and the unauthorized use of, or access to, commercial and personal data, particularly in EMEA;</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105"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0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3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0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136"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investments in strategic partnerships or transactions with other companies, each of which may divert our management’s attention, result in additional dilution to our stockholders, increase expenses, disrupt our operations, and harm our results of operations.</w:t>
      </w:r>
    </w:p>
    <w:p>
      <w:pPr>
        <w:spacing w:after="0" w:line="203" w:lineRule="exact"/>
        <w:rPr>
          <w:sz w:val="20"/>
          <w:szCs w:val="20"/>
          <w:color w:val="auto"/>
        </w:rPr>
      </w:pPr>
    </w:p>
    <w:p>
      <w:pPr>
        <w:ind w:right="120" w:firstLine="486"/>
        <w:spacing w:after="0"/>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customer demands and competitive pressures. In some circumstances, we may choose to do so through acquisitions or investments in strategic partnerships or transactions with other companies, rather than through internal development. The identification of suitable acquisition candidates can be difficult, time-consuming and costly and we may not be able to successfully complete identified acquisitions.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we face in connection with any acquisitions or strategic investments include:</w:t>
      </w:r>
    </w:p>
    <w:p>
      <w:pPr>
        <w:spacing w:after="0" w:line="171"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strategic investment may disrupt our ongoing business, divert resources, increase our expenses and distract our management;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right="2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sell any acquired products or increase adoption or usage of acquired products, or increase spend by acquired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or strategic investment would limit other potential uses for our cash;</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including financial maintenance covenants;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stockholders may be diluted and earnings per share may decrease.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05"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2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7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0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0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0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Organisation for Economic Co-operation and Development (the “OECD”), has issued guidelines that change long-standing tax principles and may introduce tax uncertainty as countries amend their tax laws to adopt certain parts of the guidelines. In December 2022, the EU reached unanimous agreement, in principle, to implement the global minimum tax. EU members will be required to institute local laws in 2023, which are intended to be effective for tax years beginning after 2023. Additional changes to global tax laws are likely to occur, and such changes may adversely affect our tax liability.</w:t>
      </w:r>
    </w:p>
    <w:p>
      <w:pPr>
        <w:spacing w:after="0" w:line="140" w:lineRule="exact"/>
        <w:rPr>
          <w:sz w:val="20"/>
          <w:szCs w:val="20"/>
          <w:color w:val="auto"/>
        </w:rPr>
      </w:pPr>
    </w:p>
    <w:p>
      <w:pPr>
        <w:jc w:val="both"/>
        <w:ind w:right="540"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As of January 31, 2023,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05"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0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26"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10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of October 31, 2023,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3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80" w:firstLine="486"/>
        <w:spacing w:after="0"/>
        <w:rPr>
          <w:sz w:val="20"/>
          <w:szCs w:val="20"/>
          <w:color w:val="auto"/>
        </w:rPr>
      </w:pPr>
      <w:r>
        <w:rPr>
          <w:rFonts w:ascii="Times New Roman" w:cs="Times New Roman" w:eastAsia="Times New Roman" w:hAnsi="Times New Roman"/>
          <w:sz w:val="18"/>
          <w:szCs w:val="18"/>
          <w:color w:val="auto"/>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spacing w:after="0" w:line="131" w:lineRule="exact"/>
        <w:rPr>
          <w:sz w:val="20"/>
          <w:szCs w:val="20"/>
          <w:color w:val="auto"/>
        </w:rPr>
      </w:pPr>
    </w:p>
    <w:p>
      <w:pPr>
        <w:ind w:right="60" w:firstLine="486"/>
        <w:spacing w:after="0" w:line="241" w:lineRule="auto"/>
        <w:rPr>
          <w:sz w:val="20"/>
          <w:szCs w:val="20"/>
          <w:color w:val="auto"/>
        </w:rPr>
      </w:pPr>
      <w:r>
        <w:rPr>
          <w:rFonts w:ascii="Times New Roman" w:cs="Times New Roman" w:eastAsia="Times New Roman" w:hAnsi="Times New Roman"/>
          <w:sz w:val="18"/>
          <w:szCs w:val="18"/>
          <w:color w:val="auto"/>
        </w:rPr>
        <w:t>In addition, there is an increasing focus from regulators, certain investors and other stakeholders concerning environmental, social, and governance (“ESG”) matters, both in the United States and internationally. We communicate certain ESG-related initiatives and goals regarding environmental matters, diversity and other matters in our annually released Corporate Sustainability Report, on our website and elsewhere. Any of our current or future initiatives, goals and commitments could be difficult to achieve and costly to implement. We could fail to achieve, or be perceived to fail to achieve, our ESG-related initiatives, goals and commitments. In addition, we could be criticized for the timing, scope or nature of these initiatives, goals and commitments, or for any revisions to them.</w:t>
      </w:r>
    </w:p>
    <w:p>
      <w:pPr>
        <w:spacing w:after="0" w:line="130"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113"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Social, ethical and security issues relating to the use of new and evolving technologies, such as AI, in our offerings or partnerships may result in reputational harm and liability.</w:t>
      </w:r>
    </w:p>
    <w:p>
      <w:pPr>
        <w:spacing w:after="0" w:line="185"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Social, ethical and security issues relating to the use of new and evolving technologies such as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which could cause the value of our common stock to decline.</w:t>
      </w:r>
    </w:p>
    <w:p>
      <w:pPr>
        <w:spacing w:after="0" w:line="17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acquisitions or other events by us or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our product and future product offerings and releases;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 or other security incident involving our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 in our domestic and foreign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91" w:lineRule="exact"/>
        <w:rPr>
          <w:sz w:val="20"/>
          <w:szCs w:val="20"/>
          <w:color w:val="auto"/>
        </w:rPr>
      </w:pPr>
    </w:p>
    <w:p>
      <w:pPr>
        <w:ind w:right="160" w:firstLine="486"/>
        <w:spacing w:after="0" w:line="235" w:lineRule="auto"/>
        <w:rPr>
          <w:sz w:val="20"/>
          <w:szCs w:val="20"/>
          <w:color w:val="auto"/>
        </w:rPr>
      </w:pPr>
      <w:r>
        <w:rPr>
          <w:rFonts w:ascii="Times New Roman" w:cs="Times New Roman" w:eastAsia="Times New Roman" w:hAnsi="Times New Roman"/>
          <w:sz w:val="18"/>
          <w:szCs w:val="18"/>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2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0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75"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1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0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2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 w:cs="Times New Roman" w:eastAsia="Times New Roman" w:hAnsi="Times New Roman"/>
          <w:sz w:val="18"/>
          <w:szCs w:val="18"/>
          <w:color w:val="212529"/>
        </w:rPr>
        <w:t>While the Delaware courts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05"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22" w:lineRule="exact"/>
        <w:rPr>
          <w:sz w:val="20"/>
          <w:szCs w:val="20"/>
          <w:color w:val="auto"/>
        </w:rPr>
      </w:pPr>
    </w:p>
    <w:p>
      <w:pPr>
        <w:ind w:left="660" w:right="4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jc w:val="both"/>
        <w:ind w:left="660" w:right="540" w:hanging="328"/>
        <w:spacing w:after="0" w:line="31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cause the market price of our common stock to decline.</w:t>
      </w:r>
    </w:p>
    <w:p>
      <w:pPr>
        <w:spacing w:after="0" w:line="105"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0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0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2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3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if triggered, may adversely affect our financial condition and operating results.</w:t>
      </w:r>
    </w:p>
    <w:p>
      <w:pPr>
        <w:spacing w:after="0" w:line="175"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ind w:left="33"/>
        <w:spacing w:after="0" w:line="256" w:lineRule="auto"/>
        <w:rPr>
          <w:sz w:val="20"/>
          <w:szCs w:val="20"/>
          <w:color w:val="auto"/>
        </w:rPr>
      </w:pPr>
      <w:r>
        <w:rPr>
          <w:rFonts w:ascii="Times New Roman" w:cs="Times New Roman" w:eastAsia="Times New Roman" w:hAnsi="Times New Roman"/>
          <w:sz w:val="18"/>
          <w:szCs w:val="18"/>
          <w:color w:val="auto"/>
        </w:rPr>
        <w:t>(other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33" w:lineRule="exact"/>
        <w:rPr>
          <w:sz w:val="20"/>
          <w:szCs w:val="20"/>
          <w:color w:val="auto"/>
        </w:rPr>
      </w:pPr>
    </w:p>
    <w:p>
      <w:pPr>
        <w:ind w:left="33" w:right="40" w:firstLine="486"/>
        <w:spacing w:after="0" w:line="258" w:lineRule="auto"/>
        <w:rPr>
          <w:sz w:val="20"/>
          <w:szCs w:val="20"/>
          <w:color w:val="auto"/>
        </w:rPr>
      </w:pPr>
      <w:r>
        <w:rPr>
          <w:rFonts w:ascii="Times New Roman" w:cs="Times New Roman" w:eastAsia="Times New Roman" w:hAnsi="Times New Roman"/>
          <w:sz w:val="18"/>
          <w:szCs w:val="18"/>
          <w:color w:val="auto"/>
        </w:rPr>
        <w:t>The conditional conversion feature of the 2026 Notes was triggered during the three months ended October 31, 2023, as the last reported sale price of our common stock was more than or equal to 130% of the applicable conversion price for at least 20 trading days in the period of 30 consecutive trading days ending on October 31, 2023 (the last trading day of the fiscal quarter). Therefore, the 2026 Notes are currently convertible at the option of the holders thereof, in whole or in part, from November 1, 2023 through January 31, 2024. Whether the 2026 Notes will be convertible following such fiscal quarter will depend on the continued satisfaction of this condition or another conversion condition in the future.</w:t>
      </w:r>
    </w:p>
    <w:p>
      <w:pPr>
        <w:spacing w:after="0" w:line="125"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2026 Notes and our common stock.</w:t>
      </w:r>
    </w:p>
    <w:p>
      <w:pPr>
        <w:spacing w:after="0" w:line="175" w:lineRule="exact"/>
        <w:rPr>
          <w:sz w:val="20"/>
          <w:szCs w:val="20"/>
          <w:color w:val="auto"/>
        </w:rPr>
      </w:pPr>
    </w:p>
    <w:p>
      <w:pPr>
        <w:ind w:left="33" w:right="22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14" w:lineRule="exact"/>
        <w:rPr>
          <w:sz w:val="20"/>
          <w:szCs w:val="20"/>
          <w:color w:val="auto"/>
        </w:rPr>
      </w:pPr>
    </w:p>
    <w:p>
      <w:pPr>
        <w:ind w:left="33" w:right="60"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378"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5" w:lineRule="exact"/>
        <w:rPr>
          <w:sz w:val="20"/>
          <w:szCs w:val="20"/>
          <w:color w:val="auto"/>
        </w:rPr>
      </w:pPr>
    </w:p>
    <w:p>
      <w:pPr>
        <w:ind w:left="533" w:right="7180" w:hanging="492"/>
        <w:spacing w:after="0" w:line="438" w:lineRule="auto"/>
        <w:tabs>
          <w:tab w:leader="none" w:pos="52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ind w:left="533" w:right="9520" w:hanging="492"/>
        <w:spacing w:after="0" w:line="438" w:lineRule="auto"/>
        <w:tabs>
          <w:tab w:leader="none" w:pos="523"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ind w:left="493" w:hanging="493"/>
        <w:spacing w:after="0"/>
        <w:tabs>
          <w:tab w:leader="none" w:pos="49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533"/>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87" w:top="13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October 31, 2023, one member of our board of directors adopted the following Rule 10b5-1 trading arrangements:</w:t>
      </w:r>
    </w:p>
    <w:p>
      <w:pPr>
        <w:spacing w:after="0" w:line="239"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On September 28, 2023, Hope Cochran adopted a trading plan intended to satisfy the conditions under Rule 10b5-1(c) of the Exchange Act. Ms. Cochran’s plan is for the sale of up to 4,698 shares of common stock underlying stock options and 4,000 shares of our common stock in amounts and prices determined in accordance with a formula set forth in the plan and terminates on the earlier of the date that all the shares under the plan are sold and September 27, 2024, subject to early termination for certain specified events set forth in the plan.</w:t>
      </w:r>
    </w:p>
    <w:p>
      <w:pPr>
        <w:spacing w:after="0" w:line="2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2023, other than noted above, none of our executive officers or directors terminated or modified a 10b5-1 equity trading plan, or adopted, terminated, or modified any “non-Rule 10b5-1 equity trading arrangement”.</w:t>
      </w:r>
    </w:p>
    <w:p>
      <w:pPr>
        <w:spacing w:after="0" w:line="200" w:lineRule="exact"/>
        <w:rPr>
          <w:sz w:val="20"/>
          <w:szCs w:val="20"/>
          <w:color w:val="auto"/>
        </w:rPr>
      </w:pPr>
    </w:p>
    <w:p>
      <w:pPr>
        <w:spacing w:after="0" w:line="35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9"/>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8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140" w:type="dxa"/>
            <w:vAlign w:val="bottom"/>
            <w:gridSpan w:val="12"/>
            <w:vMerge w:val="continue"/>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Amended and Restated Certificate of Incorporation of Registrant</w:t>
              </w:r>
            </w:hyperlink>
          </w:p>
        </w:tc>
        <w:tc>
          <w:tcPr>
            <w:tcW w:w="460" w:type="dxa"/>
            <w:vAlign w:val="bottom"/>
            <w:gridSpan w:val="8"/>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10/25/2017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Retirement</w:t>
              </w:r>
            </w:hyperlink>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001-38240</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6/16/2020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Amended and Restated Bylaws of Registrant</w:t>
              </w:r>
            </w:hyperlink>
          </w:p>
        </w:tc>
        <w:tc>
          <w:tcPr>
            <w:tcW w:w="1900" w:type="dxa"/>
            <w:vAlign w:val="bottom"/>
            <w:gridSpan w:val="9"/>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333-220557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9/21/2017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w:t>
            </w:r>
          </w:p>
        </w:tc>
        <w:tc>
          <w:tcPr>
            <w:tcW w:w="180" w:type="dxa"/>
            <w:vAlign w:val="bottom"/>
            <w:tcBorders>
              <w:top w:val="single" w:sz="8" w:color="0000FF"/>
            </w:tcBorders>
            <w:gridSpan w:val="3"/>
          </w:tcPr>
          <w:p>
            <w:pPr>
              <w:spacing w:after="0"/>
              <w:rPr>
                <w:sz w:val="22"/>
                <w:szCs w:val="22"/>
                <w:color w:val="auto"/>
              </w:rPr>
            </w:pP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200" w:type="dxa"/>
            <w:vAlign w:val="bottom"/>
            <w:gridSpan w:val="2"/>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00" w:type="dxa"/>
            <w:vAlign w:val="bottom"/>
            <w:gridSpan w:val="6"/>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99"/>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 of the Sarbanes</w:t>
            </w:r>
          </w:p>
        </w:tc>
        <w:tc>
          <w:tcPr>
            <w:tcW w:w="440" w:type="dxa"/>
            <w:vAlign w:val="bottom"/>
            <w:gridSpan w:val="7"/>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rPr>
              <w:t>-</w:t>
            </w: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60" w:type="dxa"/>
            <w:vAlign w:val="bottom"/>
            <w:tcBorders>
              <w:top w:val="single" w:sz="8" w:color="0000FF"/>
            </w:tcBorders>
            <w:gridSpan w:val="8"/>
          </w:tcPr>
          <w:p>
            <w:pPr>
              <w:spacing w:after="0"/>
              <w:rPr>
                <w:sz w:val="14"/>
                <w:szCs w:val="14"/>
                <w:color w:val="auto"/>
              </w:rPr>
            </w:pPr>
          </w:p>
        </w:tc>
        <w:tc>
          <w:tcPr>
            <w:tcW w:w="3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6320" w:hanging="1074"/>
        <w:spacing w:after="0" w:line="237"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1" w:lineRule="exact"/>
        <w:rPr>
          <w:sz w:val="20"/>
          <w:szCs w:val="20"/>
          <w:color w:val="auto"/>
        </w:rPr>
      </w:pPr>
    </w:p>
    <w:p>
      <w:pPr>
        <w:ind w:left="1100" w:hanging="651"/>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1100" w:right="60" w:hanging="651"/>
        <w:spacing w:after="0" w:line="224"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00" w:lineRule="exact"/>
        <w:rPr>
          <w:sz w:val="20"/>
          <w:szCs w:val="20"/>
          <w:color w:val="auto"/>
        </w:rPr>
      </w:pPr>
    </w:p>
    <w:p>
      <w:pPr>
        <w:spacing w:after="0" w:line="36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624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MONGODB, INC.</w:t>
            </w:r>
          </w:p>
        </w:tc>
      </w:tr>
      <w:tr>
        <w:trPr>
          <w:trHeight w:val="90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7, 2023</w:t>
            </w:r>
          </w:p>
        </w:tc>
        <w:tc>
          <w:tcPr>
            <w:tcW w:w="2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Dev Ittycheria</w:t>
            </w:r>
          </w:p>
        </w:tc>
      </w:tr>
      <w:tr>
        <w:trPr>
          <w:trHeight w:val="264"/>
        </w:trPr>
        <w:tc>
          <w:tcPr>
            <w:tcW w:w="2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 Ittycheria</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026"/>
        </w:trPr>
        <w:tc>
          <w:tcPr>
            <w:tcW w:w="2820" w:type="dxa"/>
            <w:vAlign w:val="bottom"/>
          </w:tcPr>
          <w:p>
            <w:pPr>
              <w:spacing w:after="0"/>
              <w:rPr>
                <w:sz w:val="24"/>
                <w:szCs w:val="24"/>
                <w:color w:val="auto"/>
              </w:rPr>
            </w:pPr>
          </w:p>
        </w:tc>
        <w:tc>
          <w:tcPr>
            <w:tcW w:w="2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Michael Gordon</w:t>
            </w:r>
          </w:p>
        </w:tc>
      </w:tr>
      <w:tr>
        <w:trPr>
          <w:trHeight w:val="263"/>
        </w:trPr>
        <w:tc>
          <w:tcPr>
            <w:tcW w:w="2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Gordon</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270"/>
        </w:trPr>
        <w:tc>
          <w:tcPr>
            <w:tcW w:w="2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5800" w:val="left"/>
          <w:tab w:leader="none" w:pos="702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486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MongoDB, Inc. (the “registrant”);</w:t>
      </w:r>
    </w:p>
    <w:p>
      <w:pPr>
        <w:spacing w:after="0" w:line="36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 Dev Ittycheria, certify, pursuant to 18 U.S.C. Section 1350, as adopted pursuant to Section 906 of the Sarbanes-Oxley Act of 2002, that the Quarterly Report on Form 10-Q of MongoDB, Inc. for the period ended October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tabs>
          <w:tab w:leader="none" w:pos="5780" w:val="left"/>
          <w:tab w:leader="none" w:pos="700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4860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Michael Gordon, certify, pursuant to 18 U.S.C. Section 1350, as adopted pursuant to Section 906 of the Sarbanes-Oxley Act of 2002, that the Quarterly Report on Form 10-Q of MongoDB, Inc. for the period ended October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4980" w:val="left"/>
          <w:tab w:leader="none" w:pos="6200" w:val="left"/>
        </w:tabs>
        <w:rPr>
          <w:sz w:val="20"/>
          <w:szCs w:val="20"/>
          <w:color w:val="auto"/>
        </w:rPr>
      </w:pPr>
      <w:r>
        <w:rPr>
          <w:rFonts w:ascii="Times New Roman" w:cs="Times New Roman" w:eastAsia="Times New Roman" w:hAnsi="Times New Roman"/>
          <w:sz w:val="18"/>
          <w:szCs w:val="18"/>
          <w:color w:val="auto"/>
        </w:rPr>
        <w:t>Date: December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0086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7"/>
          <w:szCs w:val="17"/>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Operating Officer and Chief Financial Officer</w:t>
      </w:r>
    </w:p>
    <w:p>
      <w:pPr>
        <w:spacing w:after="0" w:line="6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lvl w:ilvl="1">
      <w:lvlJc w:val="left"/>
      <w:lvlText w:val="(%2)"/>
      <w:numFmt w:val="lowerLetter"/>
      <w:start w:val="1"/>
    </w:lvl>
  </w:abstractNum>
  <w:abstractNum w:abstractNumId="19">
    <w:nsid w:val="2443A858"/>
    <w:multiLevelType w:val="hybridMultilevel"/>
    <w:lvl w:ilvl="0">
      <w:lvlJc w:val="left"/>
      <w:lvlText w:val="(%1)"/>
      <w:numFmt w:val="lowerLetter"/>
      <w:start w:val="3"/>
    </w:lvl>
    <w:lvl w:ilvl="1">
      <w:lvlJc w:val="left"/>
      <w:lvlText w:val="%2"/>
      <w:numFmt w:val="lowerLetter"/>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1" Type="http://schemas.openxmlformats.org/officeDocument/2006/relationships/hyperlink" Target="http://www.sec.gov/Archives/edgar/data/1441816/000110465917063753/a17-24439_1ex3d1.htm" TargetMode="External"/><Relationship Id="rId122" Type="http://schemas.openxmlformats.org/officeDocument/2006/relationships/hyperlink" Target="http://www.sec.gov/Archives/edgar/data/1441816/000144181620000114/mdb-certificateofretir.htm" TargetMode="External"/><Relationship Id="rId123"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2023-12-07T15:23:19Z</dcterms:created>
  <dcterms:modified xsi:type="dcterms:W3CDTF">2023-12-07T15:23:19Z</dcterms:modified>
</cp:coreProperties>
</file>